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F089E" w:rsidRPr="00A756DC" w:rsidRDefault="004F089E" w:rsidP="000C5ED7">
      <w:pPr>
        <w:pStyle w:val="1"/>
        <w:bidi/>
        <w:spacing w:before="0"/>
        <w:jc w:val="center"/>
        <w:rPr>
          <w:rFonts w:ascii="Traditional Arabic" w:hAnsi="Traditional Arabic" w:cs="Traditional Arabic"/>
          <w:color w:val="000000"/>
          <w:sz w:val="60"/>
          <w:szCs w:val="60"/>
          <w:rtl/>
        </w:rPr>
      </w:pPr>
      <w:r>
        <w:rPr>
          <w:vanish/>
        </w:rPr>
        <w:t>{{PG:210}}</w:t>
      </w:r>
      <w:bookmarkStart w:id="0" w:name="_Toc128146987"/>
      <w:r>
        <w:rPr>
          <w:vanish/>
        </w:rPr>
        <w:t>{{PG:211}}</w:t>
      </w:r>
      <w:r>
        <w:rPr>
          <w:rFonts w:ascii="Traditional Arabic" w:hAnsi="Traditional Arabic" w:cs="Traditional Arabic"/>
          <w:color w:val="auto"/>
          <w:sz w:val="60"/>
          <w:szCs w:val="60"/>
          <w:rtl/>
        </w:rPr>
        <w:t>ال</w:t>
      </w:r>
      <w:r w:rsidRPr="00A756DC">
        <w:rPr>
          <w:rFonts w:ascii="Traditional Arabic" w:hAnsi="Traditional Arabic" w:cs="Traditional Arabic" w:hint="cs"/>
          <w:color w:val="auto"/>
          <w:sz w:val="60"/>
          <w:szCs w:val="60"/>
          <w:rtl/>
        </w:rPr>
        <w:t>ْ</w:t>
      </w:r>
      <w:r w:rsidRPr="00A756DC">
        <w:rPr>
          <w:rFonts w:ascii="Traditional Arabic" w:hAnsi="Traditional Arabic" w:cs="Traditional Arabic"/>
          <w:color w:val="auto"/>
          <w:sz w:val="60"/>
          <w:szCs w:val="60"/>
          <w:rtl/>
        </w:rPr>
        <w:t>ت</w:t>
      </w:r>
      <w:r w:rsidRPr="00A756DC">
        <w:rPr>
          <w:rFonts w:ascii="Traditional Arabic" w:hAnsi="Traditional Arabic" w:cs="Traditional Arabic" w:hint="cs"/>
          <w:color w:val="auto"/>
          <w:sz w:val="60"/>
          <w:szCs w:val="60"/>
          <w:rtl/>
        </w:rPr>
        <w:t>َّ</w:t>
      </w:r>
      <w:r w:rsidRPr="00A756DC">
        <w:rPr>
          <w:rFonts w:ascii="Traditional Arabic" w:hAnsi="Traditional Arabic" w:cs="Traditional Arabic"/>
          <w:color w:val="auto"/>
          <w:sz w:val="60"/>
          <w:szCs w:val="60"/>
          <w:rtl/>
        </w:rPr>
        <w:t>ع</w:t>
      </w:r>
      <w:r w:rsidRPr="00A756DC">
        <w:rPr>
          <w:rFonts w:ascii="Traditional Arabic" w:hAnsi="Traditional Arabic" w:cs="Traditional Arabic" w:hint="cs"/>
          <w:color w:val="auto"/>
          <w:sz w:val="60"/>
          <w:szCs w:val="60"/>
          <w:rtl/>
        </w:rPr>
        <w:t>َ</w:t>
      </w:r>
      <w:r w:rsidRPr="00A756DC">
        <w:rPr>
          <w:rFonts w:ascii="Traditional Arabic" w:hAnsi="Traditional Arabic" w:cs="Traditional Arabic"/>
          <w:color w:val="auto"/>
          <w:sz w:val="60"/>
          <w:szCs w:val="60"/>
          <w:rtl/>
        </w:rPr>
        <w:t>امُل</w:t>
      </w:r>
      <w:r w:rsidRPr="00A756DC">
        <w:rPr>
          <w:rFonts w:ascii="Traditional Arabic" w:hAnsi="Traditional Arabic" w:cs="Traditional Arabic" w:hint="cs"/>
          <w:color w:val="auto"/>
          <w:sz w:val="60"/>
          <w:szCs w:val="60"/>
          <w:rtl/>
        </w:rPr>
        <w:t>ُ</w:t>
      </w:r>
      <w:r w:rsidRPr="00A756DC">
        <w:rPr>
          <w:rFonts w:ascii="Traditional Arabic" w:hAnsi="Traditional Arabic" w:cs="Traditional Arabic"/>
          <w:color w:val="auto"/>
          <w:sz w:val="60"/>
          <w:szCs w:val="60"/>
          <w:rtl/>
        </w:rPr>
        <w:t xml:space="preserve"> م</w:t>
      </w:r>
      <w:r w:rsidRPr="00A756DC">
        <w:rPr>
          <w:rFonts w:ascii="Traditional Arabic" w:hAnsi="Traditional Arabic" w:cs="Traditional Arabic" w:hint="cs"/>
          <w:color w:val="auto"/>
          <w:sz w:val="60"/>
          <w:szCs w:val="60"/>
          <w:rtl/>
        </w:rPr>
        <w:t>َ</w:t>
      </w:r>
      <w:r w:rsidRPr="00A756DC">
        <w:rPr>
          <w:rFonts w:ascii="Traditional Arabic" w:hAnsi="Traditional Arabic" w:cs="Traditional Arabic"/>
          <w:color w:val="auto"/>
          <w:sz w:val="60"/>
          <w:szCs w:val="60"/>
          <w:rtl/>
        </w:rPr>
        <w:t>ع</w:t>
      </w:r>
      <w:r w:rsidRPr="00A756DC">
        <w:rPr>
          <w:rFonts w:ascii="Traditional Arabic" w:hAnsi="Traditional Arabic" w:cs="Traditional Arabic" w:hint="cs"/>
          <w:color w:val="auto"/>
          <w:sz w:val="60"/>
          <w:szCs w:val="60"/>
          <w:rtl/>
        </w:rPr>
        <w:t>َ</w:t>
      </w:r>
      <w:r w:rsidRPr="00A756DC">
        <w:rPr>
          <w:rFonts w:ascii="Traditional Arabic" w:hAnsi="Traditional Arabic" w:cs="Traditional Arabic"/>
          <w:color w:val="auto"/>
          <w:sz w:val="60"/>
          <w:szCs w:val="60"/>
          <w:rtl/>
        </w:rPr>
        <w:t xml:space="preserve"> الكُفَّار</w:t>
      </w:r>
      <w:r w:rsidRPr="00A756DC">
        <w:rPr>
          <w:rFonts w:ascii="Traditional Arabic" w:hAnsi="Traditional Arabic" w:cs="Traditional Arabic" w:hint="cs"/>
          <w:color w:val="auto"/>
          <w:sz w:val="60"/>
          <w:szCs w:val="60"/>
          <w:rtl/>
        </w:rPr>
        <w:t>ِ</w:t>
      </w:r>
      <w:bookmarkEnd w:id="0"/>
    </w:p>
    <w:p w:rsidR="004F089E" w:rsidRPr="005C03E1" w:rsidRDefault="004F089E" w:rsidP="00CF01B5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{{PG:211}}</w:t>
      </w:r>
    </w:p>
    <w:p w:rsidR="004F089E" w:rsidRPr="005C03E1" w:rsidRDefault="004F089E" w:rsidP="00CF01B5">
      <w:pPr>
        <w:bidi/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</w:pPr>
      <w:r>
        <w:rPr>
          <w:vanish/>
        </w:rPr>
        <w:t>{{PG:211}}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سؤال أحد الإخوة:</w:t>
      </w:r>
    </w:p>
    <w:p w:rsidR="004F089E" w:rsidRPr="005C03E1" w:rsidRDefault="004F089E" w:rsidP="00CF01B5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{{PG:211}}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هل هناك رسالة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تشرح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كيفية التعامل مع الكفار من أهل الكتاب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وغيرهم؟</w:t>
      </w:r>
    </w:p>
    <w:p w:rsidR="004F089E" w:rsidRPr="005C03E1" w:rsidRDefault="004F089E" w:rsidP="00CF01B5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{{PG:211}}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يعني تقسيمات أهل الكتاب إلى حربيين وذمّة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ومعاه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دين...</w:t>
      </w:r>
      <w:r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إلخ، وكيفية التعامل مع كل صنف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.</w:t>
      </w:r>
    </w:p>
    <w:p w:rsidR="004F089E" w:rsidRPr="005C03E1" w:rsidRDefault="004F089E" w:rsidP="00CF01B5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{{PG:211}}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وغير أهل الكتاب.</w:t>
      </w:r>
    </w:p>
    <w:p w:rsidR="004F089E" w:rsidRPr="005C03E1" w:rsidRDefault="004F089E" w:rsidP="00CF01B5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{{PG:211}}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أتمنى من الشيخ شاكر أن 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حيل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نا على رسالة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مفيدة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تتكلم عن هذه الأمور.</w:t>
      </w:r>
    </w:p>
    <w:p w:rsidR="004F089E" w:rsidRPr="005C03E1" w:rsidRDefault="004F089E" w:rsidP="00CF01B5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{{PG:211}}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شخص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جار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 أمريكي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الجنسية نصراني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العقيدة، هل يجوز قتل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؟</w:t>
      </w:r>
    </w:p>
    <w:p w:rsidR="004F089E" w:rsidRPr="005C03E1" w:rsidRDefault="004F089E" w:rsidP="00CF01B5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{{PG:211}}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وأتمنى أن 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حيل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نا على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الشيخ على رسالة تُف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ق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نا في هذه المسائل الم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ة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»</w:t>
      </w:r>
    </w:p>
    <w:p w:rsidR="004F089E" w:rsidRPr="005C03E1" w:rsidRDefault="004F089E" w:rsidP="00CF01B5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{{PG:211}}</w:t>
      </w:r>
    </w:p>
    <w:p w:rsidR="004F089E" w:rsidRPr="005C03E1" w:rsidRDefault="004F089E" w:rsidP="00CF01B5">
      <w:pPr>
        <w:bidi/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</w:pPr>
      <w:r>
        <w:rPr>
          <w:vanish/>
        </w:rPr>
        <w:t>{{PG:211}}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الجواب:</w:t>
      </w:r>
    </w:p>
    <w:p w:rsidR="004F089E" w:rsidRPr="005C03E1" w:rsidRDefault="004F089E" w:rsidP="00ED4D33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{{PG:211}}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وأم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 بالنسبة لأسئلة الأخ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:</w:t>
      </w:r>
    </w:p>
    <w:p w:rsidR="004F089E" w:rsidRPr="005C03E1" w:rsidRDefault="004F089E" w:rsidP="00ED4D33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{{PG:211}}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فأولا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: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الظاهر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أنه يقصد أن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جار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في بلد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يقطنه مسلمون، فحكم دم جار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الأمريكي يختلف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بحسب حال ذلك الجار، فهو قطعاً ليس بمعاه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دٍ ولا ذم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ي،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ولكن: هل هو 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ستأمن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؟ هذا يختلف بحسب ما جرى لجار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من المعاملات، فإن كان له أمانٌ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صحيح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من مسلم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، فهو مستأم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، وإن حصل له ما ظ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أمانا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صحيحا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من مسلم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، فله ش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بهة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أمان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، ولا يجوز قتل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قبل إنذار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، وأم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 إن لم يحص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ل له شيء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من ذلك، أو تمَّ إنذاره،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أو كان 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عرف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أن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مثل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 يستهدفه المجاهدون، فهذا ليس له ش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بهة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أمان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.</w:t>
      </w:r>
    </w:p>
    <w:p w:rsidR="004F089E" w:rsidRPr="005C03E1" w:rsidRDefault="004F089E" w:rsidP="00ED4D33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{{PG:211}}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وعلى كل حال،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فجملة بلاد المسلمين ليس من المصلحة قتله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م الن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صارى فيها ولو كان دم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م حلالاً في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الأصل، 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 سي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حد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ث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هذا من إشكالات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على المسلمين وتضييق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عليهم، ولو حاول هذا الأ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خُ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النفير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إلى البلاد التي يملأ الكفار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شوارعها لأراق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من دمائهم ما ت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ق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به </w:t>
      </w:r>
      <w:r>
        <w:rPr>
          <w:vanish/>
        </w:rPr>
        <w:t>{{PG:212}}</w:t>
      </w:r>
      <w:r>
        <w:rPr>
          <w:rFonts w:ascii="Traditional Arabic" w:hAnsi="Traditional Arabic" w:cs="Traditional Arabic"/>
          <w:color w:val="000000"/>
          <w:sz w:val="40"/>
          <w:szCs w:val="40"/>
          <w:rtl/>
        </w:rPr>
        <w:t>نفس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ه، ويقو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ى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به إخوانه المسلمون، ما لم يكن استهداف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هذا بأمر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من قادة الجهاد، أو ضمن مشرو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عٍ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جهادي قد أُعِدَّتْ له ع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د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كافية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ويُرجى منه أهداف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عي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نة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ستنتفع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منها الأ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، وي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رجح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عند الأخ أنه سيحققها، كرفع أسعار النفط، ونحو ذلك من المصالح، أو كان لذلك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الأمريكي ضرر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على الإسلام والمسلمين يجعل مصلحة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قتله ترجح على ما سيحصل من مفاسد في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حال قُتِل الأخ، أو أُسِرَ، أو ضُيِّقَ على المسلمين، وكان بقتله ستزول مفسدة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ذلك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الكافر ولا يُخلَف بم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ن هو بمثل كفاءته في الإضرار بالمسلمين، فهنا يقت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.</w:t>
      </w:r>
    </w:p>
    <w:p w:rsidR="004F089E" w:rsidRPr="005C03E1" w:rsidRDefault="004F089E" w:rsidP="00DE5CBA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{{PG:212}}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وفي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مثل هذه المسائل: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يجب أن يستوثق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الأخ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أن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ذلك الكافر ممن 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باح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د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أولاً، وعدم وجود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ما يعصم دمه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من أمانٍ أو ش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بهته، أو ما 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حر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قتل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 كأن يكون الرجلُ هرماً أو أعم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ى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ونحو ذلك، ثم يتحقق الأخ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من أن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مصلحة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قتله على الإسلام والمسلمين أعلى من مفسدته،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وإلا فلا يجوز له الإقدام على مثل هذا، وحفظ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نفس الأخ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من القتل أو الأ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س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ْ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مصلحةٌ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أعلى من مصلحة إزهاق دم كافر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، ما لم ت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صالح مصلحة الإزهاق ما تقدَّم ذكره من مصالح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َ،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أو نحوها مما يجعل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الإقدام على ذلك العمل مصلحته أرجح.</w:t>
      </w:r>
    </w:p>
    <w:p w:rsidR="004F089E" w:rsidRPr="005C03E1" w:rsidRDefault="004F089E" w:rsidP="00CF01B5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{{PG:212}}</w:t>
      </w:r>
    </w:p>
    <w:p w:rsidR="004F089E" w:rsidRPr="005C03E1" w:rsidRDefault="004F089E" w:rsidP="00CE3384">
      <w:pPr>
        <w:bidi/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</w:pPr>
      <w:r>
        <w:rPr>
          <w:vanish/>
        </w:rPr>
        <w:t>{{PG:212}}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وأم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ا التعامل مع أهل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الكتاب، ففيه قواعد:</w:t>
      </w:r>
    </w:p>
    <w:p w:rsidR="004F089E" w:rsidRPr="005C03E1" w:rsidRDefault="004F089E" w:rsidP="00CE3384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{{PG:212}}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أولاً: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دماؤهم 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د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ْ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رٌ وقتلهم جائز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في الأصل، وهم 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حاربون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، ولو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لم يحاربوننا بالفعل، بل لو نهوا قوم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هم عن قتالنا، ونساؤهم وأطفال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هم لا يجوز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قتل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هم، وكذلك 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ن لا يتمك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ن أصلا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من القتال في حال أراد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، كالشيخ اله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م، وذي العاهة (الأعمى والمشلول ونحوهما)، فهؤلاء لا يجوز قتل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هم إلا في حالات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استثنائية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كالتترس، وحال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ْ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يه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م بسلاح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ع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ضرره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، كالنووي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والقنابل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والمفخخات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.</w:t>
      </w:r>
    </w:p>
    <w:p w:rsidR="004F089E" w:rsidRPr="005C03E1" w:rsidRDefault="004F089E" w:rsidP="00CE3384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{{PG:212}}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وينتقلون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عن هذا الأصل في أحوال ثلاثة:</w:t>
      </w:r>
    </w:p>
    <w:p w:rsidR="004F089E" w:rsidRPr="005C03E1" w:rsidRDefault="004F089E" w:rsidP="004F089E">
      <w:pPr>
        <w:pStyle w:val="a4"/>
        <w:numPr>
          <w:ilvl w:val="0"/>
          <w:numId w:val="1"/>
        </w:numPr>
        <w:ind w:left="0" w:firstLine="284"/>
        <w:jc w:val="both"/>
        <w:rPr>
          <w:rFonts w:ascii="Traditional Arabic" w:hAnsi="Traditional Arabic" w:cs="Traditional Arabic"/>
          <w:color w:val="000000"/>
          <w:sz w:val="40"/>
          <w:szCs w:val="40"/>
        </w:rPr>
      </w:pPr>
      <w:r>
        <w:rPr>
          <w:vanish/>
        </w:rPr>
        <w:t>{{PG:212}}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أن ت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عق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د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لهم 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ذم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ة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بأن يدفعوا الجزية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وي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قيموا تحت حكم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المسلمين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.</w:t>
      </w:r>
    </w:p>
    <w:p w:rsidR="004F089E" w:rsidRPr="005C03E1" w:rsidRDefault="004F089E" w:rsidP="004F089E">
      <w:pPr>
        <w:pStyle w:val="a4"/>
        <w:numPr>
          <w:ilvl w:val="0"/>
          <w:numId w:val="1"/>
        </w:numPr>
        <w:ind w:left="0" w:firstLine="284"/>
        <w:jc w:val="both"/>
        <w:rPr>
          <w:rFonts w:ascii="Traditional Arabic" w:hAnsi="Traditional Arabic" w:cs="Traditional Arabic"/>
          <w:color w:val="000000"/>
          <w:sz w:val="40"/>
          <w:szCs w:val="40"/>
        </w:rPr>
      </w:pPr>
      <w:r>
        <w:rPr>
          <w:vanish/>
        </w:rPr>
        <w:t>{{PG:212}}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أو 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العهد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وهو أن 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قيم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إمام المسلمين معهم ص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لحا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غير دائم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ٍ.</w:t>
      </w:r>
    </w:p>
    <w:p w:rsidR="004F089E" w:rsidRPr="005C03E1" w:rsidRDefault="004F089E" w:rsidP="004F089E">
      <w:pPr>
        <w:pStyle w:val="a4"/>
        <w:numPr>
          <w:ilvl w:val="0"/>
          <w:numId w:val="1"/>
        </w:numPr>
        <w:ind w:left="0" w:firstLine="284"/>
        <w:jc w:val="both"/>
        <w:rPr>
          <w:rFonts w:ascii="Traditional Arabic" w:hAnsi="Traditional Arabic" w:cs="Traditional Arabic"/>
          <w:color w:val="000000"/>
          <w:sz w:val="40"/>
          <w:szCs w:val="40"/>
        </w:rPr>
      </w:pPr>
      <w:r>
        <w:rPr>
          <w:vanish/>
        </w:rPr>
        <w:t>{{PG:212}}{{PG:213}}</w:t>
      </w:r>
      <w:r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أو 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الأمان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وهو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أن يُخبِر مسلمٌ ولو كان امرأة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أحد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الك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ف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ار أنه قد أمَّنه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على د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، فهنا هو آمن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ٌ.</w:t>
      </w:r>
    </w:p>
    <w:p w:rsidR="004F089E" w:rsidRPr="005C03E1" w:rsidRDefault="004F089E" w:rsidP="00B42294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{{PG:213}}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ولكل هذه الحالات شروط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شرعية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إذا اختل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ت ب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ط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ت تلك العقود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وعاد الكافر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حربيا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، وإ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ن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ب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قي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ت له مع ذلك ش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بهة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أمان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و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ج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ب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إخبار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وإمهال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حتى يعود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إلى مأمنه.</w:t>
      </w:r>
    </w:p>
    <w:p w:rsidR="004F089E" w:rsidRPr="005C03E1" w:rsidRDefault="004F089E" w:rsidP="00B42294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{{PG:213}}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ثانياً: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الكافر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سواءً كان معصومَ الدم أو 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د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ْ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را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: فإننا لا يجوز لنا أن نقع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في موالاته،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فموالاته أبداً كبيرة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من كبائر الذنوب، وربما كانت كفرا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في بعض صورها.</w:t>
      </w:r>
    </w:p>
    <w:p w:rsidR="004F089E" w:rsidRPr="005C03E1" w:rsidRDefault="004F089E" w:rsidP="006209BF">
      <w:pPr>
        <w:bidi/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</w:pPr>
      <w:r>
        <w:rPr>
          <w:vanish/>
        </w:rPr>
        <w:t>{{PG:213}}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وأظهر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صور الموالاة:</w:t>
      </w:r>
    </w:p>
    <w:p w:rsidR="004F089E" w:rsidRPr="005C03E1" w:rsidRDefault="004F089E" w:rsidP="004F089E">
      <w:pPr>
        <w:pStyle w:val="a4"/>
        <w:numPr>
          <w:ilvl w:val="0"/>
          <w:numId w:val="2"/>
        </w:numPr>
        <w:ind w:left="0" w:firstLine="284"/>
        <w:jc w:val="both"/>
        <w:rPr>
          <w:rFonts w:ascii="Traditional Arabic" w:hAnsi="Traditional Arabic" w:cs="Traditional Arabic"/>
          <w:b/>
          <w:bCs/>
          <w:color w:val="000000"/>
          <w:sz w:val="40"/>
          <w:szCs w:val="40"/>
        </w:rPr>
      </w:pPr>
      <w:r>
        <w:rPr>
          <w:vanish/>
        </w:rPr>
        <w:t>{{PG:213}}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حبة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القلبي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، وما عبَّر عنها من الأفعال.</w:t>
      </w:r>
    </w:p>
    <w:p w:rsidR="004F089E" w:rsidRPr="005C03E1" w:rsidRDefault="004F089E" w:rsidP="004F089E">
      <w:pPr>
        <w:pStyle w:val="a4"/>
        <w:numPr>
          <w:ilvl w:val="0"/>
          <w:numId w:val="2"/>
        </w:numPr>
        <w:ind w:left="0" w:firstLine="284"/>
        <w:jc w:val="both"/>
        <w:rPr>
          <w:rFonts w:ascii="Traditional Arabic" w:hAnsi="Traditional Arabic" w:cs="Traditional Arabic"/>
          <w:b/>
          <w:bCs/>
          <w:color w:val="000000"/>
          <w:sz w:val="40"/>
          <w:szCs w:val="40"/>
        </w:rPr>
      </w:pPr>
      <w:r>
        <w:rPr>
          <w:vanish/>
        </w:rPr>
        <w:t>{{PG:213}}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المظاهرة على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المسلمين، وهي كفرٌ 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خرج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من الملة.</w:t>
      </w:r>
    </w:p>
    <w:p w:rsidR="004F089E" w:rsidRPr="005C03E1" w:rsidRDefault="004F089E" w:rsidP="004F089E">
      <w:pPr>
        <w:pStyle w:val="a4"/>
        <w:numPr>
          <w:ilvl w:val="0"/>
          <w:numId w:val="2"/>
        </w:numPr>
        <w:ind w:left="0" w:firstLine="284"/>
        <w:jc w:val="both"/>
        <w:rPr>
          <w:rFonts w:ascii="Traditional Arabic" w:hAnsi="Traditional Arabic" w:cs="Traditional Arabic"/>
          <w:b/>
          <w:bCs/>
          <w:color w:val="000000"/>
          <w:sz w:val="40"/>
          <w:szCs w:val="40"/>
        </w:rPr>
      </w:pPr>
      <w:r>
        <w:rPr>
          <w:vanish/>
        </w:rPr>
        <w:t>{{PG:213}}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التهنئة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بالأعياد ونحو ذلك.</w:t>
      </w:r>
    </w:p>
    <w:p w:rsidR="004F089E" w:rsidRPr="005C03E1" w:rsidRDefault="004F089E" w:rsidP="004F089E">
      <w:pPr>
        <w:pStyle w:val="a4"/>
        <w:numPr>
          <w:ilvl w:val="0"/>
          <w:numId w:val="2"/>
        </w:numPr>
        <w:ind w:left="0" w:firstLine="284"/>
        <w:jc w:val="both"/>
        <w:rPr>
          <w:rFonts w:ascii="Traditional Arabic" w:hAnsi="Traditional Arabic" w:cs="Traditional Arabic"/>
          <w:b/>
          <w:bCs/>
          <w:color w:val="000000"/>
          <w:sz w:val="40"/>
          <w:szCs w:val="40"/>
        </w:rPr>
      </w:pPr>
      <w:r>
        <w:rPr>
          <w:vanish/>
        </w:rPr>
        <w:t>{{PG:213}}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التشب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بهم في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لبس أو الشَّعر أو العادات.</w:t>
      </w:r>
    </w:p>
    <w:p w:rsidR="004F089E" w:rsidRPr="005C03E1" w:rsidRDefault="004F089E" w:rsidP="004F089E">
      <w:pPr>
        <w:pStyle w:val="a4"/>
        <w:numPr>
          <w:ilvl w:val="0"/>
          <w:numId w:val="2"/>
        </w:numPr>
        <w:ind w:left="0" w:firstLine="284"/>
        <w:jc w:val="both"/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</w:pPr>
      <w:r>
        <w:rPr>
          <w:vanish/>
        </w:rPr>
        <w:t>{{PG:213}}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بدؤه بالسلام.</w:t>
      </w:r>
    </w:p>
    <w:p w:rsidR="004F089E" w:rsidRPr="005C03E1" w:rsidRDefault="004F089E" w:rsidP="00892511">
      <w:pPr>
        <w:bidi/>
        <w:ind w:left="284"/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</w:pPr>
      <w:r>
        <w:rPr>
          <w:vanish/>
        </w:rPr>
        <w:t>{{PG:213}}</w:t>
      </w:r>
    </w:p>
    <w:p w:rsidR="004F089E" w:rsidRPr="005C03E1" w:rsidRDefault="004F089E" w:rsidP="00B42294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{{PG:213}}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وفي الجملة:</w:t>
      </w:r>
    </w:p>
    <w:p w:rsidR="004F089E" w:rsidRPr="005C03E1" w:rsidRDefault="004F089E" w:rsidP="00B42294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{{PG:213}}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فإن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من أبرز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ما يقع فيه المسلمون اليوم من المسائل التي فيها موالاة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للك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ف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ار: الأعمال القلبية،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كالمحبة، والتوقير، والتعظيم، وما دل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عليها من أعمال القلوب: كنحو السلام،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والمصافحة، والقيام لهم في المجالس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، ودعوتهم في المناسبات، فكل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هذا وغير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ه، لو كان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عن محب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َّةٍ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وتوقير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، فواضحٌ أنه من الموالاة، وأم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 إن كان من باب المجاملة والتصنُّع: فهو من الموالاة أيضاً، إذ هو من المداهنة، والواجب الشرعي على المسلم تجاه الكفار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جميعاً البغضُ، وأن لا يجعل هذا الب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غض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في قلبه، وإنما يُظهره عمليّاً بالعداوة، وقد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قدَّم في القرآن العداوة على البغضاء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: </w:t>
      </w:r>
      <w:r w:rsidRPr="00A756DC">
        <w:rPr>
          <w:rFonts w:ascii="Traditional Arabic" w:hAnsi="Traditional Arabic" w:cs="HFS_P549" w:hint="cs"/>
          <w:color w:val="000000"/>
          <w:sz w:val="36"/>
          <w:szCs w:val="36"/>
          <w:rtl/>
        </w:rPr>
        <w:t>ﱩﯙ</w:t>
      </w:r>
      <w:r w:rsidRPr="00A756DC">
        <w:rPr>
          <w:rFonts w:ascii="Traditional Arabic" w:hAnsi="Traditional Arabic" w:cs="HFS_P549"/>
          <w:color w:val="000000"/>
          <w:sz w:val="36"/>
          <w:szCs w:val="36"/>
          <w:rtl/>
        </w:rPr>
        <w:t xml:space="preserve"> </w:t>
      </w:r>
      <w:r w:rsidRPr="00A756DC">
        <w:rPr>
          <w:rFonts w:ascii="Traditional Arabic" w:hAnsi="Traditional Arabic" w:cs="HFS_P549" w:hint="cs"/>
          <w:color w:val="000000"/>
          <w:sz w:val="36"/>
          <w:szCs w:val="36"/>
          <w:rtl/>
        </w:rPr>
        <w:t>ﯚ</w:t>
      </w:r>
      <w:r w:rsidRPr="00A756DC">
        <w:rPr>
          <w:rFonts w:ascii="Traditional Arabic" w:hAnsi="Traditional Arabic" w:cs="HFS_P549"/>
          <w:color w:val="000000"/>
          <w:sz w:val="36"/>
          <w:szCs w:val="36"/>
          <w:rtl/>
        </w:rPr>
        <w:t xml:space="preserve"> </w:t>
      </w:r>
      <w:r w:rsidRPr="00A756DC">
        <w:rPr>
          <w:rFonts w:ascii="Traditional Arabic" w:hAnsi="Traditional Arabic" w:cs="HFS_P549" w:hint="cs"/>
          <w:color w:val="000000"/>
          <w:sz w:val="36"/>
          <w:szCs w:val="36"/>
          <w:rtl/>
        </w:rPr>
        <w:t>ﯛ</w:t>
      </w:r>
      <w:r w:rsidRPr="00A756DC">
        <w:rPr>
          <w:rFonts w:ascii="Traditional Arabic" w:hAnsi="Traditional Arabic" w:cs="HFS_P549"/>
          <w:color w:val="000000"/>
          <w:sz w:val="36"/>
          <w:szCs w:val="36"/>
          <w:rtl/>
        </w:rPr>
        <w:t xml:space="preserve"> </w:t>
      </w:r>
      <w:r w:rsidRPr="00A756DC">
        <w:rPr>
          <w:rFonts w:ascii="Traditional Arabic" w:hAnsi="Traditional Arabic" w:cs="HFS_P549" w:hint="cs"/>
          <w:color w:val="000000"/>
          <w:sz w:val="36"/>
          <w:szCs w:val="36"/>
          <w:rtl/>
        </w:rPr>
        <w:t>ﯜ</w:t>
      </w:r>
      <w:r w:rsidRPr="00A756DC">
        <w:rPr>
          <w:rFonts w:ascii="Traditional Arabic" w:hAnsi="Traditional Arabic" w:cs="HFS_P549"/>
          <w:color w:val="000000"/>
          <w:sz w:val="36"/>
          <w:szCs w:val="36"/>
          <w:rtl/>
        </w:rPr>
        <w:t xml:space="preserve"> </w:t>
      </w:r>
      <w:r w:rsidRPr="00A756DC">
        <w:rPr>
          <w:rFonts w:ascii="Traditional Arabic" w:hAnsi="Traditional Arabic" w:cs="HFS_P549" w:hint="cs"/>
          <w:color w:val="000000"/>
          <w:sz w:val="36"/>
          <w:szCs w:val="36"/>
          <w:rtl/>
        </w:rPr>
        <w:t>ﯝ</w:t>
      </w:r>
      <w:r w:rsidRPr="00A756DC">
        <w:rPr>
          <w:rFonts w:ascii="Traditional Arabic" w:hAnsi="Traditional Arabic" w:cs="HFS_P549"/>
          <w:color w:val="000000"/>
          <w:sz w:val="36"/>
          <w:szCs w:val="36"/>
          <w:rtl/>
        </w:rPr>
        <w:t xml:space="preserve"> </w:t>
      </w:r>
      <w:r w:rsidRPr="00A756DC">
        <w:rPr>
          <w:rFonts w:ascii="Traditional Arabic" w:hAnsi="Traditional Arabic" w:cs="HFS_P549" w:hint="cs"/>
          <w:color w:val="000000"/>
          <w:sz w:val="36"/>
          <w:szCs w:val="36"/>
          <w:rtl/>
        </w:rPr>
        <w:t>ﯞ</w:t>
      </w:r>
      <w:r w:rsidRPr="00A756DC">
        <w:rPr>
          <w:rFonts w:ascii="Traditional Arabic" w:hAnsi="Traditional Arabic" w:cs="HFS_P549"/>
          <w:color w:val="000000"/>
          <w:sz w:val="36"/>
          <w:szCs w:val="36"/>
          <w:rtl/>
        </w:rPr>
        <w:t xml:space="preserve"> </w:t>
      </w:r>
      <w:r w:rsidRPr="00A756DC">
        <w:rPr>
          <w:rFonts w:ascii="Traditional Arabic" w:hAnsi="Traditional Arabic" w:cs="HFS_P549" w:hint="cs"/>
          <w:color w:val="000000"/>
          <w:sz w:val="36"/>
          <w:szCs w:val="36"/>
          <w:rtl/>
        </w:rPr>
        <w:t>ﯟ</w:t>
      </w:r>
      <w:r w:rsidRPr="00A756DC">
        <w:rPr>
          <w:rFonts w:ascii="Traditional Arabic" w:hAnsi="Traditional Arabic" w:cs="HFS_P549"/>
          <w:color w:val="000000"/>
          <w:sz w:val="36"/>
          <w:szCs w:val="36"/>
          <w:rtl/>
        </w:rPr>
        <w:t xml:space="preserve"> </w:t>
      </w:r>
      <w:r w:rsidRPr="00A756DC">
        <w:rPr>
          <w:rFonts w:ascii="Traditional Arabic" w:hAnsi="Traditional Arabic" w:cs="HFS_P549" w:hint="cs"/>
          <w:color w:val="000000"/>
          <w:sz w:val="36"/>
          <w:szCs w:val="36"/>
          <w:rtl/>
        </w:rPr>
        <w:t>ﯠﱨ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؛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فالعداوة واجبة أبداً، ما لم يؤمنوا، ولم يق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ل: حتى ت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عاه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دوا أو ت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عص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دماؤكم، كما يقول القرضاوي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والعُودَة وشبههما.</w:t>
      </w:r>
    </w:p>
    <w:p w:rsidR="004F089E" w:rsidRPr="005C03E1" w:rsidRDefault="004F089E" w:rsidP="00DE5CBA">
      <w:pPr>
        <w:bidi/>
        <w:ind w:left="284"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{{PG:213}}{{PG:214}}</w:t>
      </w:r>
      <w:r>
        <w:rPr>
          <w:rFonts w:ascii="Traditional Arabic" w:hAnsi="Traditional Arabic" w:cs="Traditional Arabic"/>
          <w:color w:val="000000"/>
          <w:sz w:val="40"/>
          <w:szCs w:val="40"/>
          <w:rtl/>
        </w:rPr>
        <w:t>فيجب أن ت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لز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العداوة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والبغضاء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لكل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كافر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بقلبك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وجوارحك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، وأي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فعل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ضاد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العداوة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ولو كان تبسُّماً في وجهه، أو حضور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اً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لمناسبته، فهو من موالاته.</w:t>
      </w:r>
    </w:p>
    <w:p w:rsidR="004F089E" w:rsidRPr="005C03E1" w:rsidRDefault="004F089E" w:rsidP="00B42294">
      <w:pPr>
        <w:bidi/>
        <w:ind w:left="284"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{{PG:214}}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وهناك أفعال قد أجمع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عليها أهل العلم، لورود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النصوص فيها، وهناك ما اختلفوا فيه إم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ا لعدم ورود نصِّ، أو لوقوع النبي 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ﷺ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فيه، كتعزية الكافر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، وعيادت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حال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ض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، ونحو ذلك مما ظاهر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 اللين معه،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ولم 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حر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 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ن ح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إلا لمخالفته الظاهرة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للأصل العام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: وهو وجوب إظهار العداوة.</w:t>
      </w:r>
    </w:p>
    <w:p w:rsidR="004F089E" w:rsidRPr="005C03E1" w:rsidRDefault="004F089E" w:rsidP="00B42294">
      <w:pPr>
        <w:bidi/>
        <w:ind w:left="284"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{{PG:214}}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وتوجيه ذلك: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أن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تلك الأفعال يُشرَع فعلها، وربما استُحِبَّ، إذا لم تكن على وجه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المعايشة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للكافر، الم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حب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ة له، بل كانت لتأليف قلبه، وتقريب الإسلام إليه، فتجوز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باب الدعوة، وهي عيادت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ه، وإهداؤه، وتعزيت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ه، ونحو ذلك مما ظاهر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 اللين.</w:t>
      </w:r>
    </w:p>
    <w:p w:rsidR="004F089E" w:rsidRPr="005C03E1" w:rsidRDefault="004F089E" w:rsidP="00B42294">
      <w:pPr>
        <w:bidi/>
        <w:ind w:left="284"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{{PG:214}}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هذا كله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في حال الأمن، أم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 حال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الاستضعاف وخشية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أن يكون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إظهار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العداوة للكافر سبباً في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إلحاق الأذى بالمسلم، فيجوز مدارات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ما أمكن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، مؤق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تا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حتى يتيس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ر الهجرة عن ذلك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المكان، ولو في نفس البلد إن لم ت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مكن الهجرة إلى دار الإسلام والجهاد، وذلك للب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عد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عن تلك الفتنة.</w:t>
      </w:r>
    </w:p>
    <w:p w:rsidR="004F089E" w:rsidRPr="005C03E1" w:rsidRDefault="004F089E" w:rsidP="00B42294">
      <w:pPr>
        <w:bidi/>
        <w:ind w:left="284"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{{PG:214}}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وثالثاً: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لا يجوز ظ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لم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الكافر في شيء، ولو كان حربيّاً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.</w:t>
      </w:r>
    </w:p>
    <w:p w:rsidR="004F089E" w:rsidRPr="005C03E1" w:rsidRDefault="004F089E" w:rsidP="00B42294">
      <w:pPr>
        <w:bidi/>
        <w:ind w:left="284"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{{PG:214}}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وضابط الظلم: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أن تبخ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س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حقا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ك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ف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له الإسلام لا الأعراف، ولا القوانين، فما جعله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الإسلام حقّاً لأحد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فمن الظلم أن لا ت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عطيه إياه ولو كنتَ له 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بغضاً، وما لم 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عط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له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الإسلام فيجوز 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كَ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-وربما وجب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عليك- أن لا ت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عطيه إياه، وهذا يختلف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بحسب اختلاف حال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ذلك الكافر.</w:t>
      </w:r>
    </w:p>
    <w:p w:rsidR="004F089E" w:rsidRPr="005C03E1" w:rsidRDefault="004F089E" w:rsidP="00B42294">
      <w:pPr>
        <w:bidi/>
        <w:ind w:left="284"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{{PG:214}}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والذي أنصح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به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أخي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أن يرى أين ترجح مصلحة الإسلام، في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قد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، فإن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رجا من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ذلك الكافر إسلاماً، ولو بعد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حين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، فعليه أن 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لين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معه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، ويهديه، ويدعوه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بالحسنى، وأن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يصبر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عليه، ما لم يخشَ على نفسه الفتنة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في الدين والوقوع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في موالاة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ذلك الكافر،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فدين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ك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أ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و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ْ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ى بأن ت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حف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ظ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.</w:t>
      </w:r>
    </w:p>
    <w:p w:rsidR="004F089E" w:rsidRPr="005C03E1" w:rsidRDefault="004F089E" w:rsidP="00DE5CBA">
      <w:pPr>
        <w:bidi/>
        <w:ind w:left="284"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{{PG:214}}{{PG:215}}</w:t>
      </w:r>
      <w:r>
        <w:rPr>
          <w:rFonts w:ascii="Traditional Arabic" w:hAnsi="Traditional Arabic" w:cs="Traditional Arabic"/>
          <w:color w:val="000000"/>
          <w:sz w:val="40"/>
          <w:szCs w:val="40"/>
          <w:rtl/>
        </w:rPr>
        <w:t>فكل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كافر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يجب ب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غضه ومعاداته المعاداة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التامة، إلا: المعاه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د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والذم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والمستأم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ن: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فيُستثنى في حق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د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ْ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الد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والمال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والع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رض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فقط، بمعنى: أن بقية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صور المعاداة واجبة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في ح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ق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ولا 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زيل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ها إلا الإيمان.</w:t>
      </w:r>
    </w:p>
    <w:p w:rsidR="004F089E" w:rsidRPr="005C03E1" w:rsidRDefault="004F089E" w:rsidP="00DE5CBA">
      <w:pPr>
        <w:bidi/>
        <w:ind w:left="284"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{{PG:215}}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وإلا: بعض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الصور التي توهِم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المود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، فهذه يجوز فعلها في حال الاستضعاف مؤق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تا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حتى يتمك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من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الهجرة إلى مكان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آخ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لا يوجد فيه 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ن يضطر إلى إيهامه بعدم العداوة، أو في حال رج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ى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الأخ مصلحةً للدين كإسلام ذلك الكافر، فيجوز اللين له وعيادت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 وتعزيت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ه، لاستمالة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قلبه إلى الإسلام، ولو رأى الأخ أن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استجابة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ذلك الكافر بطيئة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، وقد لا تكون هدايته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مباشرة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بل مع مرور الأحداث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.</w:t>
      </w:r>
    </w:p>
    <w:p w:rsidR="004F089E" w:rsidRPr="005C03E1" w:rsidRDefault="004F089E" w:rsidP="00B42294">
      <w:pPr>
        <w:bidi/>
        <w:ind w:left="284"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{{PG:215}}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والمهم: أن لا يستمر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في ذلك إن رأى أنه بدأ ينقلب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في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قلبه إلى محبة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ومواد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وأ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لف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، ورأى أن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بغض ذلك الكافر بدأ يزول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من قلبه، فهذه فتنةٌ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يجب الب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عد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عنها.</w:t>
      </w:r>
    </w:p>
    <w:p w:rsidR="004F089E" w:rsidRPr="005C03E1" w:rsidRDefault="004F089E" w:rsidP="00B42294">
      <w:pPr>
        <w:bidi/>
        <w:ind w:left="284"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{{PG:215}}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ولا أعرف كتابا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جامعا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لكل ما يخص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الكفار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من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المعاملات، ولكن قد جمع شيئاً منها القحطاني في رسالته 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الولاء والبراء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، وتجد شيئاً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كثيراً في 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الدرر السَّنِيَّة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، و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أوثق عرى الإيمان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للشيخ سليمان بن عبد الله، و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الدلائل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، له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أيضاً، و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سبيل النجاة والفكاك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لحمد بن عتيق، وبعض أبواب 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كتاب التوحيد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لم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حم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د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بن عبد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الوه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اب، والكتاب البديع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اقتضاء الصراط المستقيم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لشيخ الإسلام ابن تيمية،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و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الموالاة والمعاداة عند أهل السُنّة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لعبد الله بن عبد الحميد الأثري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.</w:t>
      </w:r>
    </w:p>
    <w:p w:rsidR="004F089E" w:rsidRPr="005C03E1" w:rsidRDefault="004F089E" w:rsidP="00B42294">
      <w:pPr>
        <w:bidi/>
        <w:ind w:left="284"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{{PG:215}}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وأم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ا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مسائل دمائهم: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فهناك 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انتقاض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الاعتراض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لعبد الله الرشيد</w:t>
      </w:r>
      <w:r w:rsidRPr="005C03E1">
        <w:rPr>
          <w:rStyle w:val="a3"/>
          <w:rFonts w:ascii="Traditional Arabic" w:hAnsi="Traditional Arabic" w:cs="Traditional Arabic"/>
          <w:color w:val="000000"/>
          <w:sz w:val="40"/>
          <w:szCs w:val="40"/>
          <w:rtl/>
        </w:rPr>
        <w:t>(</w:t>
      </w:r>
      <w:r w:rsidRPr="005C03E1">
        <w:rPr>
          <w:rStyle w:val="a3"/>
          <w:rFonts w:ascii="Traditional Arabic" w:hAnsi="Traditional Arabic" w:cs="Traditional Arabic"/>
          <w:color w:val="000000"/>
          <w:sz w:val="40"/>
          <w:szCs w:val="40"/>
          <w:rtl/>
        </w:rPr>
        <w:footnoteReference w:id="1"/>
      </w:r>
      <w:r w:rsidRPr="005C03E1">
        <w:rPr>
          <w:rStyle w:val="a3"/>
          <w:rFonts w:ascii="Traditional Arabic" w:hAnsi="Traditional Arabic" w:cs="Traditional Arabic"/>
          <w:color w:val="000000"/>
          <w:sz w:val="40"/>
          <w:szCs w:val="40"/>
          <w:rtl/>
        </w:rPr>
        <w:t>)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، وفصول من 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التبرئة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للظواهري،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و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حقيقة الحرب الصليبية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للعييري، و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فقه الجهاد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لأبي عبد الله المهاجر، وهناك قسم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مختصّ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بهذه المسألة في 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المنبر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، هذا ما يَحضُرُني الآن.</w:t>
      </w:r>
    </w:p>
    <w:p w:rsidR="004F089E" w:rsidRPr="005C03E1" w:rsidRDefault="004F089E" w:rsidP="00B42294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{{PG:216}}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والسلام عليكم.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br w:type="page"/>
      </w:r>
    </w:p>
    <w:p w:rsidR="004F089E" w:rsidRDefault="004F089E" w:rsidP="003811B6">
      <w:pPr>
        <w:bidi/>
        <w:rPr>
          <w:rtl/>
        </w:rPr>
        <w:sectPr w:rsidR="004F089E" w:rsidSect="004F089E">
          <w:footnotePr>
            <w:numRestart w:val="eachPage"/>
          </w:footnotePr>
          <w:type w:val="continuous"/>
          <w:pgSz w:w="11907" w:h="16840" w:code="9"/>
          <w:pgMar w:top="1418" w:right="1418" w:bottom="1418" w:left="1418" w:header="567" w:footer="567" w:gutter="0"/>
          <w:cols w:space="708"/>
          <w:titlePg/>
          <w:bidi/>
          <w:rtlGutter/>
          <w:docGrid w:linePitch="360"/>
        </w:sectPr>
      </w:pPr>
    </w:p>
    <w:p w:rsidR="00AC1DD7" w:rsidRDefault="00AC1DD7"/>
    <w:sectPr w:rsidR="00AC1D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C1DD7" w:rsidRDefault="00AC1DD7" w:rsidP="004F089E">
      <w:pPr>
        <w:spacing w:after="0" w:line="240" w:lineRule="auto"/>
      </w:pPr>
      <w:r>
        <w:separator/>
      </w:r>
    </w:p>
  </w:endnote>
  <w:endnote w:type="continuationSeparator" w:id="0">
    <w:p w:rsidR="00AC1DD7" w:rsidRDefault="00AC1DD7" w:rsidP="004F0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FS_P549">
    <w:altName w:val="QCF2BSML"/>
    <w:charset w:val="00"/>
    <w:family w:val="auto"/>
    <w:pitch w:val="variable"/>
    <w:sig w:usb0="80002003" w:usb1="90000000" w:usb2="00000008" w:usb3="00000000" w:csb0="8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C1DD7" w:rsidRDefault="00AC1DD7" w:rsidP="004F089E">
      <w:pPr>
        <w:spacing w:after="0" w:line="240" w:lineRule="auto"/>
      </w:pPr>
      <w:r>
        <w:separator/>
      </w:r>
    </w:p>
  </w:footnote>
  <w:footnote w:type="continuationSeparator" w:id="0">
    <w:p w:rsidR="00AC1DD7" w:rsidRDefault="00AC1DD7" w:rsidP="004F089E">
      <w:pPr>
        <w:spacing w:after="0" w:line="240" w:lineRule="auto"/>
      </w:pPr>
      <w:r>
        <w:continuationSeparator/>
      </w:r>
    </w:p>
  </w:footnote>
  <w:footnote w:id="1">
    <w:p w:rsidR="004F089E" w:rsidRPr="00127919" w:rsidRDefault="004F089E" w:rsidP="00127919">
      <w:pPr>
        <w:bidi/>
        <w:ind w:left="566" w:hanging="283"/>
        <w:rPr>
          <w:rFonts w:ascii="Traditional Arabic" w:hAnsi="Traditional Arabic" w:cs="Traditional Arabic"/>
          <w:sz w:val="32"/>
          <w:szCs w:val="32"/>
        </w:rPr>
      </w:pPr>
      <w:r w:rsidRPr="00127919">
        <w:rPr>
          <w:rStyle w:val="a3"/>
          <w:rFonts w:ascii="Traditional Arabic" w:hAnsi="Traditional Arabic" w:cs="Traditional Arabic"/>
          <w:sz w:val="32"/>
          <w:szCs w:val="32"/>
          <w:vertAlign w:val="baseline"/>
          <w:rtl/>
        </w:rPr>
        <w:t>(</w:t>
      </w:r>
      <w:r w:rsidRPr="00127919">
        <w:rPr>
          <w:rStyle w:val="a3"/>
          <w:rFonts w:ascii="Traditional Arabic" w:hAnsi="Traditional Arabic" w:cs="Traditional Arabic"/>
          <w:sz w:val="32"/>
          <w:szCs w:val="32"/>
          <w:vertAlign w:val="baseline"/>
          <w:rtl/>
        </w:rPr>
        <w:footnoteRef/>
      </w:r>
      <w:r w:rsidRPr="00127919">
        <w:rPr>
          <w:rStyle w:val="a3"/>
          <w:rFonts w:ascii="Traditional Arabic" w:hAnsi="Traditional Arabic" w:cs="Traditional Arabic"/>
          <w:sz w:val="32"/>
          <w:szCs w:val="32"/>
          <w:vertAlign w:val="baseline"/>
          <w:rtl/>
        </w:rPr>
        <w:t>)</w:t>
      </w:r>
      <w:r w:rsidRPr="00127919">
        <w:rPr>
          <w:rStyle w:val="a3"/>
          <w:rFonts w:ascii="Traditional Arabic" w:hAnsi="Traditional Arabic" w:cs="Traditional Arabic" w:hint="cs"/>
          <w:sz w:val="32"/>
          <w:szCs w:val="32"/>
          <w:vertAlign w:val="baseline"/>
          <w:rtl/>
        </w:rPr>
        <w:t xml:space="preserve"> </w:t>
      </w:r>
      <w:r w:rsidRPr="00127919">
        <w:rPr>
          <w:rFonts w:ascii="Traditional Arabic" w:hAnsi="Traditional Arabic" w:cs="Traditional Arabic" w:hint="cs"/>
          <w:sz w:val="32"/>
          <w:szCs w:val="32"/>
          <w:rtl/>
        </w:rPr>
        <w:t>هو الشيخ عبد العزيز الطويلعي تقبّله الله.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933CBF"/>
    <w:multiLevelType w:val="hybridMultilevel"/>
    <w:tmpl w:val="AA7E4B3E"/>
    <w:lvl w:ilvl="0" w:tplc="3E84C770">
      <w:numFmt w:val="bullet"/>
      <w:suff w:val="nothing"/>
      <w:lvlText w:val="-"/>
      <w:lvlJc w:val="left"/>
      <w:pPr>
        <w:ind w:left="284" w:firstLine="0"/>
      </w:pPr>
      <w:rPr>
        <w:rFonts w:ascii="Traditional Arabic" w:eastAsia="Times New Roman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7E41485E"/>
    <w:multiLevelType w:val="hybridMultilevel"/>
    <w:tmpl w:val="79041BF4"/>
    <w:lvl w:ilvl="0" w:tplc="519C64CC">
      <w:start w:val="1"/>
      <w:numFmt w:val="decimal"/>
      <w:suff w:val="nothing"/>
      <w:lvlText w:val="%1-"/>
      <w:lvlJc w:val="left"/>
      <w:pPr>
        <w:ind w:left="170" w:firstLine="114"/>
      </w:pPr>
      <w:rPr>
        <w:rFonts w:ascii="Traditional Arabic" w:eastAsiaTheme="minorHAnsi" w:hAnsi="Traditional Arabic" w:cs="Traditional Arabic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778871698">
    <w:abstractNumId w:val="0"/>
  </w:num>
  <w:num w:numId="2" w16cid:durableId="1762481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89E"/>
    <w:rsid w:val="004F089E"/>
    <w:rsid w:val="006221E0"/>
    <w:rsid w:val="00AC1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  <w15:docId w15:val="{E014E961-3A03-4DE7-B50E-FF04D33DC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F089E"/>
    <w:pPr>
      <w:keepNext/>
      <w:keepLines/>
      <w:spacing w:before="480" w:after="0" w:line="240" w:lineRule="auto"/>
      <w:ind w:firstLine="284"/>
      <w:jc w:val="both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F089E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styleId="a3">
    <w:name w:val="footnote reference"/>
    <w:aliases w:val="AA Footnote"/>
    <w:rsid w:val="004F089E"/>
    <w:rPr>
      <w:vertAlign w:val="superscript"/>
    </w:rPr>
  </w:style>
  <w:style w:type="paragraph" w:styleId="a4">
    <w:name w:val="List Paragraph"/>
    <w:basedOn w:val="a"/>
    <w:uiPriority w:val="34"/>
    <w:qFormat/>
    <w:rsid w:val="004F089E"/>
    <w:pPr>
      <w:bidi/>
      <w:spacing w:after="0" w:line="240" w:lineRule="auto"/>
      <w:ind w:left="720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1132</Words>
  <Characters>6453</Characters>
  <Application>Microsoft Office Word</Application>
  <DocSecurity>0</DocSecurity>
  <Lines>53</Lines>
  <Paragraphs>15</Paragraphs>
  <ScaleCrop>false</ScaleCrop>
  <Company/>
  <LinksUpToDate>false</LinksUpToDate>
  <CharactersWithSpaces>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/>
  <cp:revision>1</cp:revision>
  <dcterms:created xsi:type="dcterms:W3CDTF">2026-01-14T14:34:00Z</dcterms:created>
</cp:coreProperties>
</file>