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rFonts w:ascii="Arial Black" w:hAnsi="Arial Black"/>
          <w:sz w:val="28"/>
          <w:szCs w:val="28"/>
        </w:rPr>
      </w:pPr>
      <w:r>
        <w:rPr>
          <w:rFonts w:ascii="Arial Black" w:hAnsi="Arial Black"/>
          <w:sz w:val="28"/>
          <w:szCs w:val="28"/>
        </w:rPr>
        <w:t>Print en Uitdeelinstructie voor op naam gestelde examens</w:t>
      </w:r>
    </w:p>
    <w:p>
      <w:pPr>
        <w:pStyle w:val="Quotations"/>
        <w:rPr>
          <w:rFonts w:ascii="Arial" w:hAnsi="Arial"/>
        </w:rPr>
      </w:pPr>
      <w:r>
        <w:rPr>
          <w:rFonts w:cs="Arial" w:ascii="Arial" w:hAnsi="Arial"/>
          <w:sz w:val="20"/>
          <w:szCs w:val="20"/>
          <w:lang w:val="nl-NL"/>
        </w:rPr>
        <w:t xml:space="preserve">De op naam gesteld examens zijn multiplechoice examens met optioneel een aantal open vragen. De examens bestaan uit twee delen: </w:t>
      </w:r>
    </w:p>
    <w:p>
      <w:pPr>
        <w:pStyle w:val="ListParagraph"/>
        <w:numPr>
          <w:ilvl w:val="0"/>
          <w:numId w:val="1"/>
        </w:numPr>
        <w:rPr>
          <w:rFonts w:ascii="Arial" w:hAnsi="Arial"/>
        </w:rPr>
      </w:pPr>
      <w:r>
        <w:rPr>
          <w:rFonts w:cs="Arial" w:ascii="Arial" w:hAnsi="Arial"/>
          <w:sz w:val="20"/>
          <w:szCs w:val="20"/>
          <w:lang w:val="nl-NL"/>
        </w:rPr>
        <w:t xml:space="preserve">Een opgaven set en </w:t>
      </w:r>
    </w:p>
    <w:p>
      <w:pPr>
        <w:pStyle w:val="ListParagraph"/>
        <w:numPr>
          <w:ilvl w:val="0"/>
          <w:numId w:val="1"/>
        </w:numPr>
        <w:rPr>
          <w:rFonts w:ascii="Arial" w:hAnsi="Arial" w:eastAsia="Droid Sans Fallback" w:cs="Arial"/>
          <w:color w:val="00000A"/>
          <w:sz w:val="20"/>
          <w:szCs w:val="20"/>
          <w:lang w:val="nl-NL" w:eastAsia="en-US" w:bidi="ar-SA"/>
        </w:rPr>
      </w:pPr>
      <w:r>
        <w:rPr>
          <w:rFonts w:cs="Arial" w:ascii="Arial" w:hAnsi="Arial"/>
          <w:sz w:val="20"/>
          <w:szCs w:val="20"/>
          <w:lang w:val="nl-NL"/>
        </w:rPr>
        <w:t xml:space="preserve">een antwoordblad. </w:t>
      </w:r>
    </w:p>
    <w:p>
      <w:pPr>
        <w:pStyle w:val="Normal"/>
        <w:rPr>
          <w:rFonts w:ascii="Arial" w:hAnsi="Arial"/>
        </w:rPr>
      </w:pPr>
      <w:r>
        <w:rPr>
          <w:rFonts w:cs="Arial" w:ascii="Arial" w:hAnsi="Arial"/>
          <w:sz w:val="20"/>
          <w:szCs w:val="20"/>
          <w:lang w:val="nl-NL"/>
        </w:rPr>
        <w:t xml:space="preserve">Deze twee zijn beiden persoonlijk en mogen </w:t>
      </w:r>
      <w:r>
        <w:rPr>
          <w:rFonts w:cs="Arial" w:ascii="Arial" w:hAnsi="Arial"/>
          <w:b/>
          <w:sz w:val="20"/>
          <w:szCs w:val="20"/>
          <w:lang w:val="nl-NL"/>
        </w:rPr>
        <w:t>niet</w:t>
      </w:r>
      <w:r>
        <w:rPr>
          <w:rFonts w:cs="Arial" w:ascii="Arial" w:hAnsi="Arial"/>
          <w:sz w:val="20"/>
          <w:szCs w:val="20"/>
          <w:lang w:val="nl-NL"/>
        </w:rPr>
        <w:t xml:space="preserve"> door elkaar gebruikt worden.</w:t>
      </w:r>
    </w:p>
    <w:p>
      <w:pPr>
        <w:pStyle w:val="Heading2"/>
        <w:rPr>
          <w:rFonts w:ascii="Arial" w:hAnsi="Arial"/>
        </w:rPr>
      </w:pPr>
      <w:r>
        <w:rPr>
          <w:rFonts w:ascii="Arial" w:hAnsi="Arial"/>
        </w:rPr>
        <w:t>Printen</w:t>
      </w:r>
    </w:p>
    <w:p>
      <w:pPr>
        <w:pStyle w:val="Normal"/>
        <w:rPr>
          <w:rFonts w:ascii="Arial" w:hAnsi="Arial" w:eastAsia="Droid Sans Fallback" w:cs="Arial"/>
          <w:color w:val="00000A"/>
          <w:sz w:val="20"/>
          <w:szCs w:val="20"/>
          <w:lang w:val="nl-NL" w:eastAsia="en-US" w:bidi="ar-SA"/>
        </w:rPr>
      </w:pPr>
      <w:r>
        <w:rPr>
          <w:rFonts w:eastAsia="Droid Sans Fallback" w:cs="Arial" w:ascii="Arial" w:hAnsi="Arial"/>
          <w:color w:val="00000A"/>
          <w:sz w:val="20"/>
          <w:szCs w:val="20"/>
          <w:lang w:val="nl-NL" w:eastAsia="en-US" w:bidi="ar-SA"/>
        </w:rPr>
        <w:t xml:space="preserve">De antwoordbladen zitten in één bestand, </w:t>
      </w:r>
      <w:r>
        <w:rPr>
          <w:rFonts w:eastAsia="Droid Sans Fallback" w:cs="Arial" w:ascii="Arial" w:hAnsi="Arial"/>
          <w:b/>
          <w:bCs/>
          <w:color w:val="00000A"/>
          <w:sz w:val="20"/>
          <w:szCs w:val="20"/>
          <w:lang w:val="nl-NL" w:eastAsia="en-US" w:bidi="ar-SA"/>
        </w:rPr>
        <w:t>forms.pdf,</w:t>
      </w:r>
      <w:r>
        <w:rPr>
          <w:rFonts w:eastAsia="Droid Sans Fallback" w:cs="Arial" w:ascii="Arial" w:hAnsi="Arial"/>
          <w:color w:val="00000A"/>
          <w:sz w:val="20"/>
          <w:szCs w:val="20"/>
          <w:lang w:val="nl-NL" w:eastAsia="en-US" w:bidi="ar-SA"/>
        </w:rPr>
        <w:t xml:space="preserve"> samen met deze pagina. Dit dient enkelzijdig te worden geprint. De bladen staan in de gewenste sorteervolgorde. De bestanden me namen als s0003S.pdf dienen in de volgorden van de bestandsnaam vergaard te moeten worden. Daardoor kan de surveillant zowel de lege antwoordbladen klaarleggen zodat de studenten hun plaats kunnen vinden, en dan de vragensets in dezelfde volgorde verdelen, en eenvoudig ook alleen die tentamens uitdelen waarvoor de student aanwezig is. De lege antwoordbladen bevatten geen vertrouwelijke informatie, de vragensets wel.</w:t>
      </w:r>
    </w:p>
    <w:p>
      <w:pPr>
        <w:pStyle w:val="Normal"/>
        <w:rPr>
          <w:rFonts w:ascii="Liberation Sans" w:hAnsi="Liberation Sans" w:eastAsia="Droid Sans Fallback" w:cs="FreeSans"/>
          <w:color w:val="00000A"/>
          <w:sz w:val="28"/>
          <w:szCs w:val="28"/>
          <w:lang w:val="nl-NL" w:eastAsia="en-US" w:bidi="ar-SA"/>
        </w:rPr>
      </w:pPr>
      <w:r>
        <w:rPr>
          <w:rFonts w:eastAsia="Droid Sans Fallback" w:cs="FreeSans" w:ascii="Arial" w:hAnsi="Arial"/>
          <w:color w:val="00000A"/>
          <w:sz w:val="28"/>
          <w:szCs w:val="28"/>
          <w:lang w:val="nl-NL" w:eastAsia="en-US" w:bidi="ar-SA"/>
        </w:rPr>
        <w:t>Tijdens de zitting</w:t>
      </w:r>
    </w:p>
    <w:p>
      <w:pPr>
        <w:pStyle w:val="Normal"/>
        <w:rPr>
          <w:rFonts w:ascii="Arial" w:hAnsi="Arial"/>
        </w:rPr>
      </w:pPr>
      <w:r>
        <w:rPr>
          <w:rFonts w:cs="Arial" w:ascii="Arial" w:hAnsi="Arial"/>
          <w:sz w:val="20"/>
          <w:szCs w:val="20"/>
          <w:lang w:val="nl-NL"/>
        </w:rPr>
        <w:t>Bij dit type tentamen dienen de studenten de antwoordbladen met potlood in te vullen. Daartoe verstrekt de surveillant een potlood en gum per kandidaat. Een rode kist met potloden en gummen staat ter beschikking bij de studentenadministratie, kamer W1 0.81.</w:t>
      </w:r>
    </w:p>
    <w:p>
      <w:pPr>
        <w:pStyle w:val="Heading2"/>
        <w:rPr>
          <w:rFonts w:ascii="Arial" w:hAnsi="Arial"/>
        </w:rPr>
      </w:pPr>
      <w:r>
        <w:rPr>
          <w:rFonts w:ascii="Arial" w:hAnsi="Arial"/>
        </w:rPr>
        <w:t>Uitdelen</w:t>
      </w:r>
    </w:p>
    <w:p>
      <w:pPr>
        <w:pStyle w:val="Normal"/>
        <w:rPr>
          <w:rFonts w:ascii="Arial" w:hAnsi="Arial"/>
        </w:rPr>
      </w:pPr>
      <w:r>
        <w:rPr>
          <w:rFonts w:cs="Arial" w:ascii="Arial" w:hAnsi="Arial"/>
          <w:sz w:val="20"/>
          <w:szCs w:val="20"/>
          <w:lang w:val="nl-NL"/>
        </w:rPr>
        <w:t>Het eenvoudigst is om de antwoordformulieren plus potlood en gum al vóór het aanvangstijdstip uit te delen en de studenten nog even niet in de klas te laten. De antwoordformulieren zijn alfabetisch gesorteerd, dus wanneer in die volgorde wordt uitgedeeld kunnen de studenten snel hun plaats vinden. Na één tentamen zijn ze daaraan gewend.</w:t>
      </w:r>
    </w:p>
    <w:p>
      <w:pPr>
        <w:pStyle w:val="Normal"/>
        <w:rPr>
          <w:rFonts w:ascii="Arial" w:hAnsi="Arial" w:eastAsia="Droid Sans Fallback" w:cs="Arial"/>
          <w:color w:val="00000A"/>
          <w:sz w:val="20"/>
          <w:szCs w:val="20"/>
          <w:lang w:val="nl-NL" w:eastAsia="en-US" w:bidi="ar-SA"/>
        </w:rPr>
      </w:pPr>
      <w:r>
        <w:rPr>
          <w:rFonts w:cs="Arial" w:ascii="Arial" w:hAnsi="Arial"/>
          <w:sz w:val="20"/>
          <w:szCs w:val="20"/>
          <w:lang w:val="nl-NL"/>
        </w:rPr>
        <w:t>Nadat alle studenten binnen zijn kan begonnen worden met het uitdelen van de tentamens. Ook deze zijn gesorteerd op alfabet, zodat het uitdelen snel kan.</w:t>
      </w:r>
    </w:p>
    <w:p>
      <w:pPr>
        <w:pStyle w:val="Normal"/>
        <w:rPr>
          <w:rFonts w:ascii="Arial" w:hAnsi="Arial" w:eastAsia="Droid Sans Fallback" w:cs="Arial"/>
          <w:color w:val="00000A"/>
          <w:sz w:val="20"/>
          <w:szCs w:val="20"/>
          <w:lang w:val="nl-NL" w:eastAsia="en-US" w:bidi="ar-SA"/>
        </w:rPr>
      </w:pPr>
      <w:r>
        <w:rPr>
          <w:rFonts w:cs="Arial" w:ascii="Arial" w:hAnsi="Arial"/>
          <w:sz w:val="20"/>
          <w:szCs w:val="20"/>
          <w:lang w:val="nl-NL"/>
        </w:rPr>
        <w:t>Na afloop moeten zowel de opgaven als de antwoordvellen worden ingeleverd.</w:t>
      </w:r>
    </w:p>
    <w:p>
      <w:pPr>
        <w:pStyle w:val="Heading2"/>
        <w:rPr>
          <w:rFonts w:ascii="Arial" w:hAnsi="Arial"/>
        </w:rPr>
      </w:pPr>
      <w:r>
        <w:rPr>
          <w:rFonts w:ascii="Arial" w:hAnsi="Arial"/>
        </w:rPr>
        <w:t>Geen examen?</w:t>
      </w:r>
    </w:p>
    <w:p>
      <w:pPr>
        <w:pStyle w:val="Normal"/>
        <w:rPr>
          <w:rFonts w:ascii="Arial" w:hAnsi="Arial" w:eastAsia="Droid Sans Fallback" w:cs="Arial"/>
          <w:color w:val="00000A"/>
          <w:sz w:val="20"/>
          <w:szCs w:val="20"/>
          <w:lang w:val="nl-NL" w:eastAsia="en-US" w:bidi="ar-SA"/>
        </w:rPr>
      </w:pPr>
      <w:r>
        <w:rPr>
          <w:rFonts w:cs="Arial" w:ascii="Arial" w:hAnsi="Arial"/>
          <w:sz w:val="20"/>
          <w:szCs w:val="20"/>
          <w:lang w:val="nl-NL"/>
        </w:rPr>
        <w:t>Als er kandidaten zijn waarvoor geen examen is afgedrukt, kan één van de (8) reserve examens en bijbehorende antwoordformulieren worden gebruikt:</w:t>
      </w:r>
    </w:p>
    <w:p>
      <w:pPr>
        <w:pStyle w:val="ListParagraph"/>
        <w:numPr>
          <w:ilvl w:val="0"/>
          <w:numId w:val="2"/>
        </w:numPr>
        <w:rPr>
          <w:rFonts w:ascii="Arial" w:hAnsi="Arial" w:eastAsia="Droid Sans Fallback" w:cs="Arial"/>
          <w:color w:val="00000A"/>
          <w:sz w:val="20"/>
          <w:szCs w:val="20"/>
          <w:lang w:val="nl-NL" w:eastAsia="en-US" w:bidi="ar-SA"/>
        </w:rPr>
      </w:pPr>
      <w:r>
        <w:rPr>
          <w:rFonts w:cs="Arial" w:ascii="Arial" w:hAnsi="Arial"/>
          <w:sz w:val="20"/>
          <w:szCs w:val="20"/>
          <w:lang w:val="nl-NL"/>
        </w:rPr>
        <w:t>Karel Kandidaat, Koos Kandidaat, … (NL)</w:t>
      </w:r>
    </w:p>
    <w:p>
      <w:pPr>
        <w:pStyle w:val="ListParagraph"/>
        <w:numPr>
          <w:ilvl w:val="0"/>
          <w:numId w:val="2"/>
        </w:numPr>
        <w:rPr>
          <w:rFonts w:ascii="Arial" w:hAnsi="Arial" w:eastAsia="Droid Sans Fallback" w:cs="Arial"/>
          <w:color w:val="00000A"/>
          <w:sz w:val="20"/>
          <w:szCs w:val="20"/>
          <w:lang w:val="nl-NL" w:eastAsia="en-US" w:bidi="ar-SA"/>
        </w:rPr>
      </w:pPr>
      <w:r>
        <w:rPr>
          <w:rFonts w:cs="Arial" w:ascii="Arial" w:hAnsi="Arial"/>
          <w:sz w:val="20"/>
          <w:szCs w:val="20"/>
          <w:lang w:val="nl-NL"/>
        </w:rPr>
        <w:t>Karl Kandidat, Kurt Kandidat, … (DE)</w:t>
      </w:r>
    </w:p>
    <w:p>
      <w:pPr>
        <w:pStyle w:val="Heading2"/>
        <w:rPr>
          <w:rFonts w:ascii="Arial" w:hAnsi="Arial"/>
        </w:rPr>
      </w:pPr>
      <w:r>
        <w:rPr>
          <w:rFonts w:ascii="Arial" w:hAnsi="Arial"/>
        </w:rPr>
        <w:t>Invullen</w:t>
      </w:r>
    </w:p>
    <w:p>
      <w:pPr>
        <w:pStyle w:val="Normal"/>
        <w:rPr>
          <w:rFonts w:ascii="Arial" w:hAnsi="Arial" w:eastAsia="Droid Sans Fallback" w:cs="Arial"/>
          <w:color w:val="00000A"/>
          <w:sz w:val="20"/>
          <w:szCs w:val="20"/>
          <w:lang w:val="nl-NL" w:eastAsia="en-US" w:bidi="ar-SA"/>
        </w:rPr>
      </w:pPr>
      <w:r>
        <w:rPr>
          <w:rFonts w:cs="Arial" w:ascii="Arial" w:hAnsi="Arial"/>
          <w:sz w:val="20"/>
          <w:szCs w:val="20"/>
          <w:lang w:val="nl-NL"/>
        </w:rPr>
        <w:t>De studenten mogen op de tentamen bladen schrijven. Volgens de gegeven tip (hinweis in het Duits) vullen ze hun antwoorden eerst in op het tenantamen en kopieren die daarna naar het antwoord blad, zodra ze zeker zijn.</w:t>
      </w:r>
    </w:p>
    <w:p>
      <w:pPr>
        <w:pStyle w:val="Heading2"/>
        <w:rPr>
          <w:rFonts w:ascii="Arial" w:hAnsi="Arial"/>
        </w:rPr>
      </w:pPr>
      <w:r>
        <w:rPr>
          <w:rFonts w:ascii="Arial" w:hAnsi="Arial"/>
        </w:rPr>
        <w:t>Foutief ingevuld?</w:t>
      </w:r>
    </w:p>
    <w:p>
      <w:pPr>
        <w:pStyle w:val="Normal"/>
        <w:rPr>
          <w:rFonts w:ascii="Arial" w:hAnsi="Arial"/>
        </w:rPr>
      </w:pPr>
      <w:r>
        <w:rPr>
          <w:rFonts w:cs="Arial" w:ascii="Arial" w:hAnsi="Arial"/>
          <w:sz w:val="20"/>
          <w:szCs w:val="20"/>
          <w:lang w:val="nl-NL"/>
        </w:rPr>
        <w:t>Voor het corrigeren van een foutief ingekleurd hokje kunnen de studenten de verstrekte gum gebruiken. Dit dient echter zorgvuldig en liefst niet te vaak gebeuren.</w:t>
      </w:r>
    </w:p>
    <w:p>
      <w:pPr>
        <w:pStyle w:val="Normal"/>
        <w:rPr>
          <w:rFonts w:ascii="Arial" w:hAnsi="Arial"/>
        </w:rPr>
      </w:pPr>
      <w:r>
        <w:rPr>
          <w:rFonts w:eastAsia="Droid Sans Fallback" w:cs="FreeSans" w:ascii="Arial" w:hAnsi="Arial"/>
          <w:color w:val="00000A"/>
          <w:sz w:val="28"/>
          <w:szCs w:val="28"/>
          <w:lang w:val="nl-NL" w:eastAsia="en-US" w:bidi="ar-SA"/>
        </w:rPr>
        <w:t>Vergaren.</w:t>
      </w:r>
    </w:p>
    <w:p>
      <w:pPr>
        <w:pStyle w:val="Normal"/>
        <w:spacing w:before="0" w:after="200"/>
        <w:rPr/>
      </w:pPr>
      <w:r>
        <w:rPr>
          <w:rFonts w:eastAsia="Droid Sans Fallback" w:cs="Arial" w:ascii="Arial" w:hAnsi="Arial"/>
          <w:color w:val="00000A"/>
          <w:sz w:val="20"/>
          <w:szCs w:val="20"/>
          <w:lang w:val="nl-NL" w:eastAsia="en-US" w:bidi="ar-SA"/>
        </w:rPr>
        <w:t>Tentamen opgaven en antwoordblad gescheiden van elkaar inzamelen. Na afloop de antwoordformulieren separaat verzamelen in de plastic insteekhoes, liefst alfabetisch. Het is van belang dat deze formulier ongekreukt blijven omdat ze bij de correctie machinaal worden uitgelezen.</w:t>
      </w:r>
    </w:p>
    <w:sectPr>
      <w:type w:val="nextPage"/>
      <w:pgSz w:w="11906" w:h="16838"/>
      <w:pgMar w:left="1005" w:right="1001" w:header="0" w:top="1200" w:footer="0" w:bottom="788" w:gutter="0"/>
      <w:pgNumType w:fmt="decimal"/>
      <w:cols w:num="2" w:space="114" w:equalWidth="true" w:sep="false"/>
      <w:formProt w:val="false"/>
      <w:textDirection w:val="lrTb"/>
      <w:docGrid w:type="default" w:linePitch="360" w:charSpace="4294965247"/>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Tahoma">
    <w:charset w:val="01"/>
    <w:family w:val="roman"/>
    <w:pitch w:val="variable"/>
  </w:font>
  <w:font w:name="Arial">
    <w:charset w:val="01"/>
    <w:family w:val="roman"/>
    <w:pitch w:val="variable"/>
  </w:font>
  <w:font w:name="Liberation Sans">
    <w:altName w:val="Arial"/>
    <w:charset w:val="01"/>
    <w:family w:val="roman"/>
    <w:pitch w:val="variable"/>
  </w:font>
  <w:font w:name="Arial Black">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360"/>
      </w:pPr>
      <w:rPr>
        <w:rFonts w:ascii="Symbol" w:hAnsi="Symbol" w:cs="Symbol" w:hint="default"/>
        <w:sz w:val="20"/>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2">
    <w:lvl w:ilvl="0">
      <w:start w:val="1"/>
      <w:numFmt w:val="bullet"/>
      <w:lvlText w:val=""/>
      <w:lvlJc w:val="left"/>
      <w:pPr>
        <w:ind w:left="720" w:hanging="360"/>
      </w:pPr>
      <w:rPr>
        <w:rFonts w:ascii="Symbol" w:hAnsi="Symbol" w:cs="Symbol" w:hint="default"/>
        <w:sz w:val="20"/>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3">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false"/>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Droid Sans Fallback" w:cs="Calibri"/>
        <w:sz w:val="20"/>
        <w:szCs w:val="22"/>
        <w:lang w:val="nl-NL" w:eastAsia="en-US" w:bidi="ar-SA"/>
      </w:rPr>
    </w:rPrDefault>
    <w:pPrDefault>
      <w:pPr/>
    </w:pPrDefault>
  </w:docDefaults>
  <w:style w:type="paragraph" w:styleId="Normal">
    <w:name w:val="Normal"/>
    <w:qFormat/>
    <w:pPr>
      <w:widowControl/>
      <w:suppressAutoHyphens w:val="true"/>
      <w:overflowPunct w:val="false"/>
      <w:bidi w:val="0"/>
      <w:spacing w:lineRule="auto" w:line="276" w:before="0" w:after="200"/>
      <w:jc w:val="left"/>
    </w:pPr>
    <w:rPr>
      <w:rFonts w:ascii="Calibri" w:hAnsi="Calibri" w:eastAsia="Droid Sans Fallback" w:cs="Calibri"/>
      <w:color w:val="00000A"/>
      <w:sz w:val="22"/>
      <w:szCs w:val="22"/>
      <w:lang w:val="nl-NL" w:eastAsia="en-US" w:bidi="ar-SA"/>
    </w:rPr>
  </w:style>
  <w:style w:type="paragraph" w:styleId="Heading1">
    <w:name w:val="Heading 1"/>
    <w:basedOn w:val="Normal"/>
    <w:qFormat/>
    <w:pPr>
      <w:keepNext/>
      <w:keepLines/>
      <w:spacing w:before="480" w:after="0"/>
      <w:outlineLvl w:val="0"/>
    </w:pPr>
    <w:rPr>
      <w:rFonts w:ascii="Cambria" w:hAnsi="Cambria" w:cs="Calibri"/>
      <w:b/>
      <w:bCs/>
      <w:color w:val="000000"/>
      <w:sz w:val="28"/>
      <w:szCs w:val="28"/>
    </w:rPr>
  </w:style>
  <w:style w:type="paragraph" w:styleId="Heading2">
    <w:name w:val="Heading 2"/>
    <w:basedOn w:val="Heading"/>
    <w:qFormat/>
    <w:pPr/>
    <w:rPr/>
  </w:style>
  <w:style w:type="paragraph" w:styleId="Heading3">
    <w:name w:val="Heading 3"/>
    <w:basedOn w:val="Heading"/>
    <w:qFormat/>
    <w:pPr/>
    <w:rPr/>
  </w:style>
  <w:style w:type="character" w:styleId="DefaultParagraphFont">
    <w:name w:val="Default Paragraph Font"/>
    <w:qFormat/>
    <w:rPr/>
  </w:style>
  <w:style w:type="character" w:styleId="TitelChar">
    <w:name w:val="Titel Char"/>
    <w:basedOn w:val="DefaultParagraphFont"/>
    <w:qFormat/>
    <w:rPr>
      <w:rFonts w:ascii="Cambria" w:hAnsi="Cambria" w:cs="Calibri"/>
      <w:color w:val="17365D"/>
      <w:spacing w:val="5"/>
      <w:sz w:val="52"/>
      <w:szCs w:val="52"/>
    </w:rPr>
  </w:style>
  <w:style w:type="character" w:styleId="Kop1Char">
    <w:name w:val="Kop 1 Char"/>
    <w:basedOn w:val="DefaultParagraphFont"/>
    <w:qFormat/>
    <w:rPr>
      <w:rFonts w:ascii="Cambria" w:hAnsi="Cambria" w:cs="Calibri"/>
      <w:b/>
      <w:bCs/>
      <w:color w:val="365F91"/>
      <w:sz w:val="28"/>
      <w:szCs w:val="28"/>
    </w:rPr>
  </w:style>
  <w:style w:type="character" w:styleId="DuidelijkcitaatChar">
    <w:name w:val="Duidelijk citaat Char"/>
    <w:basedOn w:val="DefaultParagraphFont"/>
    <w:qFormat/>
    <w:rPr>
      <w:b/>
      <w:bCs/>
      <w:i/>
      <w:iCs/>
      <w:color w:val="4F81BD"/>
    </w:rPr>
  </w:style>
  <w:style w:type="character" w:styleId="BallontekstChar">
    <w:name w:val="Ballontekst Char"/>
    <w:basedOn w:val="DefaultParagraphFont"/>
    <w:qFormat/>
    <w:rPr>
      <w:rFonts w:ascii="Tahoma" w:hAnsi="Tahoma" w:cs="Tahoma"/>
      <w:sz w:val="16"/>
      <w:szCs w:val="16"/>
    </w:rPr>
  </w:style>
  <w:style w:type="character" w:styleId="ListLabel1">
    <w:name w:val="ListLabel 1"/>
    <w:qFormat/>
    <w:rPr>
      <w:rFonts w:cs="Courier New"/>
    </w:rPr>
  </w:style>
  <w:style w:type="character" w:styleId="ListLabel2">
    <w:name w:val="ListLabel 2"/>
    <w:qFormat/>
    <w:rPr>
      <w:rFonts w:cs="Symbol"/>
    </w:rPr>
  </w:style>
  <w:style w:type="character" w:styleId="ListLabel3">
    <w:name w:val="ListLabel 3"/>
    <w:qFormat/>
    <w:rPr>
      <w:rFonts w:cs="Courier New"/>
    </w:rPr>
  </w:style>
  <w:style w:type="character" w:styleId="ListLabel4">
    <w:name w:val="ListLabel 4"/>
    <w:qFormat/>
    <w:rPr>
      <w:rFonts w:cs="Wingdings"/>
    </w:rPr>
  </w:style>
  <w:style w:type="character" w:styleId="ListLabel5">
    <w:name w:val="ListLabel 5"/>
    <w:qFormat/>
    <w:rPr>
      <w:rFonts w:ascii="Arial" w:hAnsi="Arial" w:cs="Symbol"/>
      <w:sz w:val="20"/>
    </w:rPr>
  </w:style>
  <w:style w:type="character" w:styleId="ListLabel6">
    <w:name w:val="ListLabel 6"/>
    <w:qFormat/>
    <w:rPr>
      <w:rFonts w:cs="Courier New"/>
    </w:rPr>
  </w:style>
  <w:style w:type="character" w:styleId="ListLabel7">
    <w:name w:val="ListLabel 7"/>
    <w:qFormat/>
    <w:rPr>
      <w:rFonts w:cs="Wingdings"/>
    </w:rPr>
  </w:style>
  <w:style w:type="character" w:styleId="ListLabel8">
    <w:name w:val="ListLabel 8"/>
    <w:qFormat/>
    <w:rPr>
      <w:rFonts w:cs="Symbol"/>
    </w:rPr>
  </w:style>
  <w:style w:type="character" w:styleId="ListLabel9">
    <w:name w:val="ListLabel 9"/>
    <w:qFormat/>
    <w:rPr>
      <w:rFonts w:cs="Courier New"/>
    </w:rPr>
  </w:style>
  <w:style w:type="character" w:styleId="ListLabel10">
    <w:name w:val="ListLabel 10"/>
    <w:qFormat/>
    <w:rPr>
      <w:rFonts w:cs="Wingdings"/>
    </w:rPr>
  </w:style>
  <w:style w:type="character" w:styleId="ListLabel11">
    <w:name w:val="ListLabel 11"/>
    <w:qFormat/>
    <w:rPr>
      <w:rFonts w:cs="Symbol"/>
    </w:rPr>
  </w:style>
  <w:style w:type="character" w:styleId="ListLabel12">
    <w:name w:val="ListLabel 12"/>
    <w:qFormat/>
    <w:rPr>
      <w:rFonts w:cs="Courier New"/>
    </w:rPr>
  </w:style>
  <w:style w:type="character" w:styleId="ListLabel13">
    <w:name w:val="ListLabel 13"/>
    <w:qFormat/>
    <w:rPr>
      <w:rFonts w:cs="Wingdings"/>
    </w:rPr>
  </w:style>
  <w:style w:type="character" w:styleId="ListLabel14">
    <w:name w:val="ListLabel 14"/>
    <w:qFormat/>
    <w:rPr>
      <w:rFonts w:ascii="Arial" w:hAnsi="Arial" w:cs="Symbol"/>
      <w:sz w:val="20"/>
    </w:rPr>
  </w:style>
  <w:style w:type="character" w:styleId="ListLabel15">
    <w:name w:val="ListLabel 15"/>
    <w:qFormat/>
    <w:rPr>
      <w:rFonts w:cs="Courier New"/>
    </w:rPr>
  </w:style>
  <w:style w:type="character" w:styleId="ListLabel16">
    <w:name w:val="ListLabel 16"/>
    <w:qFormat/>
    <w:rPr>
      <w:rFonts w:cs="Wingdings"/>
    </w:rPr>
  </w:style>
  <w:style w:type="character" w:styleId="ListLabel17">
    <w:name w:val="ListLabel 17"/>
    <w:qFormat/>
    <w:rPr>
      <w:rFonts w:cs="Symbol"/>
    </w:rPr>
  </w:style>
  <w:style w:type="character" w:styleId="ListLabel18">
    <w:name w:val="ListLabel 18"/>
    <w:qFormat/>
    <w:rPr>
      <w:rFonts w:cs="Courier New"/>
    </w:rPr>
  </w:style>
  <w:style w:type="character" w:styleId="ListLabel19">
    <w:name w:val="ListLabel 19"/>
    <w:qFormat/>
    <w:rPr>
      <w:rFonts w:cs="Wingdings"/>
    </w:rPr>
  </w:style>
  <w:style w:type="character" w:styleId="ListLabel20">
    <w:name w:val="ListLabel 20"/>
    <w:qFormat/>
    <w:rPr>
      <w:rFonts w:cs="Symbol"/>
    </w:rPr>
  </w:style>
  <w:style w:type="character" w:styleId="ListLabel21">
    <w:name w:val="ListLabel 21"/>
    <w:qFormat/>
    <w:rPr>
      <w:rFonts w:cs="Courier New"/>
    </w:rPr>
  </w:style>
  <w:style w:type="character" w:styleId="ListLabel22">
    <w:name w:val="ListLabel 22"/>
    <w:qFormat/>
    <w:rPr>
      <w:rFonts w:cs="Wingdings"/>
    </w:rPr>
  </w:style>
  <w:style w:type="character" w:styleId="ListLabel23">
    <w:name w:val="ListLabel 23"/>
    <w:qFormat/>
    <w:rPr>
      <w:rFonts w:ascii="Arial" w:hAnsi="Arial" w:cs="Symbol"/>
      <w:sz w:val="20"/>
    </w:rPr>
  </w:style>
  <w:style w:type="character" w:styleId="ListLabel24">
    <w:name w:val="ListLabel 24"/>
    <w:qFormat/>
    <w:rPr>
      <w:rFonts w:cs="Courier New"/>
    </w:rPr>
  </w:style>
  <w:style w:type="character" w:styleId="ListLabel25">
    <w:name w:val="ListLabel 25"/>
    <w:qFormat/>
    <w:rPr>
      <w:rFonts w:cs="Wingdings"/>
    </w:rPr>
  </w:style>
  <w:style w:type="character" w:styleId="ListLabel26">
    <w:name w:val="ListLabel 26"/>
    <w:qFormat/>
    <w:rPr>
      <w:rFonts w:cs="Symbol"/>
    </w:rPr>
  </w:style>
  <w:style w:type="character" w:styleId="ListLabel27">
    <w:name w:val="ListLabel 27"/>
    <w:qFormat/>
    <w:rPr>
      <w:rFonts w:cs="Courier New"/>
    </w:rPr>
  </w:style>
  <w:style w:type="character" w:styleId="ListLabel28">
    <w:name w:val="ListLabel 28"/>
    <w:qFormat/>
    <w:rPr>
      <w:rFonts w:cs="Wingdings"/>
    </w:rPr>
  </w:style>
  <w:style w:type="character" w:styleId="ListLabel29">
    <w:name w:val="ListLabel 29"/>
    <w:qFormat/>
    <w:rPr>
      <w:rFonts w:cs="Symbol"/>
    </w:rPr>
  </w:style>
  <w:style w:type="character" w:styleId="ListLabel30">
    <w:name w:val="ListLabel 30"/>
    <w:qFormat/>
    <w:rPr>
      <w:rFonts w:cs="Courier New"/>
    </w:rPr>
  </w:style>
  <w:style w:type="character" w:styleId="ListLabel31">
    <w:name w:val="ListLabel 31"/>
    <w:qFormat/>
    <w:rPr>
      <w:rFonts w:cs="Wingdings"/>
    </w:rPr>
  </w:style>
  <w:style w:type="character" w:styleId="ListLabel32">
    <w:name w:val="ListLabel 32"/>
    <w:qFormat/>
    <w:rPr>
      <w:rFonts w:ascii="Arial" w:hAnsi="Arial" w:cs="Symbol"/>
      <w:sz w:val="20"/>
    </w:rPr>
  </w:style>
  <w:style w:type="character" w:styleId="ListLabel33">
    <w:name w:val="ListLabel 33"/>
    <w:qFormat/>
    <w:rPr>
      <w:rFonts w:cs="Courier New"/>
    </w:rPr>
  </w:style>
  <w:style w:type="character" w:styleId="ListLabel34">
    <w:name w:val="ListLabel 34"/>
    <w:qFormat/>
    <w:rPr>
      <w:rFonts w:cs="Wingdings"/>
    </w:rPr>
  </w:style>
  <w:style w:type="character" w:styleId="ListLabel35">
    <w:name w:val="ListLabel 35"/>
    <w:qFormat/>
    <w:rPr>
      <w:rFonts w:cs="Symbol"/>
    </w:rPr>
  </w:style>
  <w:style w:type="character" w:styleId="ListLabel36">
    <w:name w:val="ListLabel 36"/>
    <w:qFormat/>
    <w:rPr>
      <w:rFonts w:cs="Courier New"/>
    </w:rPr>
  </w:style>
  <w:style w:type="character" w:styleId="ListLabel37">
    <w:name w:val="ListLabel 37"/>
    <w:qFormat/>
    <w:rPr>
      <w:rFonts w:cs="Wingdings"/>
    </w:rPr>
  </w:style>
  <w:style w:type="character" w:styleId="ListLabel38">
    <w:name w:val="ListLabel 38"/>
    <w:qFormat/>
    <w:rPr>
      <w:rFonts w:cs="Symbol"/>
    </w:rPr>
  </w:style>
  <w:style w:type="character" w:styleId="ListLabel39">
    <w:name w:val="ListLabel 39"/>
    <w:qFormat/>
    <w:rPr>
      <w:rFonts w:cs="Courier New"/>
    </w:rPr>
  </w:style>
  <w:style w:type="character" w:styleId="ListLabel40">
    <w:name w:val="ListLabel 40"/>
    <w:qFormat/>
    <w:rPr>
      <w:rFonts w:cs="Wingdings"/>
    </w:rPr>
  </w:style>
  <w:style w:type="character" w:styleId="ListLabel41">
    <w:name w:val="ListLabel 41"/>
    <w:qFormat/>
    <w:rPr>
      <w:rFonts w:ascii="Arial" w:hAnsi="Arial" w:cs="Symbol"/>
      <w:sz w:val="20"/>
    </w:rPr>
  </w:style>
  <w:style w:type="character" w:styleId="ListLabel42">
    <w:name w:val="ListLabel 42"/>
    <w:qFormat/>
    <w:rPr>
      <w:rFonts w:cs="Courier New"/>
    </w:rPr>
  </w:style>
  <w:style w:type="character" w:styleId="ListLabel43">
    <w:name w:val="ListLabel 43"/>
    <w:qFormat/>
    <w:rPr>
      <w:rFonts w:cs="Wingdings"/>
    </w:rPr>
  </w:style>
  <w:style w:type="character" w:styleId="ListLabel44">
    <w:name w:val="ListLabel 44"/>
    <w:qFormat/>
    <w:rPr>
      <w:rFonts w:cs="Symbol"/>
    </w:rPr>
  </w:style>
  <w:style w:type="character" w:styleId="ListLabel45">
    <w:name w:val="ListLabel 45"/>
    <w:qFormat/>
    <w:rPr>
      <w:rFonts w:cs="Courier New"/>
    </w:rPr>
  </w:style>
  <w:style w:type="character" w:styleId="ListLabel46">
    <w:name w:val="ListLabel 46"/>
    <w:qFormat/>
    <w:rPr>
      <w:rFonts w:cs="Wingdings"/>
    </w:rPr>
  </w:style>
  <w:style w:type="character" w:styleId="ListLabel47">
    <w:name w:val="ListLabel 47"/>
    <w:qFormat/>
    <w:rPr>
      <w:rFonts w:cs="Symbol"/>
    </w:rPr>
  </w:style>
  <w:style w:type="character" w:styleId="ListLabel48">
    <w:name w:val="ListLabel 48"/>
    <w:qFormat/>
    <w:rPr>
      <w:rFonts w:cs="Courier New"/>
    </w:rPr>
  </w:style>
  <w:style w:type="character" w:styleId="ListLabel49">
    <w:name w:val="ListLabel 49"/>
    <w:qFormat/>
    <w:rPr>
      <w:rFonts w:cs="Wingdings"/>
    </w:rPr>
  </w:style>
  <w:style w:type="character" w:styleId="ListLabel50">
    <w:name w:val="ListLabel 50"/>
    <w:qFormat/>
    <w:rPr>
      <w:rFonts w:ascii="Arial" w:hAnsi="Arial" w:cs="Symbol"/>
      <w:sz w:val="20"/>
    </w:rPr>
  </w:style>
  <w:style w:type="character" w:styleId="ListLabel51">
    <w:name w:val="ListLabel 51"/>
    <w:qFormat/>
    <w:rPr>
      <w:rFonts w:cs="Courier New"/>
    </w:rPr>
  </w:style>
  <w:style w:type="character" w:styleId="ListLabel52">
    <w:name w:val="ListLabel 52"/>
    <w:qFormat/>
    <w:rPr>
      <w:rFonts w:cs="Wingdings"/>
    </w:rPr>
  </w:style>
  <w:style w:type="character" w:styleId="ListLabel53">
    <w:name w:val="ListLabel 53"/>
    <w:qFormat/>
    <w:rPr>
      <w:rFonts w:cs="Symbol"/>
    </w:rPr>
  </w:style>
  <w:style w:type="character" w:styleId="ListLabel54">
    <w:name w:val="ListLabel 54"/>
    <w:qFormat/>
    <w:rPr>
      <w:rFonts w:cs="Courier New"/>
    </w:rPr>
  </w:style>
  <w:style w:type="character" w:styleId="ListLabel55">
    <w:name w:val="ListLabel 55"/>
    <w:qFormat/>
    <w:rPr>
      <w:rFonts w:cs="Wingdings"/>
    </w:rPr>
  </w:style>
  <w:style w:type="character" w:styleId="ListLabel56">
    <w:name w:val="ListLabel 56"/>
    <w:qFormat/>
    <w:rPr>
      <w:rFonts w:cs="Symbol"/>
    </w:rPr>
  </w:style>
  <w:style w:type="character" w:styleId="ListLabel57">
    <w:name w:val="ListLabel 57"/>
    <w:qFormat/>
    <w:rPr>
      <w:rFonts w:cs="Courier New"/>
    </w:rPr>
  </w:style>
  <w:style w:type="character" w:styleId="ListLabel58">
    <w:name w:val="ListLabel 58"/>
    <w:qFormat/>
    <w:rPr>
      <w:rFonts w:cs="Wingdings"/>
    </w:rPr>
  </w:style>
  <w:style w:type="paragraph" w:styleId="Heading">
    <w:name w:val="Heading"/>
    <w:basedOn w:val="Normal"/>
    <w:next w:val="TextBody"/>
    <w:qFormat/>
    <w:pPr>
      <w:keepNext/>
      <w:spacing w:before="240" w:after="120"/>
    </w:pPr>
    <w:rPr>
      <w:rFonts w:ascii="Liberation Sans" w:hAnsi="Liberation Sans" w:eastAsia="Droid Sans Fallback" w:cs="FreeSans"/>
      <w:sz w:val="28"/>
      <w:szCs w:val="28"/>
    </w:rPr>
  </w:style>
  <w:style w:type="paragraph" w:styleId="TextBody">
    <w:name w:val="Body Text"/>
    <w:basedOn w:val="Normal"/>
    <w:pPr>
      <w:spacing w:lineRule="auto" w:line="288"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qFormat/>
    <w:pPr>
      <w:pBdr>
        <w:bottom w:val="single" w:sz="8" w:space="4" w:color="4F81BD"/>
      </w:pBdr>
      <w:spacing w:lineRule="auto" w:line="240" w:before="0" w:after="300"/>
      <w:contextualSpacing/>
      <w:jc w:val="left"/>
    </w:pPr>
    <w:rPr>
      <w:rFonts w:ascii="Cambria" w:hAnsi="Cambria" w:cs="Calibri"/>
      <w:color w:val="17365D"/>
      <w:spacing w:val="5"/>
      <w:sz w:val="52"/>
      <w:szCs w:val="52"/>
    </w:rPr>
  </w:style>
  <w:style w:type="paragraph" w:styleId="IntenseQuote">
    <w:name w:val="Intense Quote"/>
    <w:basedOn w:val="Normal"/>
    <w:qFormat/>
    <w:pPr>
      <w:pBdr>
        <w:bottom w:val="single" w:sz="4" w:space="4" w:color="4F81BD"/>
      </w:pBdr>
      <w:spacing w:before="200" w:after="280"/>
      <w:ind w:left="936" w:right="936" w:hanging="0"/>
    </w:pPr>
    <w:rPr>
      <w:b/>
      <w:bCs/>
      <w:i/>
      <w:iCs/>
      <w:color w:val="4F81BD"/>
    </w:rPr>
  </w:style>
  <w:style w:type="paragraph" w:styleId="ListParagraph">
    <w:name w:val="List Paragraph"/>
    <w:basedOn w:val="Normal"/>
    <w:qFormat/>
    <w:pPr>
      <w:spacing w:before="0" w:after="200"/>
      <w:ind w:left="720" w:right="0" w:hanging="0"/>
      <w:contextualSpacing/>
    </w:pPr>
    <w:rPr/>
  </w:style>
  <w:style w:type="paragraph" w:styleId="BalloonText">
    <w:name w:val="Balloon Text"/>
    <w:basedOn w:val="Normal"/>
    <w:qFormat/>
    <w:pPr>
      <w:spacing w:lineRule="auto" w:line="240" w:before="0" w:after="0"/>
    </w:pPr>
    <w:rPr>
      <w:rFonts w:ascii="Tahoma" w:hAnsi="Tahoma" w:cs="Tahoma"/>
      <w:sz w:val="16"/>
      <w:szCs w:val="16"/>
    </w:rPr>
  </w:style>
  <w:style w:type="paragraph" w:styleId="FrameContents">
    <w:name w:val="Frame Contents"/>
    <w:basedOn w:val="Normal"/>
    <w:qFormat/>
    <w:pPr/>
    <w:rPr/>
  </w:style>
  <w:style w:type="paragraph" w:styleId="Quotations">
    <w:name w:val="Quotations"/>
    <w:basedOn w:val="Normal"/>
    <w:qFormat/>
    <w:pPr/>
    <w:rPr/>
  </w:style>
  <w:style w:type="paragraph" w:styleId="Subtitle">
    <w:name w:val="Subtitle"/>
    <w:basedOn w:val="Heading"/>
    <w:qFormat/>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343</TotalTime>
  <Application>LibreOffice/5.1.4.2$Linux_X86_64 LibreOffice_project/10m0$Build-2</Application>
  <Pages>1</Pages>
  <Words>410</Words>
  <CharactersWithSpaces>2290</CharactersWithSpaces>
  <Paragraphs>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2014-06-27T13:13:00Z</dcterms:created>
  <dc:creator>Bruinsma,Sander S.P.</dc:creator>
  <dc:description/>
  <dc:language>nl-NL</dc:language>
  <cp:lastModifiedBy/>
  <cp:lastPrinted>2014-06-27T13:42:00Z</cp:lastPrinted>
  <dcterms:modified xsi:type="dcterms:W3CDTF">2017-01-17T15:39:23Z</dcterms:modified>
  <cp:revision>8</cp:revision>
  <dc:subject/>
  <dc:title>Uitdeelinstructie voor multiple choice examens</dc:title>
</cp:coreProperties>
</file>