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4"/>
        </w:rPr>
        <w:t>ЛІЦЕНЗІЙНА УГОДА КІНЦЕВОГО КОРИСТУВАЧА</w:t>
        <w:br/>
        <w:t>ADVANCED SERIAL VISION</w:t>
      </w:r>
    </w:p>
    <w:p>
      <w:pPr>
        <w:spacing w:after="100"/>
        <w:jc w:val="center"/>
      </w:pPr>
      <w:r>
        <w:rPr>
          <w:i/>
          <w:sz w:val="20"/>
        </w:rPr>
        <w:t>Редакція від 28.08.2026</w:t>
      </w:r>
    </w:p>
    <w:p>
      <w:pPr>
        <w:jc w:val="both"/>
      </w:pPr>
      <w:r>
        <w:t>Ця Ліцензійна угода кінцевого користувача (далі — «Угода») визначає умови використання комп’ютерної програми Advanced Serial Vision, її компонентів, оновлень і супровідних матеріалів (далі — «Програмне забезпечення»). Встановлення, копіювання або інше використання Програмного забезпечення означає повне та безумовне прийняття Користувачем умов цієї Угоди.</w:t>
      </w:r>
    </w:p>
    <w:p>
      <w:pPr>
        <w:spacing w:before="20" w:after="0"/>
        <w:jc w:val="both"/>
      </w:pPr>
      <w:r>
        <w:rPr>
          <w:b/>
        </w:rPr>
        <w:t xml:space="preserve">1. Правовласник і предмет ліцензії. </w:t>
      </w:r>
      <w:r>
        <w:t>Правовласником Програмного забезпечення є автор, що діє під іменем homeandriy (далі — «Ліцензіар»). Програмне забезпечення є об’єктом авторського права. Ліцензіар надає Користувачу обмежене, невиключне, непередаване та відкличне право використовувати Програмне забезпечення відповідно до цієї Угоди.</w:t>
      </w:r>
    </w:p>
    <w:p>
      <w:pPr>
        <w:spacing w:before="20" w:after="0"/>
        <w:jc w:val="both"/>
      </w:pPr>
      <w:r>
        <w:rPr>
          <w:b/>
        </w:rPr>
        <w:t xml:space="preserve">2. Некомерційне використання. </w:t>
      </w:r>
      <w:r>
        <w:t>Користувач може безоплатно встановлювати та використовувати Програмне забезпечення для власних некомерційних потреб. Право користування не означає передання Користувачу майнових прав інтелектуальної власності на Програмне забезпечення, його вихідний код, торговельні позначення чи документацію.</w:t>
      </w:r>
    </w:p>
    <w:p>
      <w:pPr>
        <w:spacing w:before="20" w:after="0"/>
        <w:jc w:val="both"/>
      </w:pPr>
      <w:r>
        <w:rPr>
          <w:b/>
        </w:rPr>
        <w:t xml:space="preserve">3. Комерційне використання. </w:t>
      </w:r>
      <w:r>
        <w:t>Будь-яке використання Програмного забезпечення у підприємницькій діяльності, для надання послуг третім особам, у складі платного продукту або з іншою прямою чи опосередкованою комерційною вигодою допускається виключно після письмового погодження з Ліцензіаром та придбання відповідної комерційної ліцензії.</w:t>
      </w:r>
    </w:p>
    <w:p>
      <w:pPr>
        <w:spacing w:before="20" w:after="0"/>
        <w:jc w:val="both"/>
      </w:pPr>
      <w:r>
        <w:rPr>
          <w:b/>
        </w:rPr>
        <w:t xml:space="preserve">4. Обмеження. </w:t>
      </w:r>
      <w:r>
        <w:t>Без попередньої письмової згоди Ліцензіара забороняється продавати, передавати в оренду, субліцензувати, розповсюджувати або надавати доступ до Програмного забезпечення від імені Користувача; вилучати повідомлення про авторські права; використовувати Програмне забезпечення з порушенням законодавства чи прав третіх осіб.</w:t>
      </w:r>
    </w:p>
    <w:p>
      <w:pPr>
        <w:spacing w:before="20" w:after="0"/>
        <w:jc w:val="both"/>
      </w:pPr>
      <w:r>
        <w:rPr>
          <w:b/>
        </w:rPr>
        <w:t xml:space="preserve">5. Відсутність гарантій і обмеження відповідальності. </w:t>
      </w:r>
      <w:r>
        <w:t>Програмне забезпечення надається «як є» («AS IS») і «за наявності» без будь-яких явних чи таких, що маються на увазі, гарантій, зокрема щодо безперервної роботи, відсутності помилок, придатності для певної мети, точності результатів розпізнавання або сумісності з конкретним обладнанням. Користувач самостійно оцінює придатність Програмного забезпечення та несе всі ризики його використання. У максимально допустимому законодавством обсязі Ліцензіар не відповідає за непрямі збитки, втрату даних, прибутку, ділової репутації або перерву діяльності.</w:t>
      </w:r>
    </w:p>
    <w:p>
      <w:pPr>
        <w:spacing w:before="20" w:after="0"/>
        <w:jc w:val="both"/>
      </w:pPr>
      <w:r>
        <w:rPr>
          <w:b/>
        </w:rPr>
        <w:t xml:space="preserve">6. Дані та підтримка. </w:t>
      </w:r>
      <w:r>
        <w:t>Користувач самостійно відповідає за законність обробки зображень, серійних номерів, MAC-адрес та інших даних, що завантажуються до Програмного забезпечення. Підтримка, консультації та комерційні умови надаються за окремою домовленістю. Підтримати розвиток проєкту можна на https://webbooks.com.ua.</w:t>
      </w:r>
    </w:p>
    <w:p>
      <w:pPr>
        <w:spacing w:before="20" w:after="0"/>
        <w:jc w:val="both"/>
      </w:pPr>
      <w:r>
        <w:rPr>
          <w:b/>
        </w:rPr>
        <w:t xml:space="preserve">7. Прикінцеві положення. </w:t>
      </w:r>
      <w:r>
        <w:t>До цієї Угоди застосовується законодавство України. Ліцензіар може змінювати Угоду для наступних версій Програмного забезпечення; чинна редакція застосовується з моменту встановлення або оновлення відповідної версії. З питань щодо ліцензування звертайтеся: homeandriy@gmail.com.</w:t>
      </w:r>
    </w:p>
    <w:p>
      <w:pPr>
        <w:spacing w:before="40"/>
        <w:jc w:val="both"/>
      </w:pPr>
      <w:r>
        <w:rPr>
          <w:b/>
        </w:rPr>
        <w:t>Приймаючи цю Угоду, Користувач підтверджує, що прочитав, зрозумів та погодився з її умовами.</w:t>
      </w:r>
    </w:p>
    <w:sectPr w:rsidR="00FC693F" w:rsidRPr="0006063C" w:rsidSect="00034616">
      <w:footerReference w:type="default" r:id="rId9"/>
      <w:pgSz w:w="11906" w:h="16838"/>
      <w:pgMar w:top="822" w:right="907" w:bottom="822"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Advanced Serial Vision — Ліцензійна угода кінцевого користувача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