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color w:val="000000"/>
          <w:sz w:val="36"/>
          <w:szCs w:val="36"/>
        </w:rPr>
        <w:t xml:space="preserve">BROKERAGE COOPERATION AGREEMENT</w:t>
      </w:r>
    </w:p>
    <w:p>
      <w:pPr>
        <w:spacing w:after="200"/>
        <w:jc w:val="center"/>
      </w:pPr>
      <w:r>
        <w:rPr>
          <w:rFonts w:ascii="Times New Roman" w:cs="Times New Roman" w:eastAsia="Times New Roman" w:hAnsi="Times New Roman"/>
          <w:i/>
          <w:iCs/>
          <w:sz w:val="24"/>
          <w:szCs w:val="24"/>
        </w:rPr>
        <w:t xml:space="preserve">(Commission Purchase Program)</w:t>
      </w:r>
    </w:p>
    <w:p>
      <w:pPr>
        <w:spacing w:after="120"/>
      </w:pPr>
      <w:r>
        <w:rPr>
          <w:rFonts w:ascii="Times New Roman" w:cs="Times New Roman" w:eastAsia="Times New Roman" w:hAnsi="Times New Roman"/>
          <w:sz w:val="24"/>
          <w:szCs w:val="24"/>
        </w:rPr>
        <w:t xml:space="preserve">Date: </w:t>
      </w:r>
      <w:r>
        <w:rPr>
          <w:rFonts w:ascii="Times New Roman" w:cs="Times New Roman" w:eastAsia="Times New Roman" w:hAnsi="Times New Roman"/>
          <w:b/>
          <w:bCs/>
          <w:sz w:val="24"/>
          <w:szCs w:val="24"/>
        </w:rPr>
        <w:t xml:space="preserve">June 9, 2026</w:t>
      </w:r>
    </w:p>
    <w:p>
      <w:pPr>
        <w:spacing w:after="200"/>
      </w:pPr>
    </w:p>
    <w:p>
      <w:pPr>
        <w:spacing w:after="120"/>
      </w:pPr>
      <w:r>
        <w:rPr>
          <w:rFonts w:ascii="Times New Roman" w:cs="Times New Roman" w:eastAsia="Times New Roman" w:hAnsi="Times New Roman"/>
          <w:b/>
          <w:bCs/>
          <w:sz w:val="24"/>
          <w:szCs w:val="24"/>
        </w:rPr>
        <w:t xml:space="preserve">THIS BROKERAGE COOPERATION AGREEMENT (the "Agreement") is entered into by and between:</w:t>
      </w:r>
    </w:p>
    <w:p>
      <w:pPr>
        <w:spacing w:after="200"/>
      </w:pPr>
    </w:p>
    <w:p>
      <w:pPr>
        <w:spacing w:after="120"/>
      </w:pPr>
      <w:r>
        <w:rPr>
          <w:rFonts w:ascii="Times New Roman" w:cs="Times New Roman" w:eastAsia="Times New Roman" w:hAnsi="Times New Roman"/>
          <w:b/>
          <w:bCs/>
          <w:sz w:val="24"/>
          <w:szCs w:val="24"/>
        </w:rPr>
        <w:t xml:space="preserve">FIRM FUNDS INC.</w:t>
      </w:r>
      <w:r>
        <w:rPr>
          <w:rFonts w:ascii="Times New Roman" w:cs="Times New Roman" w:eastAsia="Times New Roman" w:hAnsi="Times New Roman"/>
          <w:sz w:val="24"/>
          <w:szCs w:val="24"/>
        </w:rPr>
        <w:t xml:space="preserve">, a corporation incorporated under the laws of Ontario, carrying on business at 121 Brock Street, Sault Ste. Marie, ON P6A 3B6 (the "Purchaser" or "Firm Funds");</w:t>
      </w:r>
    </w:p>
    <w:p>
      <w:pPr>
        <w:spacing w:after="200"/>
      </w:pPr>
    </w:p>
    <w:p>
      <w:pPr>
        <w:spacing w:after="120"/>
        <w:jc w:val="center"/>
      </w:pPr>
      <w:r>
        <w:rPr>
          <w:rFonts w:ascii="Times New Roman" w:cs="Times New Roman" w:eastAsia="Times New Roman" w:hAnsi="Times New Roman"/>
          <w:b/>
          <w:bCs/>
          <w:sz w:val="24"/>
          <w:szCs w:val="24"/>
        </w:rPr>
        <w:t xml:space="preserve">AND</w:t>
      </w:r>
    </w:p>
    <w:p>
      <w:pPr>
        <w:spacing w:after="200"/>
      </w:pPr>
    </w:p>
    <w:p>
      <w:pPr>
        <w:spacing w:after="120"/>
      </w:pPr>
      <w:r>
        <w:rPr>
          <w:rFonts w:ascii="Times New Roman" w:cs="Times New Roman" w:eastAsia="Times New Roman" w:hAnsi="Times New Roman"/>
          <w:b/>
          <w:bCs/>
          <w:sz w:val="24"/>
          <w:szCs w:val="24"/>
        </w:rPr>
        <w:t xml:space="preserve">Sample Realty Inc., Brokerage (SAMPLE)</w:t>
      </w:r>
      <w:r>
        <w:rPr>
          <w:rFonts w:ascii="Times New Roman" w:cs="Times New Roman" w:eastAsia="Times New Roman" w:hAnsi="Times New Roman"/>
          <w:sz w:val="24"/>
          <w:szCs w:val="24"/>
        </w:rPr>
        <w:t xml:space="preserve">, a real estate brokerage registered under the </w:t>
      </w:r>
      <w:r>
        <w:rPr>
          <w:rFonts w:ascii="Times New Roman" w:cs="Times New Roman" w:eastAsia="Times New Roman" w:hAnsi="Times New Roman"/>
          <w:i/>
          <w:iCs/>
          <w:sz w:val="24"/>
          <w:szCs w:val="24"/>
        </w:rPr>
        <w:t xml:space="preserve">Trust in Real Estate Services Act, 2002</w:t>
      </w:r>
      <w:r>
        <w:rPr>
          <w:rFonts w:ascii="Times New Roman" w:cs="Times New Roman" w:eastAsia="Times New Roman" w:hAnsi="Times New Roman"/>
          <w:sz w:val="24"/>
          <w:szCs w:val="24"/>
        </w:rPr>
        <w:t xml:space="preserve"> (Ontario), with its principal office at </w:t>
      </w:r>
      <w:r>
        <w:rPr>
          <w:rFonts w:ascii="Times New Roman" w:cs="Times New Roman" w:eastAsia="Times New Roman" w:hAnsi="Times New Roman"/>
          <w:sz w:val="24"/>
          <w:szCs w:val="24"/>
        </w:rPr>
        <w:t xml:space="preserve">456 Example Avenue, Sault Ste. Marie, ON  P6A 1A1</w:t>
      </w:r>
      <w:r>
        <w:rPr>
          <w:rFonts w:ascii="Times New Roman" w:cs="Times New Roman" w:eastAsia="Times New Roman" w:hAnsi="Times New Roman"/>
          <w:sz w:val="24"/>
          <w:szCs w:val="24"/>
        </w:rPr>
        <w:t xml:space="preserve"> (the "Brokerage");</w:t>
      </w:r>
    </w:p>
    <w:p>
      <w:pPr>
        <w:spacing w:after="200"/>
      </w:pPr>
    </w:p>
    <w:p>
      <w:pPr>
        <w:spacing w:after="120"/>
      </w:pPr>
      <w:r>
        <w:rPr>
          <w:rFonts w:ascii="Times New Roman" w:cs="Times New Roman" w:eastAsia="Times New Roman" w:hAnsi="Times New Roman"/>
          <w:sz w:val="24"/>
          <w:szCs w:val="24"/>
        </w:rPr>
        <w:t xml:space="preserve">represented by its Broker of Record, </w:t>
      </w:r>
      <w:r>
        <w:rPr>
          <w:rFonts w:ascii="Times New Roman" w:cs="Times New Roman" w:eastAsia="Times New Roman" w:hAnsi="Times New Roman"/>
          <w:b/>
          <w:bCs/>
          <w:sz w:val="24"/>
          <w:szCs w:val="24"/>
        </w:rPr>
        <w:t xml:space="preserve">John Sample</w:t>
      </w:r>
      <w:r>
        <w:rPr>
          <w:rFonts w:ascii="Times New Roman" w:cs="Times New Roman" w:eastAsia="Times New Roman" w:hAnsi="Times New Roman"/>
          <w:sz w:val="24"/>
          <w:szCs w:val="24"/>
        </w:rPr>
        <w:t xml:space="preserve">.</w:t>
      </w:r>
    </w:p>
    <w:p>
      <w:pPr>
        <w:spacing w:after="200"/>
      </w:pPr>
    </w:p>
    <w:p>
      <w:pPr>
        <w:spacing w:after="120"/>
      </w:pPr>
      <w:r>
        <w:rPr>
          <w:rFonts w:ascii="Times New Roman" w:cs="Times New Roman" w:eastAsia="Times New Roman" w:hAnsi="Times New Roman"/>
          <w:b/>
          <w:bCs/>
          <w:sz w:val="24"/>
          <w:szCs w:val="24"/>
        </w:rPr>
        <w:t xml:space="preserve">RECITALS</w:t>
      </w:r>
    </w:p>
    <w:p>
      <w:pPr>
        <w:spacing w:after="120"/>
      </w:pPr>
      <w:r>
        <w:rPr>
          <w:rFonts w:ascii="Times New Roman" w:cs="Times New Roman" w:eastAsia="Times New Roman" w:hAnsi="Times New Roman"/>
          <w:sz w:val="24"/>
          <w:szCs w:val="24"/>
        </w:rPr>
        <w:t xml:space="preserve">WHEREAS Firm Funds operates a commission purchase program under which it purchases the right to receive real estate commission receivables from individual real estate agents ("Agents") registered with the Brokerage;</w:t>
      </w:r>
    </w:p>
    <w:p>
      <w:pPr>
        <w:spacing w:after="120"/>
      </w:pPr>
      <w:r>
        <w:rPr>
          <w:rFonts w:ascii="Times New Roman" w:cs="Times New Roman" w:eastAsia="Times New Roman" w:hAnsi="Times New Roman"/>
          <w:sz w:val="24"/>
          <w:szCs w:val="24"/>
        </w:rPr>
        <w:t xml:space="preserve">AND WHEREAS the Brokerage acknowledges the value of commission purchase services to its Agents, and wishes to cooperate with Firm Funds by providing administrative assistance to facilitate the orderly processing and payment of commission receivables, in exchange for the Profit Share described in this Agreement;</w:t>
      </w:r>
    </w:p>
    <w:p>
      <w:pPr>
        <w:spacing w:after="120"/>
      </w:pPr>
      <w:r>
        <w:rPr>
          <w:rFonts w:ascii="Times New Roman" w:cs="Times New Roman" w:eastAsia="Times New Roman" w:hAnsi="Times New Roman"/>
          <w:sz w:val="24"/>
          <w:szCs w:val="24"/>
        </w:rPr>
        <w:t xml:space="preserve">AND WHEREAS each commission purchase transaction will be governed by a separate Commission Purchase Agreement between Firm Funds and the Agent, and an Irrevocable Direction to Pay issued by the Agent to the Brokerage;</w:t>
      </w:r>
    </w:p>
    <w:p>
      <w:pPr>
        <w:spacing w:after="120"/>
      </w:pPr>
      <w:r>
        <w:rPr>
          <w:rFonts w:ascii="Times New Roman" w:cs="Times New Roman" w:eastAsia="Times New Roman" w:hAnsi="Times New Roman"/>
          <w:sz w:val="24"/>
          <w:szCs w:val="24"/>
        </w:rPr>
        <w:t xml:space="preserve">NOW THEREFORE, in consideration of the mutual covenants and agreements hereinafter set forth, and for other good and valuable consideration, the receipt and sufficiency of which are hereby acknowledged, the parties agree as follows:</w:t>
      </w:r>
    </w:p>
    <w:p>
      <w:pPr>
        <w:spacing w:after="200"/>
      </w:pPr>
    </w:p>
    <w:p>
      <w:pPr>
        <w:spacing w:after="120" w:before="360"/>
      </w:pPr>
      <w:r>
        <w:rPr>
          <w:rFonts w:ascii="Times New Roman" w:cs="Times New Roman" w:eastAsia="Times New Roman" w:hAnsi="Times New Roman"/>
          <w:b/>
          <w:bCs/>
          <w:color w:val="000000"/>
          <w:sz w:val="28"/>
          <w:szCs w:val="28"/>
        </w:rPr>
        <w:t xml:space="preserve">ARTICLE 1: DEFINITIONS</w:t>
      </w:r>
    </w:p>
    <w:p>
      <w:pPr>
        <w:spacing w:after="120"/>
      </w:pPr>
      <w:r>
        <w:rPr>
          <w:rFonts w:ascii="Times New Roman" w:cs="Times New Roman" w:eastAsia="Times New Roman" w:hAnsi="Times New Roman"/>
          <w:sz w:val="24"/>
          <w:szCs w:val="24"/>
        </w:rPr>
        <w:t xml:space="preserve">1.1 "Agent" means a real estate salesperson or broker registered under the Brokerage who enters into a Commission Purchase Agreement with Firm Funds.</w:t>
      </w:r>
    </w:p>
    <w:p>
      <w:pPr>
        <w:spacing w:after="120"/>
      </w:pPr>
      <w:r>
        <w:rPr>
          <w:rFonts w:ascii="Times New Roman" w:cs="Times New Roman" w:eastAsia="Times New Roman" w:hAnsi="Times New Roman"/>
          <w:sz w:val="24"/>
          <w:szCs w:val="24"/>
        </w:rPr>
        <w:t xml:space="preserve">1.2 "Commission Purchase Agreement" or "CPA" means the agreement between Firm Funds and an Agent pursuant to which Firm Funds purchases the right to receive all or a portion of a Commission Receivable.</w:t>
      </w:r>
    </w:p>
    <w:p>
      <w:pPr>
        <w:spacing w:after="120"/>
      </w:pPr>
      <w:r>
        <w:rPr>
          <w:rFonts w:ascii="Times New Roman" w:cs="Times New Roman" w:eastAsia="Times New Roman" w:hAnsi="Times New Roman"/>
          <w:sz w:val="24"/>
          <w:szCs w:val="24"/>
        </w:rPr>
        <w:t xml:space="preserve">1.3 "Irrevocable Direction to Pay" or "IDP" means an irrevocable written instruction from the Agent directing the Brokerage to remit commission funds to Firm Funds.</w:t>
      </w:r>
    </w:p>
    <w:p>
      <w:pPr>
        <w:spacing w:after="120"/>
      </w:pPr>
      <w:r>
        <w:rPr>
          <w:rFonts w:ascii="Times New Roman" w:cs="Times New Roman" w:eastAsia="Times New Roman" w:hAnsi="Times New Roman"/>
          <w:sz w:val="24"/>
          <w:szCs w:val="24"/>
        </w:rPr>
        <w:t xml:space="preserve">1.4 "Commission Receivable" means the amount of real estate commission payable to an Agent through the Brokerage upon the closing of a real estate transaction.</w:t>
      </w:r>
    </w:p>
    <w:p>
      <w:pPr>
        <w:spacing w:after="120"/>
      </w:pPr>
      <w:r>
        <w:rPr>
          <w:rFonts w:ascii="Times New Roman" w:cs="Times New Roman" w:eastAsia="Times New Roman" w:hAnsi="Times New Roman"/>
          <w:sz w:val="24"/>
          <w:szCs w:val="24"/>
        </w:rPr>
        <w:t xml:space="preserve">1.5 "Face Value" means the net commission payable to the Agent after the Brokerage's commission split, as set out in the applicable CPA.</w:t>
      </w:r>
    </w:p>
    <w:p>
      <w:pPr>
        <w:spacing w:after="120"/>
      </w:pPr>
      <w:r>
        <w:rPr>
          <w:rFonts w:ascii="Times New Roman" w:cs="Times New Roman" w:eastAsia="Times New Roman" w:hAnsi="Times New Roman"/>
          <w:sz w:val="24"/>
          <w:szCs w:val="24"/>
        </w:rPr>
        <w:t xml:space="preserve">1.6 "Transaction" means a real estate transaction giving rise to a Commission Receivable.</w:t>
      </w:r>
    </w:p>
    <w:p>
      <w:pPr>
        <w:spacing w:after="120"/>
      </w:pPr>
      <w:r>
        <w:rPr>
          <w:rFonts w:ascii="Times New Roman" w:cs="Times New Roman" w:eastAsia="Times New Roman" w:hAnsi="Times New Roman"/>
          <w:sz w:val="24"/>
          <w:szCs w:val="24"/>
        </w:rPr>
        <w:t xml:space="preserve">1.7 "Profit Share" means the profit-sharing fee payable by Firm Funds to the Brokerage in connection with each commission purchase transaction, in consideration of the Brokerage's administrative cooperation under Article 2, calculated as a percentage of the sum of the Purchase Discount and the Settlement Period Fee (each as defined in the applicable CPA). The applicable Profit Share percentage for each Transaction shall be as set out in the applicable CPA, and may vary by Transaction.</w:t>
      </w:r>
    </w:p>
    <w:p>
      <w:pPr>
        <w:spacing w:after="120"/>
      </w:pPr>
      <w:r>
        <w:rPr>
          <w:rFonts w:ascii="Times New Roman" w:cs="Times New Roman" w:eastAsia="Times New Roman" w:hAnsi="Times New Roman"/>
          <w:sz w:val="24"/>
          <w:szCs w:val="24"/>
        </w:rPr>
        <w:t xml:space="preserve">1.8 "Purchase Discount" means the fee charged by Firm Funds to the Agent for the commission purchase transaction, as calculated and set out in the applicable CPA. For clarity, the Purchase Discount does not include the Settlement Period Fee.</w:t>
      </w:r>
    </w:p>
    <w:p>
      <w:pPr>
        <w:spacing w:after="120"/>
      </w:pPr>
      <w:r>
        <w:rPr>
          <w:rFonts w:ascii="Times New Roman" w:cs="Times New Roman" w:eastAsia="Times New Roman" w:hAnsi="Times New Roman"/>
          <w:sz w:val="24"/>
          <w:szCs w:val="24"/>
        </w:rPr>
        <w:t xml:space="preserve">1.9 "Payment Due Date" means the date that is the Settlement Window (as defined in Article 3.6) following the Expected Closing Date as set out in the applicable CPA and IDP, by which the Brokerage must remit the Commission to Firm Funds. Unless modified under Article 3.6, the Settlement Window is 7 (7) calendar days.</w:t>
      </w:r>
    </w:p>
    <w:p>
      <w:pPr>
        <w:spacing w:after="120"/>
      </w:pPr>
      <w:r>
        <w:rPr>
          <w:rFonts w:ascii="Times New Roman" w:cs="Times New Roman" w:eastAsia="Times New Roman" w:hAnsi="Times New Roman"/>
          <w:sz w:val="24"/>
          <w:szCs w:val="24"/>
        </w:rPr>
        <w:t xml:space="preserve">1.10 "Remediation IDP" means an Irrevocable Direction to Pay executed by an Agent under Article 5.5(b) of the applicable CPA, directing the Brokerage to remit the Agent's next or subsequent commission receivable to Firm Funds in satisfaction of an outstanding balance owing on a prior commission purchase transaction. For greater certainty, a Remediation IDP is not associated with a new commission purchase transaction and does not give rise to any Purchase Discount, Settlement Period Fee, or Purchase Price.</w:t>
      </w:r>
    </w:p>
    <w:p>
      <w:pPr>
        <w:spacing w:after="120"/>
      </w:pPr>
      <w:r>
        <w:rPr>
          <w:rFonts w:ascii="Times New Roman" w:cs="Times New Roman" w:eastAsia="Times New Roman" w:hAnsi="Times New Roman"/>
          <w:sz w:val="24"/>
          <w:szCs w:val="24"/>
        </w:rPr>
        <w:t xml:space="preserve">1.11 "Settlement Window" has the meaning set out in Article 3.6. The Settlement Window applicable to a given Transaction is fixed at the time the Agent's CPA is funded and is set out in the applicable CPA.</w:t>
      </w:r>
    </w:p>
    <w:p>
      <w:pPr>
        <w:spacing w:after="120"/>
      </w:pPr>
      <w:r>
        <w:rPr>
          <w:rFonts w:ascii="Times New Roman" w:cs="Times New Roman" w:eastAsia="Times New Roman" w:hAnsi="Times New Roman"/>
          <w:sz w:val="24"/>
          <w:szCs w:val="24"/>
        </w:rPr>
        <w:t xml:space="preserve">1.12 "Late Settlement Strike" means an occurrence in which the Brokerage fails to remit the Commission for a Transaction in full by the Payment Due Date applicable to that Transaction, as tracked by Firm Funds for the purposes of Article 3.6.</w:t>
      </w:r>
    </w:p>
    <w:p>
      <w:pPr>
        <w:spacing w:after="120" w:before="360"/>
      </w:pPr>
      <w:r>
        <w:rPr>
          <w:rFonts w:ascii="Times New Roman" w:cs="Times New Roman" w:eastAsia="Times New Roman" w:hAnsi="Times New Roman"/>
          <w:b/>
          <w:bCs/>
          <w:color w:val="000000"/>
          <w:sz w:val="28"/>
          <w:szCs w:val="28"/>
        </w:rPr>
        <w:t xml:space="preserve">ARTICLE 2: COOPERATION AND ACKNOWLEDGMENT</w:t>
      </w:r>
    </w:p>
    <w:p>
      <w:pPr>
        <w:spacing w:after="120"/>
      </w:pPr>
      <w:r>
        <w:rPr>
          <w:rFonts w:ascii="Times New Roman" w:cs="Times New Roman" w:eastAsia="Times New Roman" w:hAnsi="Times New Roman"/>
          <w:sz w:val="24"/>
          <w:szCs w:val="24"/>
        </w:rPr>
        <w:t xml:space="preserve">2.1 The Brokerage agrees to cooperate with Firm Funds in the processing of commission purchase transactions involving its Agents. This cooperation includes, without limitation, honouring Irrevocable Directions to Pay and facilitating the timely remittance of commission funds.</w:t>
      </w:r>
    </w:p>
    <w:p>
      <w:pPr>
        <w:spacing w:after="120"/>
      </w:pPr>
      <w:r>
        <w:rPr>
          <w:rFonts w:ascii="Times New Roman" w:cs="Times New Roman" w:eastAsia="Times New Roman" w:hAnsi="Times New Roman"/>
          <w:sz w:val="24"/>
          <w:szCs w:val="24"/>
        </w:rPr>
        <w:t xml:space="preserve">2.2 The Brokerage acknowledges that each commission purchase transaction constitutes a true sale and purchase of a Commission Receivable, and not a loan or security interest. The Brokerage acknowledges that upon execution of a CPA and IDP, Firm Funds acquires a property right in the Commission Receivable.</w:t>
      </w:r>
    </w:p>
    <w:p>
      <w:pPr>
        <w:spacing w:after="120"/>
      </w:pPr>
      <w:r>
        <w:rPr>
          <w:rFonts w:ascii="Times New Roman" w:cs="Times New Roman" w:eastAsia="Times New Roman" w:hAnsi="Times New Roman"/>
          <w:sz w:val="24"/>
          <w:szCs w:val="24"/>
        </w:rPr>
        <w:t xml:space="preserve">2.3 Nothing in this Agreement creates an obligation on the part of the Brokerage to recommend or market the commission purchase program to its Agents. However, upon receiving a valid IDP and supporting CPA documentation from an Agent, the Brokerage shall honour it in accordance with this Agreement.</w:t>
      </w:r>
    </w:p>
    <w:p>
      <w:pPr>
        <w:spacing w:after="120"/>
      </w:pPr>
      <w:r>
        <w:rPr>
          <w:rFonts w:ascii="Times New Roman" w:cs="Times New Roman" w:eastAsia="Times New Roman" w:hAnsi="Times New Roman"/>
          <w:sz w:val="24"/>
          <w:szCs w:val="24"/>
        </w:rPr>
        <w:t xml:space="preserve">2.4 Administrative Cooperation. The Brokerage agrees to provide reasonable administrative assistance to facilitate the orderly processing of commission purchase transactions involving its Agents. Such assistance includes, without limitation: (a) submitting commission purchase requests to Firm Funds on behalf of its Agents, and assisting Agents in the preparation and submission of such requests through the Firm Funds portal; (b) confirming commission details on request, including the status of a Transaction, the gross commission, the applicable commission split, and the Expected Closing Date; (c) providing Firm Funds with supporting documentation reasonably required to process a Transaction, including a copy of the Agreement of Purchase and Sale and the trade record sheet; (d) holding the Commission in its real estate trust account and remitting the required amount to Firm Funds in accordance with each Irrevocable Direction to Pay and Article 4; and (e) providing payment confirmations in accordance with Article 4.3. For greater certainty, the Brokerage's role is limited to the administrative cooperation described in this Agreement; the Brokerage does not underwrite, fund, or assume the credit risk of any Transaction, each of which remains the sole responsibility of Firm Funds. In consideration of this administrative cooperation, the Brokerage shall be entitled to the Profit Share set out in Article 4.</w:t>
      </w:r>
    </w:p>
    <w:p>
      <w:pPr>
        <w:spacing w:after="120" w:before="360"/>
      </w:pPr>
      <w:r>
        <w:rPr>
          <w:rFonts w:ascii="Times New Roman" w:cs="Times New Roman" w:eastAsia="Times New Roman" w:hAnsi="Times New Roman"/>
          <w:b/>
          <w:bCs/>
          <w:color w:val="000000"/>
          <w:sz w:val="28"/>
          <w:szCs w:val="28"/>
        </w:rPr>
        <w:t xml:space="preserve">ARTICLE 3: IRREVOCABLE DIRECTION TO PAY</w:t>
      </w:r>
    </w:p>
    <w:p>
      <w:pPr>
        <w:spacing w:after="120"/>
      </w:pPr>
      <w:r>
        <w:rPr>
          <w:rFonts w:ascii="Times New Roman" w:cs="Times New Roman" w:eastAsia="Times New Roman" w:hAnsi="Times New Roman"/>
          <w:sz w:val="24"/>
          <w:szCs w:val="24"/>
        </w:rPr>
        <w:t xml:space="preserve">3.1 Upon receiving a valid Irrevocable Direction to Pay from an Agent, the Brokerage shall honour such direction and remit to Firm Funds: (a) the directed amount, less the Profit Share as set out in Article 4.4, or (b) if the commission actually payable to the Agent on the Transaction (after the Brokerage's commission split) is less than the directed amount, the full commission actually payable less the Profit Share. Any shortfall between the directed amount and the commission actually remitted (exclusive of the Profit Share) is governed by the applicable CPA and IDP.</w:t>
      </w:r>
    </w:p>
    <w:p>
      <w:pPr>
        <w:spacing w:after="120"/>
      </w:pPr>
      <w:r>
        <w:rPr>
          <w:rFonts w:ascii="Times New Roman" w:cs="Times New Roman" w:eastAsia="Times New Roman" w:hAnsi="Times New Roman"/>
          <w:sz w:val="24"/>
          <w:szCs w:val="24"/>
        </w:rPr>
        <w:t xml:space="preserve">3.2 The Brokerage acknowledges that an IDP, once executed by the Agent and delivered to the Brokerage, is irrevocable and may not be cancelled, modified, or overridden except with the express written consent of Firm Funds.</w:t>
      </w:r>
    </w:p>
    <w:p>
      <w:pPr>
        <w:spacing w:after="120"/>
      </w:pPr>
      <w:r>
        <w:rPr>
          <w:rFonts w:ascii="Times New Roman" w:cs="Times New Roman" w:eastAsia="Times New Roman" w:hAnsi="Times New Roman"/>
          <w:sz w:val="24"/>
          <w:szCs w:val="24"/>
        </w:rPr>
        <w:t xml:space="preserve">3.3 The Brokerage agrees to process payment to Firm Funds no later than the Payment Due Date set out in the applicable IDP and CPA. Payment shall be made by electronic funds transfer to the account specified in the applicable IDP.</w:t>
      </w:r>
    </w:p>
    <w:p>
      <w:pPr>
        <w:spacing w:after="120"/>
      </w:pPr>
      <w:r>
        <w:rPr>
          <w:rFonts w:ascii="Times New Roman" w:cs="Times New Roman" w:eastAsia="Times New Roman" w:hAnsi="Times New Roman"/>
          <w:sz w:val="24"/>
          <w:szCs w:val="24"/>
        </w:rPr>
        <w:t xml:space="preserve">3.4 In the event of a commission dispute, holdback, or adjustment that affects the amount payable under an IDP, the Brokerage shall: (a) promptly notify both the Agent and Firm Funds in writing; (b) remit to Firm Funds any undisputed or actually payable portion of the commission, less the Profit Share under Article 4.4, up to the directed amount; and (c) withhold only the disputed, held-back, or not-yet-payable portion pending resolution or written instructions from Firm Funds.</w:t>
      </w:r>
    </w:p>
    <w:p>
      <w:pPr>
        <w:spacing w:after="120"/>
      </w:pPr>
      <w:r>
        <w:rPr>
          <w:rFonts w:ascii="Times New Roman" w:cs="Times New Roman" w:eastAsia="Times New Roman" w:hAnsi="Times New Roman"/>
          <w:sz w:val="24"/>
          <w:szCs w:val="24"/>
        </w:rPr>
        <w:t xml:space="preserve">3.5 Remediation IDPs. The Brokerage acknowledges that, where a prior commission purchase transaction involving an Agent has resulted in an outstanding balance owing to Firm Funds (whether due to non-closing or commission deficiency), the Agent may be required under the applicable CPA to execute a Remediation IDP directing the Brokerage to remit the Agent's next eligible commission(s) to Firm Funds. The Brokerage agrees to honour any such Remediation IDP delivered to it by the Agent in accordance with the same procedures set out in Articles 3.1 through 3.4 and Article 4 for commission purchase IDPs, with the following modifications: (a) No Profit Share. No Profit Share shall be payable to the Brokerage in respect of a Remediation IDP, as the underlying transaction is not a new commission purchase. The Brokerage shall remit to Firm Funds the full commission amount otherwise payable to the Agent (after the Brokerage's standard commission split), up to the directed amount. (b) Successive Application. Where a single commission receivable is insufficient to satisfy the directed amount, the Brokerage acknowledges that the Agent may be required to execute successive Remediation IDPs in respect of subsequent commission receivables, and the Brokerage shall honour each such Remediation IDP delivered to it. (c) Agent Transfer. If the Brokerage receives notice that an Agent subject to an outstanding Remediation IDP obligation has transferred to another brokerage, the Brokerage shall: (i) notify Firm Funds in writing within two (2) business days; and (ii) remit to Firm Funds any commission earned by the Agent prior to the transfer that remains payable through the Brokerage, in accordance with any then-effective Remediation IDP.</w:t>
      </w:r>
    </w:p>
    <w:p>
      <w:pPr>
        <w:spacing w:after="120"/>
      </w:pPr>
      <w:r>
        <w:rPr>
          <w:rFonts w:ascii="Times New Roman" w:cs="Times New Roman" w:eastAsia="Times New Roman" w:hAnsi="Times New Roman"/>
          <w:sz w:val="24"/>
          <w:szCs w:val="24"/>
        </w:rPr>
        <w:t xml:space="preserve">3.6 Settlement Window; Late Settlement Strikes and Auto-Extension. (a) The Settlement Window applicable to each Transaction is fixed at the time the Agent's CPA is funded and is set out in the applicable CPA. The default Settlement Window is 7 (7) calendar days following the Expected Closing Date. (b) Firm Funds shall track each occurrence in which the Brokerage fails to remit the Commission for a Transaction in full by the Payment Due Date applicable to that Transaction (each, a "Late Settlement Strike"). (c) Upon the Brokerage accumulating 5 (5) Late Settlement Strikes, the Settlement Window for all Transactions thereafter funded shall, by operation of this Agreement and without further notice, be extended to 14 (14) calendar days (the "Extended Settlement Window"), and shall continue at the Extended Settlement Window until Firm Funds, in its sole discretion, restores the default Settlement Window in writing. (d) For greater certainty, an extension of the Settlement Window under this Article 3.6 does not modify the Payment Due Date applicable to any Transaction that was already funded prior to the extension; each Transaction's Payment Due Date is governed by the Settlement Window in effect at the time of its CPA funding. (e) Nothing in this Article 3.6 limits Firm Funds' other remedies under this Agreement or at law for the Brokerage's failure to remit any Commission by the applicable Payment Due Date.</w:t>
      </w:r>
    </w:p>
    <w:p>
      <w:pPr>
        <w:spacing w:after="120" w:before="360"/>
      </w:pPr>
      <w:r>
        <w:rPr>
          <w:rFonts w:ascii="Times New Roman" w:cs="Times New Roman" w:eastAsia="Times New Roman" w:hAnsi="Times New Roman"/>
          <w:b/>
          <w:bCs/>
          <w:color w:val="000000"/>
          <w:sz w:val="28"/>
          <w:szCs w:val="28"/>
        </w:rPr>
        <w:t xml:space="preserve">ARTICLE 4: COMMISSION HANDLING AND REMITTANCE</w:t>
      </w:r>
    </w:p>
    <w:p>
      <w:pPr>
        <w:spacing w:after="120"/>
      </w:pPr>
      <w:r>
        <w:rPr>
          <w:rFonts w:ascii="Times New Roman" w:cs="Times New Roman" w:eastAsia="Times New Roman" w:hAnsi="Times New Roman"/>
          <w:sz w:val="24"/>
          <w:szCs w:val="24"/>
        </w:rPr>
        <w:t xml:space="preserve">4.1 Upon closing of a Transaction, the Brokerage shall remit the amount required under Article 3.1 directly to Firm Funds by electronic funds transfer (EFT) to the account specified in the IDP, or by such other method as Firm Funds may direct in writing.</w:t>
      </w:r>
    </w:p>
    <w:p>
      <w:pPr>
        <w:spacing w:after="120"/>
      </w:pPr>
      <w:r>
        <w:rPr>
          <w:rFonts w:ascii="Times New Roman" w:cs="Times New Roman" w:eastAsia="Times New Roman" w:hAnsi="Times New Roman"/>
          <w:sz w:val="24"/>
          <w:szCs w:val="24"/>
        </w:rPr>
        <w:t xml:space="preserve">4.2 Any residual commission amount remaining after remittance to Firm Funds under Article 3.1 shall be remitted to the Agent in accordance with the Brokerage's standard commission disbursement practices.</w:t>
      </w:r>
    </w:p>
    <w:p>
      <w:pPr>
        <w:spacing w:after="120"/>
      </w:pPr>
      <w:r>
        <w:rPr>
          <w:rFonts w:ascii="Times New Roman" w:cs="Times New Roman" w:eastAsia="Times New Roman" w:hAnsi="Times New Roman"/>
          <w:sz w:val="24"/>
          <w:szCs w:val="24"/>
        </w:rPr>
        <w:t xml:space="preserve">4.3 The Brokerage shall provide Firm Funds with reasonable confirmation of payment, including the date of remittance and transaction reference number, within five (5) business days of payment.</w:t>
      </w:r>
    </w:p>
    <w:p>
      <w:pPr>
        <w:spacing w:after="120"/>
      </w:pPr>
      <w:r>
        <w:rPr>
          <w:rFonts w:ascii="Times New Roman" w:cs="Times New Roman" w:eastAsia="Times New Roman" w:hAnsi="Times New Roman"/>
          <w:sz w:val="24"/>
          <w:szCs w:val="24"/>
        </w:rPr>
        <w:t xml:space="preserve">4.4 Profit Share. For each Transaction in which the Brokerage honours an IDP, the Brokerage shall be entitled to a Profit Share of 20% of the sum of the Purchase Discount and the Settlement Period Fee, in consideration of the administrative cooperation it provides under Article 2 of this Agreement. The Profit Share percentage may be adjusted for a specific Transaction by written agreement between the parties, as reflected in the applicable CPA. The Profit Share shall not apply to any other fees or charges under the CPA.</w:t>
      </w:r>
    </w:p>
    <w:p>
      <w:pPr>
        <w:spacing w:after="120"/>
      </w:pPr>
      <w:r>
        <w:rPr>
          <w:rFonts w:ascii="Times New Roman" w:cs="Times New Roman" w:eastAsia="Times New Roman" w:hAnsi="Times New Roman"/>
          <w:sz w:val="24"/>
          <w:szCs w:val="24"/>
        </w:rPr>
        <w:t xml:space="preserve">4.5 Deduction of Profit Share. The Brokerage shall deduct the Profit Share from the amount otherwise remittable to Firm Funds under Article 3.1 at the time of remittance. The Brokerage shall include the Profit Share amount and the calculation basis in the payment confirmation provided under Article 4.3.</w:t>
      </w:r>
    </w:p>
    <w:p>
      <w:pPr>
        <w:spacing w:after="120"/>
      </w:pPr>
      <w:r>
        <w:rPr>
          <w:rFonts w:ascii="Times New Roman" w:cs="Times New Roman" w:eastAsia="Times New Roman" w:hAnsi="Times New Roman"/>
          <w:sz w:val="24"/>
          <w:szCs w:val="24"/>
        </w:rPr>
        <w:t xml:space="preserve">4.6 Profit Share on Partial Commission. If the commission actually payable is less than the directed amount and the Brokerage remits a reduced amount under Article 3.1(b), the Profit Share shall be calculated on the sum of the Purchase Discount and the Settlement Period Fee as originally set out in the applicable CPA, and shall not be recalculated based on the reduced remittance amount.</w:t>
      </w:r>
    </w:p>
    <w:p>
      <w:pPr>
        <w:spacing w:after="120" w:before="360"/>
      </w:pPr>
      <w:r>
        <w:rPr>
          <w:rFonts w:ascii="Times New Roman" w:cs="Times New Roman" w:eastAsia="Times New Roman" w:hAnsi="Times New Roman"/>
          <w:b/>
          <w:bCs/>
          <w:color w:val="000000"/>
          <w:sz w:val="28"/>
          <w:szCs w:val="28"/>
        </w:rPr>
        <w:t xml:space="preserve">ARTICLE 5: NOTIFICATION OBLIGATIONS</w:t>
      </w:r>
    </w:p>
    <w:p>
      <w:pPr>
        <w:spacing w:after="120"/>
      </w:pPr>
      <w:r>
        <w:rPr>
          <w:rFonts w:ascii="Times New Roman" w:cs="Times New Roman" w:eastAsia="Times New Roman" w:hAnsi="Times New Roman"/>
          <w:sz w:val="24"/>
          <w:szCs w:val="24"/>
        </w:rPr>
        <w:t xml:space="preserve">5.1 The Brokerage shall promptly notify Firm Funds in writing if it becomes aware of any of the following: (a) a change to the expected closing date of a Transaction subject to an IDP; (b) the termination, collapse, or material amendment of a Transaction; (c) any commission dispute, holdback, or legal proceeding affecting a Commission Receivable; (d) any change in the Agent's status, including termination, suspension, or transfer to another brokerage.</w:t>
      </w:r>
    </w:p>
    <w:p>
      <w:pPr>
        <w:spacing w:after="120"/>
      </w:pPr>
      <w:r>
        <w:rPr>
          <w:rFonts w:ascii="Times New Roman" w:cs="Times New Roman" w:eastAsia="Times New Roman" w:hAnsi="Times New Roman"/>
          <w:sz w:val="24"/>
          <w:szCs w:val="24"/>
        </w:rPr>
        <w:t xml:space="preserve">5.2 The Brokerage shall provide Firm Funds with such notice within two (2) business days of becoming aware of the applicable event.</w:t>
      </w:r>
    </w:p>
    <w:p>
      <w:pPr>
        <w:spacing w:after="120" w:before="360"/>
      </w:pPr>
      <w:r>
        <w:rPr>
          <w:rFonts w:ascii="Times New Roman" w:cs="Times New Roman" w:eastAsia="Times New Roman" w:hAnsi="Times New Roman"/>
          <w:b/>
          <w:bCs/>
          <w:color w:val="000000"/>
          <w:sz w:val="28"/>
          <w:szCs w:val="28"/>
        </w:rPr>
        <w:t xml:space="preserve">ARTICLE 6: AGENT AUTHORIZATION</w:t>
      </w:r>
    </w:p>
    <w:p>
      <w:pPr>
        <w:spacing w:after="120"/>
      </w:pPr>
      <w:r>
        <w:rPr>
          <w:rFonts w:ascii="Times New Roman" w:cs="Times New Roman" w:eastAsia="Times New Roman" w:hAnsi="Times New Roman"/>
          <w:sz w:val="24"/>
          <w:szCs w:val="24"/>
        </w:rPr>
        <w:t xml:space="preserve">6.1 The Brokerage confirms that it shall not restrict its Agents from participating in lawful commission purchase arrangements with Firm Funds, and that upon receiving a valid IDP and CPA, the Brokerage shall honour the direction in accordance with this Agreement.</w:t>
      </w:r>
    </w:p>
    <w:p>
      <w:pPr>
        <w:spacing w:after="120"/>
      </w:pPr>
      <w:r>
        <w:rPr>
          <w:rFonts w:ascii="Times New Roman" w:cs="Times New Roman" w:eastAsia="Times New Roman" w:hAnsi="Times New Roman"/>
          <w:sz w:val="24"/>
          <w:szCs w:val="24"/>
        </w:rPr>
        <w:t xml:space="preserve">6.2 The Brokerage agrees not to take any action to impede, discourage, or penalize an Agent solely for participating in the Firm Funds commission purchase program.</w:t>
      </w:r>
    </w:p>
    <w:p>
      <w:pPr>
        <w:spacing w:after="120" w:before="360"/>
      </w:pPr>
      <w:r>
        <w:rPr>
          <w:rFonts w:ascii="Times New Roman" w:cs="Times New Roman" w:eastAsia="Times New Roman" w:hAnsi="Times New Roman"/>
          <w:b/>
          <w:bCs/>
          <w:color w:val="000000"/>
          <w:sz w:val="28"/>
          <w:szCs w:val="28"/>
        </w:rPr>
        <w:t xml:space="preserve">ARTICLE 7: TERM AND TERMINATION</w:t>
      </w:r>
    </w:p>
    <w:p>
      <w:pPr>
        <w:spacing w:after="120"/>
      </w:pPr>
      <w:r>
        <w:rPr>
          <w:rFonts w:ascii="Times New Roman" w:cs="Times New Roman" w:eastAsia="Times New Roman" w:hAnsi="Times New Roman"/>
          <w:sz w:val="24"/>
          <w:szCs w:val="24"/>
        </w:rPr>
        <w:t xml:space="preserve">7.1 This Agreement shall commence on the date first written above and shall continue in force for a period of one (1) year, automatically renewing for successive one-year terms unless either party provides not less than ninety (90) days' written notice of non-renewal prior to the end of the then-current term.</w:t>
      </w:r>
    </w:p>
    <w:p>
      <w:pPr>
        <w:spacing w:after="120"/>
      </w:pPr>
      <w:r>
        <w:rPr>
          <w:rFonts w:ascii="Times New Roman" w:cs="Times New Roman" w:eastAsia="Times New Roman" w:hAnsi="Times New Roman"/>
          <w:sz w:val="24"/>
          <w:szCs w:val="24"/>
        </w:rPr>
        <w:t xml:space="preserve">7.2 Either party may terminate this Agreement for cause upon thirty (30) days' written notice if the other party commits a material breach and fails to cure such breach within the notice period.</w:t>
      </w:r>
    </w:p>
    <w:p>
      <w:pPr>
        <w:spacing w:after="120"/>
      </w:pPr>
      <w:r>
        <w:rPr>
          <w:rFonts w:ascii="Times New Roman" w:cs="Times New Roman" w:eastAsia="Times New Roman" w:hAnsi="Times New Roman"/>
          <w:sz w:val="24"/>
          <w:szCs w:val="24"/>
        </w:rPr>
        <w:t xml:space="preserve">7.3 Termination of this Agreement shall not affect any IDP that has been executed and delivered prior to the effective date of termination. Following termination, the Brokerage shall continue to comply with: (a) all outstanding IDPs; (b) its remittance obligations under Article 3; and (c) its notification obligations under Article 5, including with respect to non-closing, delay, deficiency, dispute, or holdback, until each outstanding Transaction is fully resolved and all amounts have been remitted or accounted for.</w:t>
      </w:r>
    </w:p>
    <w:p>
      <w:pPr>
        <w:spacing w:after="120" w:before="360"/>
      </w:pPr>
      <w:r>
        <w:rPr>
          <w:rFonts w:ascii="Times New Roman" w:cs="Times New Roman" w:eastAsia="Times New Roman" w:hAnsi="Times New Roman"/>
          <w:b/>
          <w:bCs/>
          <w:color w:val="000000"/>
          <w:sz w:val="28"/>
          <w:szCs w:val="28"/>
        </w:rPr>
        <w:t xml:space="preserve">ARTICLE 8: REPRESENTATIONS AND WARRANTIES</w:t>
      </w:r>
    </w:p>
    <w:p>
      <w:pPr>
        <w:spacing w:after="120"/>
      </w:pPr>
      <w:r>
        <w:rPr>
          <w:rFonts w:ascii="Times New Roman" w:cs="Times New Roman" w:eastAsia="Times New Roman" w:hAnsi="Times New Roman"/>
          <w:sz w:val="24"/>
          <w:szCs w:val="24"/>
        </w:rPr>
        <w:t xml:space="preserve">8.1 The Brokerage represents and warrants that: (a) it is a brokerage in good standing registered under the Trust in Real Estate Services Act, 2002 (Ontario); (b) the Broker of Record has full authority to enter into this Agreement on behalf of the Brokerage; (c) entering into this Agreement does not conflict with any other agreement or obligation of the Brokerage; (d) it maintains adequate trust accounting and commission disbursement procedures.</w:t>
      </w:r>
    </w:p>
    <w:p>
      <w:pPr>
        <w:spacing w:after="120"/>
      </w:pPr>
      <w:r>
        <w:rPr>
          <w:rFonts w:ascii="Times New Roman" w:cs="Times New Roman" w:eastAsia="Times New Roman" w:hAnsi="Times New Roman"/>
          <w:sz w:val="24"/>
          <w:szCs w:val="24"/>
        </w:rPr>
        <w:t xml:space="preserve">8.2 Firm Funds represents and warrants that: (a) it is a corporation in good standing under the laws of Ontario; (b) it has full authority to enter into this Agreement; (c) it shall comply with all applicable laws, including FINTRAC requirements, in connection with its commission purchase operations.</w:t>
      </w:r>
    </w:p>
    <w:p>
      <w:pPr>
        <w:spacing w:after="120" w:before="360"/>
      </w:pPr>
      <w:r>
        <w:rPr>
          <w:rFonts w:ascii="Times New Roman" w:cs="Times New Roman" w:eastAsia="Times New Roman" w:hAnsi="Times New Roman"/>
          <w:b/>
          <w:bCs/>
          <w:color w:val="000000"/>
          <w:sz w:val="28"/>
          <w:szCs w:val="28"/>
        </w:rPr>
        <w:t xml:space="preserve">ARTICLE 9: CONFIDENTIALITY</w:t>
      </w:r>
    </w:p>
    <w:p>
      <w:pPr>
        <w:spacing w:after="120"/>
      </w:pPr>
      <w:r>
        <w:rPr>
          <w:rFonts w:ascii="Times New Roman" w:cs="Times New Roman" w:eastAsia="Times New Roman" w:hAnsi="Times New Roman"/>
          <w:sz w:val="24"/>
          <w:szCs w:val="24"/>
        </w:rPr>
        <w:t xml:space="preserve">9.1 Each party agrees to keep confidential all information received from the other party in connection with this Agreement, including Agent information, transaction details, and financial terms. Such information may be disclosed only: (a) to the extent required by law or regulatory authority; (b) to professional advisors bound by confidentiality obligations; (c) with the prior written consent of the disclosing party.</w:t>
      </w:r>
    </w:p>
    <w:p>
      <w:pPr>
        <w:spacing w:after="120" w:before="360"/>
      </w:pPr>
      <w:r>
        <w:rPr>
          <w:rFonts w:ascii="Times New Roman" w:cs="Times New Roman" w:eastAsia="Times New Roman" w:hAnsi="Times New Roman"/>
          <w:b/>
          <w:bCs/>
          <w:color w:val="000000"/>
          <w:sz w:val="28"/>
          <w:szCs w:val="28"/>
        </w:rPr>
        <w:t xml:space="preserve">ARTICLE 10: INDEMNIFICATION</w:t>
      </w:r>
    </w:p>
    <w:p>
      <w:pPr>
        <w:spacing w:after="120"/>
      </w:pPr>
      <w:r>
        <w:rPr>
          <w:rFonts w:ascii="Times New Roman" w:cs="Times New Roman" w:eastAsia="Times New Roman" w:hAnsi="Times New Roman"/>
          <w:sz w:val="24"/>
          <w:szCs w:val="24"/>
        </w:rPr>
        <w:t xml:space="preserve">10.1 The Brokerage shall indemnify and hold harmless Firm Funds from any loss, cost, or expense (including reasonable legal fees) arising from: (a) a breach of this Agreement by the Brokerage; (b) the Brokerage's failure to honour a valid IDP; (c) the Brokerage's release of directed funds in contravention of an IDP.</w:t>
      </w:r>
    </w:p>
    <w:p>
      <w:pPr>
        <w:spacing w:after="120"/>
      </w:pPr>
      <w:r>
        <w:rPr>
          <w:rFonts w:ascii="Times New Roman" w:cs="Times New Roman" w:eastAsia="Times New Roman" w:hAnsi="Times New Roman"/>
          <w:sz w:val="24"/>
          <w:szCs w:val="24"/>
        </w:rPr>
        <w:t xml:space="preserve">10.2 Firm Funds shall indemnify and hold harmless the Brokerage from any loss, cost, or expense (including reasonable legal fees) arising from: (a) a breach of this Agreement by Firm Funds; (b) any claim by a third party relating to Firm Funds' commission purchase activities, to the extent such claim does not arise from the Brokerage's own acts or omissions.</w:t>
      </w:r>
    </w:p>
    <w:p>
      <w:pPr>
        <w:spacing w:after="120" w:before="360"/>
      </w:pPr>
      <w:r>
        <w:rPr>
          <w:rFonts w:ascii="Times New Roman" w:cs="Times New Roman" w:eastAsia="Times New Roman" w:hAnsi="Times New Roman"/>
          <w:b/>
          <w:bCs/>
          <w:color w:val="000000"/>
          <w:sz w:val="28"/>
          <w:szCs w:val="28"/>
        </w:rPr>
        <w:t xml:space="preserve">ARTICLE 11: GENERAL PROVISIONS</w:t>
      </w:r>
    </w:p>
    <w:p>
      <w:pPr>
        <w:spacing w:after="120"/>
      </w:pPr>
      <w:r>
        <w:rPr>
          <w:rFonts w:ascii="Times New Roman" w:cs="Times New Roman" w:eastAsia="Times New Roman" w:hAnsi="Times New Roman"/>
          <w:sz w:val="24"/>
          <w:szCs w:val="24"/>
        </w:rPr>
        <w:t xml:space="preserve">11.1 Governing Law. This Agreement shall be governed by and construed in accordance with the laws of the Province of Ontario and the federal laws of Canada applicable therein.</w:t>
      </w:r>
    </w:p>
    <w:p>
      <w:pPr>
        <w:spacing w:after="120"/>
      </w:pPr>
      <w:r>
        <w:rPr>
          <w:rFonts w:ascii="Times New Roman" w:cs="Times New Roman" w:eastAsia="Times New Roman" w:hAnsi="Times New Roman"/>
          <w:sz w:val="24"/>
          <w:szCs w:val="24"/>
        </w:rPr>
        <w:t xml:space="preserve">11.2 Entire Agreement. This Agreement constitutes the entire agreement between the parties with respect to the subject matter hereof and supersedes all prior negotiations, representations, and agreements.</w:t>
      </w:r>
    </w:p>
    <w:p>
      <w:pPr>
        <w:spacing w:after="120"/>
      </w:pPr>
      <w:r>
        <w:rPr>
          <w:rFonts w:ascii="Times New Roman" w:cs="Times New Roman" w:eastAsia="Times New Roman" w:hAnsi="Times New Roman"/>
          <w:sz w:val="24"/>
          <w:szCs w:val="24"/>
        </w:rPr>
        <w:t xml:space="preserve">11.3 Amendments. No amendment to this Agreement shall be effective unless made in writing and signed by both parties.</w:t>
      </w:r>
    </w:p>
    <w:p>
      <w:pPr>
        <w:spacing w:after="120"/>
      </w:pPr>
      <w:r>
        <w:rPr>
          <w:rFonts w:ascii="Times New Roman" w:cs="Times New Roman" w:eastAsia="Times New Roman" w:hAnsi="Times New Roman"/>
          <w:sz w:val="24"/>
          <w:szCs w:val="24"/>
        </w:rPr>
        <w:t xml:space="preserve">11.4 Severability. If any provision of this Agreement is held to be invalid or unenforceable, the remaining provisions shall continue in full force and effect.</w:t>
      </w:r>
    </w:p>
    <w:p>
      <w:pPr>
        <w:spacing w:after="120"/>
      </w:pPr>
      <w:r>
        <w:rPr>
          <w:rFonts w:ascii="Times New Roman" w:cs="Times New Roman" w:eastAsia="Times New Roman" w:hAnsi="Times New Roman"/>
          <w:sz w:val="24"/>
          <w:szCs w:val="24"/>
        </w:rPr>
        <w:t xml:space="preserve">11.5 Notices. All notices shall be in writing and delivered to the addresses set out above, or to such other address as a party may designate in writing.</w:t>
      </w:r>
    </w:p>
    <w:p>
      <w:pPr>
        <w:spacing w:after="120"/>
      </w:pPr>
      <w:r>
        <w:rPr>
          <w:rFonts w:ascii="Times New Roman" w:cs="Times New Roman" w:eastAsia="Times New Roman" w:hAnsi="Times New Roman"/>
          <w:sz w:val="24"/>
          <w:szCs w:val="24"/>
        </w:rPr>
        <w:t xml:space="preserve">11.6 Assignment. Neither party may assign this Agreement without the prior written consent of the other party, except that Firm Funds may assign its rights to an affiliate or in connection with a merger or sale of substantially all of its assets.</w:t>
      </w:r>
    </w:p>
    <w:p>
      <w:pPr>
        <w:spacing w:after="120"/>
      </w:pPr>
      <w:r>
        <w:rPr>
          <w:rFonts w:ascii="Times New Roman" w:cs="Times New Roman" w:eastAsia="Times New Roman" w:hAnsi="Times New Roman"/>
          <w:sz w:val="24"/>
          <w:szCs w:val="24"/>
        </w:rPr>
        <w:t xml:space="preserve">11.7 Electronic Execution. This Agreement may be executed by electronic signature in accordance with the Electronic Commerce Act, 2000 (Ontario), and electronic signatures shall be deemed original signatures for all purposes.</w:t>
      </w:r>
    </w:p>
    <w:p>
      <w:pPr>
        <w:spacing w:after="0" w:before="0"/>
        <w:jc w:val="right"/>
      </w:pPr>
      <w:r>
        <w:rPr>
          <w:rFonts w:ascii="Times New Roman" w:cs="Times New Roman" w:eastAsia="Times New Roman" w:hAnsi="Times New Roman"/>
          <w:color w:val="FFFFFF"/>
          <w:sz w:val="2"/>
          <w:szCs w:val="2"/>
        </w:rPr>
        <w:t xml:space="preserve">/ini1/</w:t>
      </w:r>
    </w:p>
    <w:p>
      <w:pPr>
        <w:sectPr>
          <w:headerReference w:type="default" r:id="rId7"/>
          <w:footerReference w:type="default" r:id="rId8"/>
          <w:pgSz w:w="11906" w:h="16838" w:orient="portrait"/>
          <w:pgMar w:top="1000" w:right="1000" w:bottom="1400" w:left="1000" w:header="708" w:footer="708" w:gutter="0"/>
          <w:pgNumType/>
          <w:docGrid w:linePitch="360"/>
        </w:sectPr>
      </w:pPr>
    </w:p>
    <w:p>
      <w:pPr>
        <w:spacing w:after="300"/>
        <w:jc w:val="center"/>
      </w:pPr>
      <w:r>
        <w:rPr>
          <w:rFonts w:ascii="Times New Roman" w:cs="Times New Roman" w:eastAsia="Times New Roman" w:hAnsi="Times New Roman"/>
          <w:b/>
          <w:bCs/>
          <w:sz w:val="28"/>
          <w:szCs w:val="28"/>
        </w:rPr>
        <w:t xml:space="preserve">SIGNATURE PAGE</w:t>
      </w:r>
    </w:p>
    <w:p>
      <w:pPr>
        <w:spacing w:after="120"/>
      </w:pPr>
      <w:r>
        <w:rPr>
          <w:rFonts w:ascii="Times New Roman" w:cs="Times New Roman" w:eastAsia="Times New Roman" w:hAnsi="Times New Roman"/>
          <w:sz w:val="24"/>
          <w:szCs w:val="24"/>
        </w:rPr>
        <w:t xml:space="preserve">IN WITNESS WHEREOF, the parties have executed this Brokerage Cooperation Agreement as of the date first written above.</w:t>
      </w:r>
    </w:p>
    <w:p>
      <w:pPr>
        <w:spacing w:after="200"/>
      </w:pPr>
    </w:p>
    <w:p>
      <w:pPr>
        <w:spacing w:after="200"/>
      </w:pPr>
    </w:p>
    <w:p>
      <w:pPr>
        <w:spacing w:after="120"/>
      </w:pPr>
      <w:r>
        <w:rPr>
          <w:rFonts w:ascii="Times New Roman" w:cs="Times New Roman" w:eastAsia="Times New Roman" w:hAnsi="Times New Roman"/>
          <w:b/>
          <w:bCs/>
          <w:sz w:val="24"/>
          <w:szCs w:val="24"/>
        </w:rPr>
        <w:t xml:space="preserve">FIRM FUNDS INC.</w:t>
      </w:r>
    </w:p>
    <w:p>
      <w:pPr>
        <w:spacing w:after="200"/>
      </w:pPr>
    </w:p>
    <w:p>
      <w:pPr>
        <w:spacing w:after="120"/>
      </w:pPr>
      <w:r>
        <w:rPr>
          <w:rFonts w:ascii="Times New Roman" w:cs="Times New Roman" w:eastAsia="Times New Roman" w:hAnsi="Times New Roman"/>
          <w:sz w:val="24"/>
          <w:szCs w:val="24"/>
        </w:rPr>
        <w:t xml:space="preserve">Name: Bud Jones</w:t>
      </w:r>
    </w:p>
    <w:p>
      <w:pPr>
        <w:spacing w:after="120"/>
      </w:pPr>
      <w:r>
        <w:rPr>
          <w:rFonts w:ascii="Times New Roman" w:cs="Times New Roman" w:eastAsia="Times New Roman" w:hAnsi="Times New Roman"/>
          <w:sz w:val="24"/>
          <w:szCs w:val="24"/>
        </w:rPr>
        <w:t xml:space="preserve">Title: Principal</w:t>
      </w:r>
    </w:p>
    <w:p>
      <w:pPr>
        <w:spacing w:after="200"/>
      </w:pPr>
    </w:p>
    <w:p>
      <w:pPr>
        <w:spacing w:after="120"/>
      </w:pPr>
      <w:r>
        <w:rPr>
          <w:rFonts w:ascii="Times New Roman" w:cs="Times New Roman" w:eastAsia="Times New Roman" w:hAnsi="Times New Roman"/>
          <w:sz w:val="24"/>
          <w:szCs w:val="24"/>
        </w:rPr>
        <w:t xml:space="preserve">(Signed on behalf of Firm Funds Inc. prior to delivery)</w:t>
      </w:r>
    </w:p>
    <w:p>
      <w:pPr>
        <w:spacing w:after="200"/>
      </w:pPr>
    </w:p>
    <w:p>
      <w:pPr>
        <w:spacing w:after="200"/>
      </w:pPr>
    </w:p>
    <w:p>
      <w:pPr>
        <w:spacing w:after="200"/>
      </w:pPr>
    </w:p>
    <w:p>
      <w:pPr>
        <w:spacing w:after="120"/>
      </w:pPr>
      <w:r>
        <w:rPr>
          <w:rFonts w:ascii="Times New Roman" w:cs="Times New Roman" w:eastAsia="Times New Roman" w:hAnsi="Times New Roman"/>
          <w:b/>
          <w:bCs/>
          <w:sz w:val="24"/>
          <w:szCs w:val="24"/>
        </w:rPr>
        <w:t xml:space="preserve">BROKERAGE:</w:t>
      </w:r>
    </w:p>
    <w:p>
      <w:pPr>
        <w:spacing w:after="120"/>
      </w:pPr>
      <w:r>
        <w:rPr>
          <w:rFonts w:ascii="Times New Roman" w:cs="Times New Roman" w:eastAsia="Times New Roman" w:hAnsi="Times New Roman"/>
          <w:sz w:val="24"/>
          <w:szCs w:val="24"/>
        </w:rPr>
        <w:t xml:space="preserve">Sample Realty Inc., Brokerage (SAMPLE)</w:t>
      </w:r>
    </w:p>
    <w:p>
      <w:pPr>
        <w:spacing w:after="200"/>
      </w:pPr>
    </w:p>
    <w:p>
      <w:pPr>
        <w:spacing w:after="120"/>
      </w:pPr>
      <w:r>
        <w:rPr>
          <w:rFonts w:ascii="Times New Roman" w:cs="Times New Roman" w:eastAsia="Times New Roman" w:hAnsi="Times New Roman"/>
          <w:sz w:val="24"/>
          <w:szCs w:val="24"/>
        </w:rPr>
        <w:t xml:space="preserve">Broker of Record: </w:t>
      </w:r>
      <w:r>
        <w:rPr>
          <w:rFonts w:ascii="Times New Roman" w:cs="Times New Roman" w:eastAsia="Times New Roman" w:hAnsi="Times New Roman"/>
          <w:b/>
          <w:bCs/>
          <w:sz w:val="24"/>
          <w:szCs w:val="24"/>
        </w:rPr>
        <w:t xml:space="preserve">John Sample</w:t>
      </w:r>
    </w:p>
    <w:p>
      <w:pPr>
        <w:spacing w:after="200"/>
      </w:pPr>
    </w:p>
    <w:p>
      <w:pPr>
        <w:spacing w:after="200"/>
      </w:pPr>
    </w:p>
    <w:p>
      <w:pPr>
        <w:spacing w:after="160"/>
      </w:pPr>
      <w:r>
        <w:rPr>
          <w:rFonts w:ascii="Times New Roman" w:cs="Times New Roman" w:eastAsia="Times New Roman" w:hAnsi="Times New Roman"/>
          <w:sz w:val="24"/>
          <w:szCs w:val="24"/>
        </w:rPr>
        <w:t xml:space="preserve">Signature: </w:t>
      </w:r>
      <w:r>
        <w:rPr>
          <w:rFonts w:ascii="Times New Roman" w:cs="Times New Roman" w:eastAsia="Times New Roman" w:hAnsi="Times New Roman"/>
          <w:color w:val="FFFFFF"/>
          <w:sz w:val="2"/>
          <w:szCs w:val="2"/>
        </w:rPr>
        <w:t xml:space="preserve">/sig1/</w:t>
      </w:r>
      <w:r>
        <w:rPr>
          <w:rFonts w:ascii="Times New Roman" w:cs="Times New Roman" w:eastAsia="Times New Roman" w:hAnsi="Times New Roman"/>
          <w:sz w:val="24"/>
          <w:szCs w:val="24"/>
        </w:rPr>
        <w:t xml:space="preserve">_______________________________</w:t>
      </w:r>
    </w:p>
    <w:p>
      <w:pPr>
        <w:spacing w:after="160"/>
      </w:pPr>
      <w:r>
        <w:rPr>
          <w:rFonts w:ascii="Times New Roman" w:cs="Times New Roman" w:eastAsia="Times New Roman" w:hAnsi="Times New Roman"/>
          <w:sz w:val="24"/>
          <w:szCs w:val="24"/>
        </w:rPr>
        <w:t xml:space="preserve">Date Signed: </w:t>
      </w:r>
      <w:r>
        <w:rPr>
          <w:rFonts w:ascii="Times New Roman" w:cs="Times New Roman" w:eastAsia="Times New Roman" w:hAnsi="Times New Roman"/>
          <w:color w:val="FFFFFF"/>
          <w:sz w:val="2"/>
          <w:szCs w:val="2"/>
        </w:rPr>
        <w:t xml:space="preserve">/dat1/</w:t>
      </w:r>
      <w:r>
        <w:rPr>
          <w:rFonts w:ascii="Times New Roman" w:cs="Times New Roman" w:eastAsia="Times New Roman" w:hAnsi="Times New Roman"/>
          <w:sz w:val="24"/>
          <w:szCs w:val="24"/>
        </w:rPr>
        <w:t xml:space="preserve">_______________________________</w:t>
      </w:r>
    </w:p>
    <w:sectPr>
      <w:headerReference w:type="default" r:id="rId9"/>
      <w:footerReference w:type="default" r:id="rId10"/>
      <w:pgSz w:w="11906" w:h="16838" w:orient="portrait"/>
      <w:pgMar w:top="1000" w:right="1000" w:bottom="14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before="120"/>
      <w:jc w:val="right"/>
    </w:pPr>
    <w:r>
      <w:rPr>
        <w:rFonts w:ascii="Times New Roman" w:cs="Times New Roman" w:eastAsia="Times New Roman" w:hAnsi="Times New Roman"/>
        <w:sz w:val="20"/>
        <w:szCs w:val="20"/>
      </w:rPr>
      <w:t xml:space="preserve">Broker of Record Initials:  ___________</w:t>
    </w:r>
  </w:p>
  <w:p>
    <w:pPr>
      <w:pBdr>
        <w:top w:val="single" w:color="000000" w:sz="1"/>
      </w:pBdr>
      <w:tabs>
        <w:tab w:val="right" w:pos="9026"/>
      </w:tabs>
      <w:spacing w:before="40"/>
    </w:pPr>
    <w:r>
      <w:rPr>
        <w:rFonts w:ascii="Times New Roman" w:cs="Times New Roman" w:eastAsia="Times New Roman" w:hAnsi="Times New Roman"/>
        <w:sz w:val="16"/>
        <w:szCs w:val="16"/>
      </w:rPr>
      <w:t xml:space="preserve">FIRM FUNDS INC. | Confidential</w:t>
    </w:r>
    <w:r>
      <w:tab/>
    </w:r>
    <w:r>
      <w:rPr>
        <w:rFonts w:ascii="Times New Roman" w:cs="Times New Roman" w:eastAsia="Times New Roman" w:hAnsi="Times New Roman"/>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r>
      <w:rPr>
        <w:rFonts w:ascii="Times New Roman" w:cs="Times New Roman" w:eastAsia="Times New Roman" w:hAnsi="Times New Roman"/>
        <w:sz w:val="16"/>
        <w:szCs w:val="16"/>
      </w:rPr>
      <w:t xml:space="preserve"> of </w:t>
    </w:r>
    <w:r>
      <w:rPr>
        <w:rFonts w:ascii="Times New Roman" w:cs="Times New Roman" w:eastAsia="Times New Roman" w:hAnsi="Times New Roman"/>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1"/>
      </w:pBdr>
      <w:tabs>
        <w:tab w:val="right" w:pos="9026"/>
      </w:tabs>
      <w:spacing w:before="60"/>
    </w:pPr>
    <w:r>
      <w:rPr>
        <w:rFonts w:ascii="Times New Roman" w:cs="Times New Roman" w:eastAsia="Times New Roman" w:hAnsi="Times New Roman"/>
        <w:sz w:val="16"/>
        <w:szCs w:val="16"/>
      </w:rPr>
      <w:t xml:space="preserve">FIRM FUNDS INC. | Confidential</w:t>
    </w:r>
    <w:r>
      <w:tab/>
    </w:r>
    <w:r>
      <w:rPr>
        <w:rFonts w:ascii="Times New Roman" w:cs="Times New Roman" w:eastAsia="Times New Roman" w:hAnsi="Times New Roman"/>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r>
      <w:rPr>
        <w:rFonts w:ascii="Times New Roman" w:cs="Times New Roman" w:eastAsia="Times New Roman" w:hAnsi="Times New Roman"/>
        <w:sz w:val="16"/>
        <w:szCs w:val="16"/>
      </w:rPr>
      <w:t xml:space="preserve"> of </w:t>
    </w:r>
    <w:r>
      <w:rPr>
        <w:rFonts w:ascii="Times New Roman" w:cs="Times New Roman" w:eastAsia="Times New Roman" w:hAnsi="Times New Roman"/>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spacing w:after="100"/>
      <w:jc w:val="center"/>
    </w:pPr>
    <w:r>
      <w:rPr>
        <w:rFonts w:ascii="Times New Roman" w:cs="Times New Roman" w:eastAsia="Times New Roman" w:hAnsi="Times New Roman"/>
        <w:color w:val="000000"/>
        <w:sz w:val="18"/>
        <w:szCs w:val="18"/>
      </w:rPr>
      <w:t xml:space="preserve">FIRM FUNDS INC. | Brokerage Cooperation Agreement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spacing w:after="100"/>
      <w:jc w:val="center"/>
    </w:pPr>
    <w:r>
      <w:rPr>
        <w:rFonts w:ascii="Times New Roman" w:cs="Times New Roman" w:eastAsia="Times New Roman" w:hAnsi="Times New Roman"/>
        <w:color w:val="000000"/>
        <w:sz w:val="18"/>
        <w:szCs w:val="18"/>
      </w:rPr>
      <w:t xml:space="preserve">FIRM FUNDS INC. | Brokerage Cooperation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2026-06-10T14:14:18.987Z</dcterms:created>
  <dcterms:modified xsi:type="dcterms:W3CDTF">2026-06-10T14:14:18.987Z</dcterms:modified>
</cp:coreProperties>
</file>

<file path=docProps/custom.xml><?xml version="1.0" encoding="utf-8"?>
<Properties xmlns="http://schemas.openxmlformats.org/officeDocument/2006/custom-properties" xmlns:vt="http://schemas.openxmlformats.org/officeDocument/2006/docPropsVTypes"/>
</file>