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36"/>
          <w:szCs w:val="36"/>
        </w:rPr>
        <w:t xml:space="preserve">COMPLIANCE OFFICER DESIGNATION</w:t>
      </w:r>
    </w:p>
    <w:p>
      <w:pPr>
        <w:spacing w:after="400"/>
      </w:pPr>
      <w:r>
        <w:rPr>
          <w:rFonts w:ascii="Arial" w:cs="Arial" w:eastAsia="Arial" w:hAnsi="Arial"/>
          <w:i/>
          <w:iCs/>
          <w:color w:val="666666"/>
          <w:sz w:val="22"/>
          <w:szCs w:val="22"/>
        </w:rPr>
        <w:t xml:space="preserve">Pursuant to the Proceeds of Crime (Money Laundering) and Terrorist Financing Act (PCMLTFA)</w:t>
      </w:r>
    </w:p>
    <w:p>
      <w:pPr>
        <w:spacing w:after="160"/>
      </w:pPr>
      <w:r>
        <w:rPr>
          <w:rFonts w:ascii="Arial" w:cs="Arial" w:eastAsia="Arial" w:hAnsi="Arial"/>
          <w:b/>
          <w:bCs/>
          <w:sz w:val="26"/>
          <w:szCs w:val="26"/>
        </w:rPr>
        <w:t xml:space="preserve">Firm Funds Incorporated</w:t>
      </w:r>
    </w:p>
    <w:p>
      <w:pPr>
        <w:spacing w:after="160"/>
      </w:pPr>
      <w:r>
        <w:rPr>
          <w:rFonts w:ascii="Arial" w:cs="Arial" w:eastAsia="Arial" w:hAnsi="Arial"/>
          <w:color w:val="666666"/>
          <w:sz w:val="22"/>
          <w:szCs w:val="22"/>
        </w:rPr>
        <w:t xml:space="preserve">Ontario Corporation</w:t>
      </w:r>
    </w:p>
    <w:p>
      <w:pPr>
        <w:spacing w:after="400"/>
      </w:pPr>
      <w:r>
        <w:rPr>
          <w:rFonts w:ascii="Arial" w:cs="Arial" w:eastAsia="Arial" w:hAnsi="Arial"/>
          <w:sz w:val="22"/>
          <w:szCs w:val="22"/>
        </w:rPr>
        <w:t xml:space="preserve">Effective Date: April 3, 2026</w:t>
      </w:r>
    </w:p>
    <w:p>
      <w:pPr>
        <w:spacing w:after="200"/>
      </w:pPr>
    </w:p>
    <w:p>
      <w:pPr>
        <w:spacing w:after="160"/>
      </w:pPr>
      <w:r>
        <w:rPr>
          <w:rFonts w:ascii="Arial" w:cs="Arial" w:eastAsia="Arial" w:hAnsi="Arial"/>
          <w:sz w:val="22"/>
          <w:szCs w:val="22"/>
        </w:rPr>
        <w:t xml:space="preserve">The Board of Directors of Firm Funds Incorporated (the "Company") hereby designates the following individual as the Compliance Officer responsible for the implementation and oversight of the Company’s Anti-Money Laundering and Anti-Terrorist Financing (AML/ATF) Compliance Program: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 Jones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Director &amp; Compliance Officer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bud@firmfunds.ca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April 3, 2026</w:t>
            </w:r>
          </w:p>
        </w:tc>
      </w:tr>
    </w:tbl>
    <w:p>
      <w:pPr>
        <w:spacing w:after="200"/>
      </w:pPr>
    </w:p>
    <w:p>
      <w:pPr>
        <w:pStyle w:val="Heading2"/>
        <w:spacing w:after="160"/>
      </w:pPr>
      <w:r>
        <w:rPr>
          <w:rFonts w:ascii="Arial" w:cs="Arial" w:eastAsia="Arial" w:hAnsi="Arial"/>
          <w:sz w:val="22"/>
          <w:szCs w:val="22"/>
        </w:rPr>
        <w:t xml:space="preserve">Responsibilities of the Compliance Officer</w:t>
      </w:r>
    </w:p>
    <w:p>
      <w:pPr>
        <w:spacing w:after="120"/>
      </w:pPr>
      <w:r>
        <w:rPr>
          <w:rFonts w:ascii="Arial" w:cs="Arial" w:eastAsia="Arial" w:hAnsi="Arial"/>
          <w:sz w:val="22"/>
          <w:szCs w:val="22"/>
        </w:rPr>
        <w:t xml:space="preserve">The Compliance Officer shall have the authority and responsibility to:</w:t>
      </w:r>
    </w:p>
    <w:p>
      <w:pPr>
        <w:pStyle w:val="ListParagraph"/>
        <w:numPr>
          <w:ilvl w:val="0"/>
          <w:numId w:val="2"/>
        </w:numPr>
        <w:spacing w:after="160"/>
      </w:pPr>
      <w:r>
        <w:rPr>
          <w:rFonts w:ascii="Arial" w:cs="Arial" w:eastAsia="Arial" w:hAnsi="Arial"/>
          <w:sz w:val="22"/>
          <w:szCs w:val="22"/>
        </w:rPr>
        <w:t xml:space="preserve">Develop, implement, and maintain the Company’s written AML/ATF Compliance Program in accordance with the PCMLTFA and its associated regulations.</w:t>
      </w:r>
    </w:p>
    <w:p>
      <w:pPr>
        <w:pStyle w:val="ListParagraph"/>
        <w:numPr>
          <w:ilvl w:val="0"/>
          <w:numId w:val="2"/>
        </w:numPr>
        <w:spacing w:after="160"/>
      </w:pPr>
      <w:r>
        <w:rPr>
          <w:rFonts w:ascii="Arial" w:cs="Arial" w:eastAsia="Arial" w:hAnsi="Arial"/>
          <w:sz w:val="22"/>
          <w:szCs w:val="22"/>
        </w:rPr>
        <w:t xml:space="preserve">Ensure all client identification and verification procedures (Know Your Client / KYC) are followed for every agent and brokerage onboarded by the Company.</w:t>
      </w:r>
    </w:p>
    <w:p>
      <w:pPr>
        <w:pStyle w:val="ListParagraph"/>
        <w:numPr>
          <w:ilvl w:val="0"/>
          <w:numId w:val="2"/>
        </w:numPr>
        <w:spacing w:after="160"/>
      </w:pPr>
      <w:r>
        <w:rPr>
          <w:rFonts w:ascii="Arial" w:cs="Arial" w:eastAsia="Arial" w:hAnsi="Arial"/>
          <w:sz w:val="22"/>
          <w:szCs w:val="22"/>
        </w:rPr>
        <w:t xml:space="preserve">Ensure the Company files all required reports with the Financial Transactions and Reports Analysis Centre of Canada (FINTRAC), including Suspicious Transaction Reports (STRs), Large Cash Transaction Reports, and Terrorist Property Reports.</w:t>
      </w:r>
    </w:p>
    <w:p>
      <w:pPr>
        <w:pStyle w:val="ListParagraph"/>
        <w:numPr>
          <w:ilvl w:val="0"/>
          <w:numId w:val="2"/>
        </w:numPr>
        <w:spacing w:after="160"/>
      </w:pPr>
      <w:r>
        <w:rPr>
          <w:rFonts w:ascii="Arial" w:cs="Arial" w:eastAsia="Arial" w:hAnsi="Arial"/>
          <w:sz w:val="22"/>
          <w:szCs w:val="22"/>
        </w:rPr>
        <w:t xml:space="preserve">Maintain all records in accordance with the Company’s Record Retention Policy (minimum 5 years).</w:t>
      </w:r>
    </w:p>
    <w:p>
      <w:pPr>
        <w:pStyle w:val="ListParagraph"/>
        <w:numPr>
          <w:ilvl w:val="0"/>
          <w:numId w:val="2"/>
        </w:numPr>
        <w:spacing w:after="160"/>
      </w:pPr>
      <w:r>
        <w:rPr>
          <w:rFonts w:ascii="Arial" w:cs="Arial" w:eastAsia="Arial" w:hAnsi="Arial"/>
          <w:sz w:val="22"/>
          <w:szCs w:val="22"/>
        </w:rPr>
        <w:t xml:space="preserve">Conduct or commission a review of the AML/ATF Compliance Program at least once every two (2) years to assess its effectiveness.</w:t>
      </w:r>
    </w:p>
    <w:p>
      <w:pPr>
        <w:pStyle w:val="ListParagraph"/>
        <w:numPr>
          <w:ilvl w:val="0"/>
          <w:numId w:val="2"/>
        </w:numPr>
        <w:spacing w:after="160"/>
      </w:pPr>
      <w:r>
        <w:rPr>
          <w:rFonts w:ascii="Arial" w:cs="Arial" w:eastAsia="Arial" w:hAnsi="Arial"/>
          <w:sz w:val="22"/>
          <w:szCs w:val="22"/>
        </w:rPr>
        <w:t xml:space="preserve">Ensure all employees and contractors receive appropriate AML/ATF training upon hiring and at least annually thereafter.</w:t>
      </w:r>
    </w:p>
    <w:p>
      <w:pPr>
        <w:pStyle w:val="ListParagraph"/>
        <w:numPr>
          <w:ilvl w:val="0"/>
          <w:numId w:val="2"/>
        </w:numPr>
        <w:spacing w:after="160"/>
      </w:pPr>
      <w:r>
        <w:rPr>
          <w:rFonts w:ascii="Arial" w:cs="Arial" w:eastAsia="Arial" w:hAnsi="Arial"/>
          <w:sz w:val="22"/>
          <w:szCs w:val="22"/>
        </w:rPr>
        <w:t xml:space="preserve">Act as the primary point of contact with FINTRAC for all compliance-related matters, including audits and inquiries.</w:t>
      </w:r>
    </w:p>
    <w:p>
      <w:pPr>
        <w:pStyle w:val="ListParagraph"/>
        <w:numPr>
          <w:ilvl w:val="0"/>
          <w:numId w:val="2"/>
        </w:numPr>
        <w:spacing w:after="160"/>
      </w:pPr>
      <w:r>
        <w:rPr>
          <w:rFonts w:ascii="Arial" w:cs="Arial" w:eastAsia="Arial" w:hAnsi="Arial"/>
          <w:sz w:val="22"/>
          <w:szCs w:val="22"/>
        </w:rPr>
        <w:t xml:space="preserve">Report to the Board of Directors on compliance matters as necessary.</w:t>
      </w:r>
    </w:p>
    <w:p>
      <w:pPr>
        <w:spacing w:after="200"/>
      </w:pPr>
    </w:p>
    <w:p>
      <w:pPr>
        <w:pStyle w:val="Heading2"/>
        <w:spacing w:after="160"/>
      </w:pPr>
      <w:r>
        <w:rPr>
          <w:rFonts w:ascii="Arial" w:cs="Arial" w:eastAsia="Arial" w:hAnsi="Arial"/>
          <w:sz w:val="22"/>
          <w:szCs w:val="22"/>
        </w:rPr>
        <w:t xml:space="preserve">Authority</w:t>
      </w:r>
    </w:p>
    <w:p>
      <w:pPr>
        <w:spacing w:after="160"/>
      </w:pPr>
      <w:r>
        <w:rPr>
          <w:rFonts w:ascii="Arial" w:cs="Arial" w:eastAsia="Arial" w:hAnsi="Arial"/>
          <w:sz w:val="22"/>
          <w:szCs w:val="22"/>
        </w:rPr>
        <w:t xml:space="preserve">The Compliance Officer shall have full authority to implement and enforce the AML/ATF Compliance Program, including the authority to halt or delay any transaction that is suspected to be related to money laundering or terrorist financing, and to file Suspicious Transaction Reports with FINTRAC without requiring prior approval from any other officer or director.</w:t>
      </w:r>
    </w:p>
    <w:p>
      <w:pPr>
        <w:spacing w:after="200"/>
      </w:pPr>
    </w:p>
    <w:p>
      <w:pPr>
        <w:pStyle w:val="Heading2"/>
        <w:spacing w:after="160"/>
      </w:pPr>
      <w:r>
        <w:rPr>
          <w:rFonts w:ascii="Arial" w:cs="Arial" w:eastAsia="Arial" w:hAnsi="Arial"/>
          <w:sz w:val="22"/>
          <w:szCs w:val="22"/>
        </w:rPr>
        <w:t xml:space="preserve">Duration</w:t>
      </w:r>
    </w:p>
    <w:p>
      <w:pPr>
        <w:spacing w:after="160"/>
      </w:pPr>
      <w:r>
        <w:rPr>
          <w:rFonts w:ascii="Arial" w:cs="Arial" w:eastAsia="Arial" w:hAnsi="Arial"/>
          <w:sz w:val="22"/>
          <w:szCs w:val="22"/>
        </w:rPr>
        <w:t xml:space="preserve">This designation shall remain in effect until revoked or replaced by a subsequent resolution of the Board of Directors.</w:t>
      </w:r>
    </w:p>
    <w:p>
      <w:pPr>
        <w:spacing w:after="400"/>
      </w:pPr>
    </w:p>
    <w:p>
      <w:pPr>
        <w:spacing w:after="300"/>
      </w:pPr>
      <w:r>
        <w:rPr>
          <w:rFonts w:ascii="Arial" w:cs="Arial" w:eastAsia="Arial" w:hAnsi="Arial"/>
          <w:b/>
          <w:bCs/>
          <w:sz w:val="22"/>
          <w:szCs w:val="22"/>
        </w:rPr>
        <w:t xml:space="preserve">AUTHORIZED BY:</w:t>
      </w:r>
    </w:p>
    <w:p>
      <w:pPr>
        <w:spacing w:after="40"/>
      </w:pPr>
    </w:p>
    <w:p>
      <w:pPr>
        <w:spacing w:after="40"/>
      </w:pPr>
      <w:r>
        <w:rPr>
          <w:rFonts w:ascii="Arial" w:cs="Arial" w:eastAsia="Arial" w:hAnsi="Arial"/>
          <w:sz w:val="22"/>
          <w:szCs w:val="22"/>
        </w:rPr>
        <w:t xml:space="preserve">________________________________________</w:t>
      </w:r>
    </w:p>
    <w:p>
      <w:pPr>
        <w:spacing w:after="40"/>
      </w:pPr>
      <w:r>
        <w:rPr>
          <w:rFonts w:ascii="Arial" w:cs="Arial" w:eastAsia="Arial" w:hAnsi="Arial"/>
          <w:b/>
          <w:bCs/>
          <w:sz w:val="22"/>
          <w:szCs w:val="22"/>
        </w:rPr>
        <w:t xml:space="preserve">Bud Jones, Director</w:t>
      </w:r>
    </w:p>
    <w:p>
      <w:pPr>
        <w:spacing w:after="40"/>
      </w:pPr>
      <w:r>
        <w:rPr>
          <w:rFonts w:ascii="Arial" w:cs="Arial" w:eastAsia="Arial" w:hAnsi="Arial"/>
          <w:sz w:val="22"/>
          <w:szCs w:val="22"/>
        </w:rPr>
        <w:t xml:space="preserve">Firm Funds Incorporated</w:t>
      </w:r>
    </w:p>
    <w:p>
      <w:pPr>
        <w:spacing w:after="200"/>
      </w:pPr>
      <w:r>
        <w:rPr>
          <w:rFonts w:ascii="Arial" w:cs="Arial" w:eastAsia="Arial" w:hAnsi="Arial"/>
          <w:sz w:val="22"/>
          <w:szCs w:val="22"/>
        </w:rPr>
        <w:t xml:space="preserve">Date: 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333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444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2026-04-03T18:15:50.567Z</dcterms:created>
  <dcterms:modified xsi:type="dcterms:W3CDTF">2026-04-03T18:15:50.567Z</dcterms:modified>
</cp:coreProperties>
</file>

<file path=docProps/custom.xml><?xml version="1.0" encoding="utf-8"?>
<Properties xmlns="http://schemas.openxmlformats.org/officeDocument/2006/custom-properties" xmlns:vt="http://schemas.openxmlformats.org/officeDocument/2006/docPropsVTypes"/>
</file>