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60"/>
        <w:jc w:val="center"/>
      </w:pPr>
      <w:r>
        <w:rPr>
          <w:rFonts w:ascii="Arial" w:cs="Arial" w:eastAsia="Arial" w:hAnsi="Arial"/>
          <w:b/>
          <w:bCs/>
          <w:color w:val="333333"/>
          <w:sz w:val="40"/>
          <w:szCs w:val="40"/>
        </w:rPr>
        <w:t xml:space="preserve">Anti-Money Laundering and</w:t>
      </w:r>
    </w:p>
    <w:p>
      <w:pPr>
        <w:spacing w:after="160"/>
        <w:jc w:val="center"/>
      </w:pPr>
      <w:r>
        <w:rPr>
          <w:rFonts w:ascii="Arial" w:cs="Arial" w:eastAsia="Arial" w:hAnsi="Arial"/>
          <w:b/>
          <w:bCs/>
          <w:color w:val="333333"/>
          <w:sz w:val="40"/>
          <w:szCs w:val="40"/>
        </w:rPr>
        <w:t xml:space="preserve">Anti-Terrorist Financing</w:t>
      </w:r>
    </w:p>
    <w:p>
      <w:pPr>
        <w:spacing w:after="400"/>
        <w:jc w:val="center"/>
      </w:pPr>
      <w:r>
        <w:rPr>
          <w:rFonts w:ascii="Arial" w:cs="Arial" w:eastAsia="Arial" w:hAnsi="Arial"/>
          <w:b/>
          <w:bCs/>
          <w:color w:val="333333"/>
          <w:sz w:val="40"/>
          <w:szCs w:val="40"/>
        </w:rPr>
        <w:t xml:space="preserve">Compliance Program</w:t>
      </w:r>
    </w:p>
    <w:p>
      <w:pPr>
        <w:pBdr>
          <w:top w:val="single" w:color="5FA873" w:sz="6" w:space="8"/>
          <w:bottom w:val="single" w:color="5FA873" w:sz="6" w:space="8"/>
        </w:pBdr>
        <w:spacing w:after="400"/>
        <w:jc w:val="center"/>
      </w:pPr>
      <w:r>
        <w:rPr>
          <w:rFonts w:ascii="Arial" w:cs="Arial" w:eastAsia="Arial" w:hAnsi="Arial"/>
          <w:b/>
          <w:bCs/>
          <w:color w:val="5FA873"/>
          <w:sz w:val="28"/>
          <w:szCs w:val="28"/>
        </w:rPr>
        <w:t xml:space="preserve">Firm Funds Incorporated</w:t>
      </w:r>
    </w:p>
    <w:p>
      <w:pPr>
        <w:spacing w:after="160"/>
        <w:jc w:val="center"/>
      </w:pPr>
      <w:r>
        <w:rPr>
          <w:rFonts w:ascii="Arial" w:cs="Arial" w:eastAsia="Arial" w:hAnsi="Arial"/>
          <w:color w:val="666666"/>
          <w:sz w:val="22"/>
          <w:szCs w:val="22"/>
        </w:rPr>
        <w:t xml:space="preserve">Reporting Entity Type: Factoring Company</w:t>
      </w:r>
    </w:p>
    <w:p>
      <w:pPr>
        <w:spacing w:after="160"/>
        <w:jc w:val="center"/>
      </w:pPr>
      <w:r>
        <w:rPr>
          <w:rFonts w:ascii="Arial" w:cs="Arial" w:eastAsia="Arial" w:hAnsi="Arial"/>
          <w:color w:val="666666"/>
          <w:sz w:val="22"/>
          <w:szCs w:val="22"/>
        </w:rPr>
        <w:t xml:space="preserve">Jurisdiction: Ontario, Canada</w:t>
      </w:r>
    </w:p>
    <w:p>
      <w:pPr>
        <w:spacing w:after="160"/>
        <w:jc w:val="center"/>
      </w:pPr>
      <w:r>
        <w:rPr>
          <w:rFonts w:ascii="Arial" w:cs="Arial" w:eastAsia="Arial" w:hAnsi="Arial"/>
          <w:color w:val="666666"/>
          <w:sz w:val="22"/>
          <w:szCs w:val="22"/>
        </w:rPr>
        <w:t xml:space="preserve">Effective Date: April 3, 2026</w:t>
      </w:r>
    </w:p>
    <w:p>
      <w:pPr>
        <w:spacing w:after="800"/>
        <w:jc w:val="center"/>
      </w:pPr>
      <w:r>
        <w:rPr>
          <w:rFonts w:ascii="Arial" w:cs="Arial" w:eastAsia="Arial" w:hAnsi="Arial"/>
          <w:color w:val="666666"/>
          <w:sz w:val="22"/>
          <w:szCs w:val="22"/>
        </w:rPr>
        <w:t xml:space="preserve">Version: 1.0</w:t>
      </w:r>
    </w:p>
    <w:p>
      <w:pPr>
        <w:spacing w:after="160"/>
        <w:jc w:val="center"/>
      </w:pPr>
      <w:r>
        <w:rPr>
          <w:rFonts w:ascii="Arial" w:cs="Arial" w:eastAsia="Arial" w:hAnsi="Arial"/>
          <w:b/>
          <w:bCs/>
          <w:color w:val="993D3D"/>
          <w:sz w:val="20"/>
          <w:szCs w:val="20"/>
        </w:rPr>
        <w:t xml:space="preserve">CONFIDENTIAL — FOR INTERNAL USE ONLY</w:t>
      </w:r>
    </w:p>
    <w:p>
      <w:r>
        <w:br w:type="page"/>
      </w:r>
    </w:p>
    <w:p>
      <w:pPr>
        <w:pStyle w:val="Heading1"/>
        <w:spacing w:after="160"/>
      </w:pPr>
      <w:r>
        <w:rPr>
          <w:rFonts w:ascii="Arial" w:cs="Arial" w:eastAsia="Arial" w:hAnsi="Arial"/>
          <w:sz w:val="22"/>
          <w:szCs w:val="22"/>
        </w:rPr>
        <w:t xml:space="preserve">1. Introduction and Purpose</w:t>
      </w:r>
    </w:p>
    <w:p>
      <w:pPr>
        <w:spacing w:after="160"/>
      </w:pPr>
      <w:r>
        <w:rPr>
          <w:rFonts w:ascii="Arial" w:cs="Arial" w:eastAsia="Arial" w:hAnsi="Arial"/>
          <w:sz w:val="22"/>
          <w:szCs w:val="22"/>
        </w:rPr>
        <w:t xml:space="preserve">Firm Funds Incorporated (“the Company”) is a factoring company registered in Ontario, Canada. The Company purchases pending real estate commission receivables from licensed Ontario real estate agents at a discount, advancing funds immediately via electronic funds transfer (EFT). Repayment is collected from the selling brokerage’s trust account upon closing of the underlying real estate transaction.</w:t>
      </w:r>
    </w:p>
    <w:p>
      <w:pPr>
        <w:spacing w:after="160"/>
      </w:pPr>
      <w:r>
        <w:rPr>
          <w:rFonts w:ascii="Arial" w:cs="Arial" w:eastAsia="Arial" w:hAnsi="Arial"/>
          <w:sz w:val="22"/>
          <w:szCs w:val="22"/>
        </w:rPr>
        <w:t xml:space="preserve">As a factoring entity, the Company is a reporting entity under the Proceeds of Crime (Money Laundering) and Terrorist Financing Act (PCMLTFA) and its associated regulations, effective April 1, 2025. This Compliance Program establishes the policies, procedures, and controls required to meet the Company’s obligations under the PCMLTFA.</w:t>
      </w:r>
    </w:p>
    <w:p>
      <w:pPr>
        <w:pStyle w:val="Heading2"/>
        <w:spacing w:after="160"/>
      </w:pPr>
      <w:r>
        <w:rPr>
          <w:rFonts w:ascii="Arial" w:cs="Arial" w:eastAsia="Arial" w:hAnsi="Arial"/>
          <w:sz w:val="22"/>
          <w:szCs w:val="22"/>
        </w:rPr>
        <w:t xml:space="preserve">1.1 Business Model and Risk Profile</w:t>
      </w:r>
    </w:p>
    <w:p>
      <w:pPr>
        <w:spacing w:after="160"/>
      </w:pPr>
      <w:r>
        <w:rPr>
          <w:rFonts w:ascii="Arial" w:cs="Arial" w:eastAsia="Arial" w:hAnsi="Arial"/>
          <w:sz w:val="22"/>
          <w:szCs w:val="22"/>
        </w:rPr>
        <w:t xml:space="preserve">The Company’s business model has several characteristics that result in an inherently low money laundering and terrorist financing (ML/TF) risk profile:</w:t>
      </w:r>
    </w:p>
    <w:p>
      <w:pPr>
        <w:pStyle w:val="ListParagraph"/>
        <w:numPr>
          <w:ilvl w:val="0"/>
          <w:numId w:val="2"/>
        </w:numPr>
        <w:spacing w:after="160"/>
      </w:pPr>
      <w:r>
        <w:rPr>
          <w:rFonts w:ascii="Arial" w:cs="Arial" w:eastAsia="Arial" w:hAnsi="Arial"/>
          <w:sz w:val="22"/>
          <w:szCs w:val="22"/>
        </w:rPr>
        <w:t xml:space="preserve">All clients are RECO-registered real estate agents operating through licensed Ontario brokerages, providing a layer of pre-existing regulatory oversight.</w:t>
      </w:r>
    </w:p>
    <w:p>
      <w:pPr>
        <w:pStyle w:val="ListParagraph"/>
        <w:numPr>
          <w:ilvl w:val="0"/>
          <w:numId w:val="2"/>
        </w:numPr>
        <w:spacing w:after="160"/>
      </w:pPr>
      <w:r>
        <w:rPr>
          <w:rFonts w:ascii="Arial" w:cs="Arial" w:eastAsia="Arial" w:hAnsi="Arial"/>
          <w:sz w:val="22"/>
          <w:szCs w:val="22"/>
        </w:rPr>
        <w:t xml:space="preserve">All funding is conducted exclusively via EFT to verified Canadian bank accounts — no cash, cheques, cryptocurrency, or other payment methods are accepted or used.</w:t>
      </w:r>
    </w:p>
    <w:p>
      <w:pPr>
        <w:pStyle w:val="ListParagraph"/>
        <w:numPr>
          <w:ilvl w:val="0"/>
          <w:numId w:val="2"/>
        </w:numPr>
        <w:spacing w:after="160"/>
      </w:pPr>
      <w:r>
        <w:rPr>
          <w:rFonts w:ascii="Arial" w:cs="Arial" w:eastAsia="Arial" w:hAnsi="Arial"/>
          <w:sz w:val="22"/>
          <w:szCs w:val="22"/>
        </w:rPr>
        <w:t xml:space="preserve">All repayments originate from brokerage trust accounts, which are regulated under the Real Estate and Business Brokers Act, 2002 (REBBA).</w:t>
      </w:r>
    </w:p>
    <w:p>
      <w:pPr>
        <w:pStyle w:val="ListParagraph"/>
        <w:numPr>
          <w:ilvl w:val="0"/>
          <w:numId w:val="2"/>
        </w:numPr>
        <w:spacing w:after="160"/>
      </w:pPr>
      <w:r>
        <w:rPr>
          <w:rFonts w:ascii="Arial" w:cs="Arial" w:eastAsia="Arial" w:hAnsi="Arial"/>
          <w:sz w:val="22"/>
          <w:szCs w:val="22"/>
        </w:rPr>
        <w:t xml:space="preserve">The Company operates solely within Ontario, Canada, eliminating cross-border transaction risk.</w:t>
      </w:r>
    </w:p>
    <w:p>
      <w:pPr>
        <w:pStyle w:val="ListParagraph"/>
        <w:numPr>
          <w:ilvl w:val="0"/>
          <w:numId w:val="2"/>
        </w:numPr>
        <w:spacing w:after="160"/>
      </w:pPr>
      <w:r>
        <w:rPr>
          <w:rFonts w:ascii="Arial" w:cs="Arial" w:eastAsia="Arial" w:hAnsi="Arial"/>
          <w:sz w:val="22"/>
          <w:szCs w:val="22"/>
        </w:rPr>
        <w:t xml:space="preserve">Transaction amounts are tied directly to verifiable real estate commissions on firm (conditions-waived) deals, providing a clear and legitimate source of funds.</w:t>
      </w:r>
    </w:p>
    <w:p>
      <w:r>
        <w:br w:type="page"/>
      </w:r>
    </w:p>
    <w:p>
      <w:pPr>
        <w:pStyle w:val="Heading1"/>
        <w:spacing w:after="160"/>
      </w:pPr>
      <w:r>
        <w:rPr>
          <w:rFonts w:ascii="Arial" w:cs="Arial" w:eastAsia="Arial" w:hAnsi="Arial"/>
          <w:sz w:val="22"/>
          <w:szCs w:val="22"/>
        </w:rPr>
        <w:t xml:space="preserve">2. Compliance Officer</w:t>
      </w:r>
    </w:p>
    <w:p>
      <w:pPr>
        <w:spacing w:after="160"/>
      </w:pPr>
      <w:r>
        <w:rPr>
          <w:rFonts w:ascii="Arial" w:cs="Arial" w:eastAsia="Arial" w:hAnsi="Arial"/>
          <w:sz w:val="22"/>
          <w:szCs w:val="22"/>
        </w:rPr>
        <w:t xml:space="preserve">The Company has designated the following individual as its Compliance Officer, responsible for the implementation and oversight of this Compliance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 Jones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Director &amp; Compliance Officer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bud@firmfunds.ca</w:t>
            </w:r>
          </w:p>
        </w:tc>
      </w:tr>
    </w:tbl>
    <w:p>
      <w:pPr>
        <w:spacing w:after="200"/>
      </w:pPr>
    </w:p>
    <w:p>
      <w:pPr>
        <w:spacing w:after="160"/>
      </w:pPr>
      <w:r>
        <w:rPr>
          <w:rFonts w:ascii="Arial" w:cs="Arial" w:eastAsia="Arial" w:hAnsi="Arial"/>
          <w:sz w:val="22"/>
          <w:szCs w:val="22"/>
        </w:rPr>
        <w:t xml:space="preserve">The Compliance Officer has full authority to implement and enforce this program, including the authority to halt transactions, file reports with FINTRAC, and report compliance matters to the Board of Directors. A formal Compliance Officer Designation Letter is maintained on file as a separate document.</w:t>
      </w:r>
    </w:p>
    <w:p>
      <w:r>
        <w:br w:type="page"/>
      </w:r>
    </w:p>
    <w:p>
      <w:pPr>
        <w:pStyle w:val="Heading1"/>
        <w:spacing w:after="160"/>
      </w:pPr>
      <w:r>
        <w:rPr>
          <w:rFonts w:ascii="Arial" w:cs="Arial" w:eastAsia="Arial" w:hAnsi="Arial"/>
          <w:sz w:val="22"/>
          <w:szCs w:val="22"/>
        </w:rPr>
        <w:t xml:space="preserve">3. Know Your Client (KYC) Procedures</w:t>
      </w:r>
    </w:p>
    <w:p>
      <w:pPr>
        <w:spacing w:after="160"/>
      </w:pPr>
      <w:r>
        <w:rPr>
          <w:rFonts w:ascii="Arial" w:cs="Arial" w:eastAsia="Arial" w:hAnsi="Arial"/>
          <w:sz w:val="22"/>
          <w:szCs w:val="22"/>
        </w:rPr>
        <w:t xml:space="preserve">The Company performs client identification and verification at the time of onboarding. KYC is a one-time process per client — once verified, the client’s KYC status remains valid unless circumstances change that warrant re-verification.</w:t>
      </w:r>
    </w:p>
    <w:p>
      <w:pPr>
        <w:pStyle w:val="Heading2"/>
        <w:spacing w:after="160"/>
      </w:pPr>
      <w:r>
        <w:rPr>
          <w:rFonts w:ascii="Arial" w:cs="Arial" w:eastAsia="Arial" w:hAnsi="Arial"/>
          <w:sz w:val="22"/>
          <w:szCs w:val="22"/>
        </w:rPr>
        <w:t xml:space="preserve">3.1 Brokerage KYC (Business Verification)</w:t>
      </w:r>
    </w:p>
    <w:p>
      <w:pPr>
        <w:spacing w:after="160"/>
      </w:pPr>
      <w:r>
        <w:rPr>
          <w:rFonts w:ascii="Arial" w:cs="Arial" w:eastAsia="Arial" w:hAnsi="Arial"/>
          <w:sz w:val="22"/>
          <w:szCs w:val="22"/>
        </w:rPr>
        <w:t xml:space="preserve">When a new brokerage is onboarded, the Company performs the following verification steps:</w:t>
      </w:r>
    </w:p>
    <w:p>
      <w:pPr>
        <w:pStyle w:val="ListParagraph"/>
        <w:numPr>
          <w:ilvl w:val="0"/>
          <w:numId w:val="3"/>
        </w:numPr>
        <w:spacing w:after="160"/>
      </w:pPr>
      <w:r>
        <w:rPr>
          <w:rFonts w:ascii="Arial" w:cs="Arial" w:eastAsia="Arial" w:hAnsi="Arial"/>
          <w:sz w:val="22"/>
          <w:szCs w:val="22"/>
        </w:rPr>
        <w:t xml:space="preserve">Verify the brokerage’s registration on the Real Estate Council of Ontario (RECO) Public Register at www.reco.on.ca.</w:t>
      </w:r>
    </w:p>
    <w:p>
      <w:pPr>
        <w:pStyle w:val="ListParagraph"/>
        <w:numPr>
          <w:ilvl w:val="0"/>
          <w:numId w:val="3"/>
        </w:numPr>
        <w:spacing w:after="160"/>
      </w:pPr>
      <w:r>
        <w:rPr>
          <w:rFonts w:ascii="Arial" w:cs="Arial" w:eastAsia="Arial" w:hAnsi="Arial"/>
          <w:sz w:val="22"/>
          <w:szCs w:val="22"/>
        </w:rPr>
        <w:t xml:space="preserve">Record the brokerage’s RECO registration number, registration status, and the date of verification.</w:t>
      </w:r>
    </w:p>
    <w:p>
      <w:pPr>
        <w:pStyle w:val="ListParagraph"/>
        <w:numPr>
          <w:ilvl w:val="0"/>
          <w:numId w:val="3"/>
        </w:numPr>
        <w:spacing w:after="160"/>
      </w:pPr>
      <w:r>
        <w:rPr>
          <w:rFonts w:ascii="Arial" w:cs="Arial" w:eastAsia="Arial" w:hAnsi="Arial"/>
          <w:sz w:val="22"/>
          <w:szCs w:val="22"/>
        </w:rPr>
        <w:t xml:space="preserve">Confirm the brokerage’s legal name, business address, and contact information.</w:t>
      </w:r>
    </w:p>
    <w:p>
      <w:pPr>
        <w:pStyle w:val="ListParagraph"/>
        <w:numPr>
          <w:ilvl w:val="0"/>
          <w:numId w:val="3"/>
        </w:numPr>
        <w:spacing w:after="160"/>
      </w:pPr>
      <w:r>
        <w:rPr>
          <w:rFonts w:ascii="Arial" w:cs="Arial" w:eastAsia="Arial" w:hAnsi="Arial"/>
          <w:sz w:val="22"/>
          <w:szCs w:val="22"/>
        </w:rPr>
        <w:t xml:space="preserve">Mark the brokerage as KYC Verified in the Company’s portal system with the name of the person who performed the verification and the date.</w:t>
      </w:r>
    </w:p>
    <w:p>
      <w:pPr>
        <w:spacing w:after="160"/>
      </w:pPr>
      <w:r>
        <w:rPr>
          <w:rFonts w:ascii="Arial" w:cs="Arial" w:eastAsia="Arial" w:hAnsi="Arial"/>
          <w:sz w:val="22"/>
          <w:szCs w:val="22"/>
        </w:rPr>
        <w:t xml:space="preserve">This verification is performed once per brokerage and does not need to be repeated for each transaction.</w:t>
      </w:r>
    </w:p>
    <w:p>
      <w:pPr>
        <w:pStyle w:val="Heading2"/>
        <w:spacing w:after="160"/>
      </w:pPr>
      <w:r>
        <w:rPr>
          <w:rFonts w:ascii="Arial" w:cs="Arial" w:eastAsia="Arial" w:hAnsi="Arial"/>
          <w:sz w:val="22"/>
          <w:szCs w:val="22"/>
        </w:rPr>
        <w:t xml:space="preserve">3.2 Agent KYC (Individual Verification)</w:t>
      </w:r>
    </w:p>
    <w:p>
      <w:pPr>
        <w:spacing w:after="160"/>
      </w:pPr>
      <w:r>
        <w:rPr>
          <w:rFonts w:ascii="Arial" w:cs="Arial" w:eastAsia="Arial" w:hAnsi="Arial"/>
          <w:sz w:val="22"/>
          <w:szCs w:val="22"/>
        </w:rPr>
        <w:t xml:space="preserve">When a new agent is onboarded, the Company collects and verifies the following before the agent may submit any deals:</w:t>
      </w:r>
    </w:p>
    <w:p>
      <w:pPr>
        <w:pStyle w:val="ListParagraph"/>
        <w:numPr>
          <w:ilvl w:val="0"/>
          <w:numId w:val="4"/>
        </w:numPr>
        <w:spacing w:after="160"/>
      </w:pPr>
      <w:r>
        <w:rPr>
          <w:rFonts w:ascii="Arial" w:cs="Arial" w:eastAsia="Arial" w:hAnsi="Arial"/>
          <w:sz w:val="22"/>
          <w:szCs w:val="22"/>
        </w:rPr>
        <w:t xml:space="preserve">Government-Issued Photo Identification — The agent must upload a clear copy of a valid, government-issued photo ID. Acceptable forms include: Ontario Driver’s Licence, Canadian Passport, Ontario Photo Card, Permanent Resident Card, or Canadian Citizenship Card.</w:t>
      </w:r>
    </w:p>
    <w:p>
      <w:pPr>
        <w:pStyle w:val="ListParagraph"/>
        <w:numPr>
          <w:ilvl w:val="0"/>
          <w:numId w:val="4"/>
        </w:numPr>
        <w:spacing w:after="160"/>
      </w:pPr>
      <w:r>
        <w:rPr>
          <w:rFonts w:ascii="Arial" w:cs="Arial" w:eastAsia="Arial" w:hAnsi="Arial"/>
          <w:sz w:val="22"/>
          <w:szCs w:val="22"/>
        </w:rPr>
        <w:t xml:space="preserve">RECO Licence Verification — The agent’s RECO licence number is recorded and verified on the RECO Public Register.</w:t>
      </w:r>
    </w:p>
    <w:p>
      <w:pPr>
        <w:pStyle w:val="ListParagraph"/>
        <w:numPr>
          <w:ilvl w:val="0"/>
          <w:numId w:val="4"/>
        </w:numPr>
        <w:spacing w:after="160"/>
      </w:pPr>
      <w:r>
        <w:rPr>
          <w:rFonts w:ascii="Arial" w:cs="Arial" w:eastAsia="Arial" w:hAnsi="Arial"/>
          <w:sz w:val="22"/>
          <w:szCs w:val="22"/>
        </w:rPr>
        <w:t xml:space="preserve">The agent’s full legal name must match the name on the uploaded government ID and the name registered with RECO.</w:t>
      </w:r>
    </w:p>
    <w:p>
      <w:pPr>
        <w:spacing w:after="160"/>
      </w:pPr>
      <w:r>
        <w:rPr>
          <w:rFonts w:ascii="Arial" w:cs="Arial" w:eastAsia="Arial" w:hAnsi="Arial"/>
          <w:sz w:val="22"/>
          <w:szCs w:val="22"/>
        </w:rPr>
        <w:t xml:space="preserve">The agent’s KYC status is tracked in the Company’s portal. Agents in “pending” or “submitted” KYC status are blocked from submitting new deals until their identity is verified by the Compliance Officer or an authorized administrator.</w:t>
      </w:r>
    </w:p>
    <w:p>
      <w:pPr>
        <w:pStyle w:val="Heading2"/>
        <w:spacing w:after="160"/>
      </w:pPr>
      <w:r>
        <w:rPr>
          <w:rFonts w:ascii="Arial" w:cs="Arial" w:eastAsia="Arial" w:hAnsi="Arial"/>
          <w:sz w:val="22"/>
          <w:szCs w:val="22"/>
        </w:rPr>
        <w:t xml:space="preserve">3.3 Ongoing Monitoring</w:t>
      </w:r>
    </w:p>
    <w:p>
      <w:pPr>
        <w:spacing w:after="160"/>
      </w:pPr>
      <w:r>
        <w:rPr>
          <w:rFonts w:ascii="Arial" w:cs="Arial" w:eastAsia="Arial" w:hAnsi="Arial"/>
          <w:sz w:val="22"/>
          <w:szCs w:val="22"/>
        </w:rPr>
        <w:t xml:space="preserve">While the Company’s low-risk profile does not require enhanced ongoing monitoring, the following activities are performed as part of normal business operations:</w:t>
      </w:r>
    </w:p>
    <w:p>
      <w:pPr>
        <w:pStyle w:val="ListParagraph"/>
        <w:numPr>
          <w:ilvl w:val="0"/>
          <w:numId w:val="5"/>
        </w:numPr>
        <w:spacing w:after="160"/>
      </w:pPr>
      <w:r>
        <w:rPr>
          <w:rFonts w:ascii="Arial" w:cs="Arial" w:eastAsia="Arial" w:hAnsi="Arial"/>
          <w:sz w:val="22"/>
          <w:szCs w:val="22"/>
        </w:rPr>
        <w:t xml:space="preserve">Review of each deal submission for consistency with the agent’s expected transaction patterns.</w:t>
      </w:r>
    </w:p>
    <w:p>
      <w:pPr>
        <w:pStyle w:val="ListParagraph"/>
        <w:numPr>
          <w:ilvl w:val="0"/>
          <w:numId w:val="5"/>
        </w:numPr>
        <w:spacing w:after="160"/>
      </w:pPr>
      <w:r>
        <w:rPr>
          <w:rFonts w:ascii="Arial" w:cs="Arial" w:eastAsia="Arial" w:hAnsi="Arial"/>
          <w:sz w:val="22"/>
          <w:szCs w:val="22"/>
        </w:rPr>
        <w:t xml:space="preserve">Verification of deal details (property address, commission amount, closing date) with the brokerage before funding.</w:t>
      </w:r>
    </w:p>
    <w:p>
      <w:pPr>
        <w:pStyle w:val="ListParagraph"/>
        <w:numPr>
          <w:ilvl w:val="0"/>
          <w:numId w:val="5"/>
        </w:numPr>
        <w:spacing w:after="160"/>
      </w:pPr>
      <w:r>
        <w:rPr>
          <w:rFonts w:ascii="Arial" w:cs="Arial" w:eastAsia="Arial" w:hAnsi="Arial"/>
          <w:sz w:val="22"/>
          <w:szCs w:val="22"/>
        </w:rPr>
        <w:t xml:space="preserve">Monitoring for unusual patterns such as: rapid consecutive submissions, advances on unusually high commissions, agents requesting funds to accounts other than their verified bank account, or agents flagged by their brokerage.</w:t>
      </w:r>
    </w:p>
    <w:p>
      <w:r>
        <w:br w:type="page"/>
      </w:r>
    </w:p>
    <w:p>
      <w:pPr>
        <w:pStyle w:val="Heading1"/>
        <w:spacing w:after="160"/>
      </w:pPr>
      <w:r>
        <w:rPr>
          <w:rFonts w:ascii="Arial" w:cs="Arial" w:eastAsia="Arial" w:hAnsi="Arial"/>
          <w:sz w:val="22"/>
          <w:szCs w:val="22"/>
        </w:rPr>
        <w:t xml:space="preserve">4. Reporting Obligations</w:t>
      </w:r>
    </w:p>
    <w:p>
      <w:pPr>
        <w:spacing w:after="160"/>
      </w:pPr>
      <w:r>
        <w:rPr>
          <w:rFonts w:ascii="Arial" w:cs="Arial" w:eastAsia="Arial" w:hAnsi="Arial"/>
          <w:sz w:val="22"/>
          <w:szCs w:val="22"/>
        </w:rPr>
        <w:t xml:space="preserve">The Company has the following reporting obligations under the PCMLTFA:</w:t>
      </w:r>
    </w:p>
    <w:p>
      <w:pPr>
        <w:pStyle w:val="Heading2"/>
        <w:spacing w:after="160"/>
      </w:pPr>
      <w:r>
        <w:rPr>
          <w:rFonts w:ascii="Arial" w:cs="Arial" w:eastAsia="Arial" w:hAnsi="Arial"/>
          <w:sz w:val="22"/>
          <w:szCs w:val="22"/>
        </w:rPr>
        <w:t xml:space="preserve">4.1 Suspicious Transaction Reports (STRs)</w:t>
      </w:r>
    </w:p>
    <w:p>
      <w:pPr>
        <w:spacing w:after="160"/>
      </w:pPr>
      <w:r>
        <w:rPr>
          <w:rFonts w:ascii="Arial" w:cs="Arial" w:eastAsia="Arial" w:hAnsi="Arial"/>
          <w:sz w:val="22"/>
          <w:szCs w:val="22"/>
        </w:rPr>
        <w:t xml:space="preserve">The Company must file an STR with FINTRAC within 30 calendar days of detecting a transaction or attempted transaction that it has reasonable grounds to suspect is related to money laundering or terrorist financing. The detailed procedure for identifying and filing STRs is maintained in the separate Suspicious Transaction Reporting Procedure document.</w:t>
      </w:r>
    </w:p>
    <w:p>
      <w:pPr>
        <w:pStyle w:val="Heading2"/>
        <w:spacing w:after="160"/>
      </w:pPr>
      <w:r>
        <w:rPr>
          <w:rFonts w:ascii="Arial" w:cs="Arial" w:eastAsia="Arial" w:hAnsi="Arial"/>
          <w:sz w:val="22"/>
          <w:szCs w:val="22"/>
        </w:rPr>
        <w:t xml:space="preserve">4.2 Large Cash Transaction Reports</w:t>
      </w:r>
    </w:p>
    <w:p>
      <w:pPr>
        <w:spacing w:after="160"/>
      </w:pPr>
      <w:r>
        <w:rPr>
          <w:rFonts w:ascii="Arial" w:cs="Arial" w:eastAsia="Arial" w:hAnsi="Arial"/>
          <w:sz w:val="22"/>
          <w:szCs w:val="22"/>
        </w:rPr>
        <w:t xml:space="preserve">The Company must report any cash transaction of $10,000 or more to FINTRAC within 15 calendar days. However, as the Company conducts all transactions exclusively via EFT and does not accept cash in any form, this reporting obligation is not expected to be triggered. If the Company ever receives cash for any reason, the Compliance Officer must be notified immediately.</w:t>
      </w:r>
    </w:p>
    <w:p>
      <w:pPr>
        <w:pStyle w:val="Heading2"/>
        <w:spacing w:after="160"/>
      </w:pPr>
      <w:r>
        <w:rPr>
          <w:rFonts w:ascii="Arial" w:cs="Arial" w:eastAsia="Arial" w:hAnsi="Arial"/>
          <w:sz w:val="22"/>
          <w:szCs w:val="22"/>
        </w:rPr>
        <w:t xml:space="preserve">4.3 Terrorist Property Reports</w:t>
      </w:r>
    </w:p>
    <w:p>
      <w:pPr>
        <w:spacing w:after="160"/>
      </w:pPr>
      <w:r>
        <w:rPr>
          <w:rFonts w:ascii="Arial" w:cs="Arial" w:eastAsia="Arial" w:hAnsi="Arial"/>
          <w:sz w:val="22"/>
          <w:szCs w:val="22"/>
        </w:rPr>
        <w:t xml:space="preserve">The Company must immediately report to FINTRAC and the RCMP if it has property in its possession or control that it knows or has reason to believe is owned or controlled by a listed person or entity under the Criminal Code, the United Nations Act, or the Special Economic Measures Act. Given the Company’s client base of RECO-licensed agents, this is an extremely low-probability event.</w:t>
      </w:r>
    </w:p>
    <w:p>
      <w:r>
        <w:br w:type="page"/>
      </w:r>
    </w:p>
    <w:p>
      <w:pPr>
        <w:pStyle w:val="Heading1"/>
        <w:spacing w:after="160"/>
      </w:pPr>
      <w:r>
        <w:rPr>
          <w:rFonts w:ascii="Arial" w:cs="Arial" w:eastAsia="Arial" w:hAnsi="Arial"/>
          <w:sz w:val="22"/>
          <w:szCs w:val="22"/>
        </w:rPr>
        <w:t xml:space="preserve">5. Record Keeping</w:t>
      </w:r>
    </w:p>
    <w:p>
      <w:pPr>
        <w:spacing w:after="160"/>
      </w:pPr>
      <w:r>
        <w:rPr>
          <w:rFonts w:ascii="Arial" w:cs="Arial" w:eastAsia="Arial" w:hAnsi="Arial"/>
          <w:sz w:val="22"/>
          <w:szCs w:val="22"/>
        </w:rPr>
        <w:t xml:space="preserve">The Company maintains all records indefinitely in its cloud-based systems (Supabase database and storage). At minimum, the following records are retained for a period of at least five (5) years:</w:t>
      </w:r>
    </w:p>
    <w:p>
      <w:pPr>
        <w:pStyle w:val="ListParagraph"/>
        <w:numPr>
          <w:ilvl w:val="0"/>
          <w:numId w:val="6"/>
        </w:numPr>
        <w:spacing w:after="160"/>
      </w:pPr>
      <w:r>
        <w:rPr>
          <w:rFonts w:ascii="Arial" w:cs="Arial" w:eastAsia="Arial" w:hAnsi="Arial"/>
          <w:sz w:val="22"/>
          <w:szCs w:val="22"/>
        </w:rPr>
        <w:t xml:space="preserve">Client identification records (government ID images, RECO registration verification records) — retained from the date of the last transaction with the client.</w:t>
      </w:r>
    </w:p>
    <w:p>
      <w:pPr>
        <w:pStyle w:val="ListParagraph"/>
        <w:numPr>
          <w:ilvl w:val="0"/>
          <w:numId w:val="6"/>
        </w:numPr>
        <w:spacing w:after="160"/>
      </w:pPr>
      <w:r>
        <w:rPr>
          <w:rFonts w:ascii="Arial" w:cs="Arial" w:eastAsia="Arial" w:hAnsi="Arial"/>
          <w:sz w:val="22"/>
          <w:szCs w:val="22"/>
        </w:rPr>
        <w:t xml:space="preserve">Transaction records (deal submissions, funding records, EFT transfer details, brokerage payments) — retained from the date of the transaction.</w:t>
      </w:r>
    </w:p>
    <w:p>
      <w:pPr>
        <w:pStyle w:val="ListParagraph"/>
        <w:numPr>
          <w:ilvl w:val="0"/>
          <w:numId w:val="6"/>
        </w:numPr>
        <w:spacing w:after="160"/>
      </w:pPr>
      <w:r>
        <w:rPr>
          <w:rFonts w:ascii="Arial" w:cs="Arial" w:eastAsia="Arial" w:hAnsi="Arial"/>
          <w:sz w:val="22"/>
          <w:szCs w:val="22"/>
        </w:rPr>
        <w:t xml:space="preserve">Compliance documents (this program, STR procedures, designation letters, risk assessments, training records) — retained from the date of creation.</w:t>
      </w:r>
    </w:p>
    <w:p>
      <w:pPr>
        <w:pStyle w:val="ListParagraph"/>
        <w:numPr>
          <w:ilvl w:val="0"/>
          <w:numId w:val="6"/>
        </w:numPr>
        <w:spacing w:after="160"/>
      </w:pPr>
      <w:r>
        <w:rPr>
          <w:rFonts w:ascii="Arial" w:cs="Arial" w:eastAsia="Arial" w:hAnsi="Arial"/>
          <w:sz w:val="22"/>
          <w:szCs w:val="22"/>
        </w:rPr>
        <w:t xml:space="preserve">Audit logs (all user actions within the portal) — retained indefinitely.</w:t>
      </w:r>
    </w:p>
    <w:p>
      <w:pPr>
        <w:spacing w:after="160"/>
      </w:pPr>
      <w:r>
        <w:rPr>
          <w:rFonts w:ascii="Arial" w:cs="Arial" w:eastAsia="Arial" w:hAnsi="Arial"/>
          <w:sz w:val="22"/>
          <w:szCs w:val="22"/>
        </w:rPr>
        <w:t xml:space="preserve">All records are stored in digital format and are retrievable within 30 days of any request by FINTRAC. The detailed Record Retention Policy is maintained as a separate document.</w:t>
      </w:r>
    </w:p>
    <w:p>
      <w:r>
        <w:br w:type="page"/>
      </w:r>
    </w:p>
    <w:p>
      <w:pPr>
        <w:pStyle w:val="Heading1"/>
        <w:spacing w:after="160"/>
      </w:pPr>
      <w:r>
        <w:rPr>
          <w:rFonts w:ascii="Arial" w:cs="Arial" w:eastAsia="Arial" w:hAnsi="Arial"/>
          <w:sz w:val="22"/>
          <w:szCs w:val="22"/>
        </w:rPr>
        <w:t xml:space="preserve">6. Risk Assessment</w:t>
      </w:r>
    </w:p>
    <w:p>
      <w:pPr>
        <w:spacing w:after="160"/>
      </w:pPr>
      <w:r>
        <w:rPr>
          <w:rFonts w:ascii="Arial" w:cs="Arial" w:eastAsia="Arial" w:hAnsi="Arial"/>
          <w:sz w:val="22"/>
          <w:szCs w:val="22"/>
        </w:rPr>
        <w:t xml:space="preserve">The Company has assessed its ML/TF risk across four categories:</w:t>
      </w:r>
    </w:p>
    <w:p>
      <w:pPr>
        <w:pStyle w:val="Heading2"/>
        <w:spacing w:after="160"/>
      </w:pPr>
      <w:r>
        <w:rPr>
          <w:rFonts w:ascii="Arial" w:cs="Arial" w:eastAsia="Arial" w:hAnsi="Arial"/>
          <w:sz w:val="22"/>
          <w:szCs w:val="22"/>
        </w:rPr>
        <w:t xml:space="preserve">6.1 Client Risk</w:t>
      </w:r>
    </w:p>
    <w:p>
      <w:pPr>
        <w:spacing w:after="160"/>
      </w:pPr>
      <w:r>
        <w:rPr>
          <w:rFonts w:ascii="Arial" w:cs="Arial" w:eastAsia="Arial" w:hAnsi="Arial"/>
          <w:sz w:val="22"/>
          <w:szCs w:val="22"/>
        </w:rPr>
        <w:t xml:space="preserve">LOW. All clients are RECO-registered real estate agents and brokerages. RECO requires criminal background checks for registration. The Company does not serve any non-regulated entities or individuals.</w:t>
      </w:r>
    </w:p>
    <w:p>
      <w:pPr>
        <w:pStyle w:val="Heading2"/>
        <w:spacing w:after="160"/>
      </w:pPr>
      <w:r>
        <w:rPr>
          <w:rFonts w:ascii="Arial" w:cs="Arial" w:eastAsia="Arial" w:hAnsi="Arial"/>
          <w:sz w:val="22"/>
          <w:szCs w:val="22"/>
        </w:rPr>
        <w:t xml:space="preserve">6.2 Product / Service Risk</w:t>
      </w:r>
    </w:p>
    <w:p>
      <w:pPr>
        <w:spacing w:after="160"/>
      </w:pPr>
      <w:r>
        <w:rPr>
          <w:rFonts w:ascii="Arial" w:cs="Arial" w:eastAsia="Arial" w:hAnsi="Arial"/>
          <w:sz w:val="22"/>
          <w:szCs w:val="22"/>
        </w:rPr>
        <w:t xml:space="preserve">LOW. The Company’s sole product is the purchase of commission receivables on firm real estate deals. Transaction amounts are directly tied to verifiable commissions. There is no mechanism for “layering” funds through the Company’s services, as all funds flow from the Company to the agent’s verified bank account and are repaid from regulated brokerage trust accounts.</w:t>
      </w:r>
    </w:p>
    <w:p>
      <w:pPr>
        <w:pStyle w:val="Heading2"/>
        <w:spacing w:after="160"/>
      </w:pPr>
      <w:r>
        <w:rPr>
          <w:rFonts w:ascii="Arial" w:cs="Arial" w:eastAsia="Arial" w:hAnsi="Arial"/>
          <w:sz w:val="22"/>
          <w:szCs w:val="22"/>
        </w:rPr>
        <w:t xml:space="preserve">6.3 Geographic Risk</w:t>
      </w:r>
    </w:p>
    <w:p>
      <w:pPr>
        <w:spacing w:after="160"/>
      </w:pPr>
      <w:r>
        <w:rPr>
          <w:rFonts w:ascii="Arial" w:cs="Arial" w:eastAsia="Arial" w:hAnsi="Arial"/>
          <w:sz w:val="22"/>
          <w:szCs w:val="22"/>
        </w:rPr>
        <w:t xml:space="preserve">LOW. The Company operates exclusively within Ontario, Canada. All transactions involve Ontario-registered brokerages and Ontario real estate transactions. There is no cross-border activity.</w:t>
      </w:r>
    </w:p>
    <w:p>
      <w:pPr>
        <w:pStyle w:val="Heading2"/>
        <w:spacing w:after="160"/>
      </w:pPr>
      <w:r>
        <w:rPr>
          <w:rFonts w:ascii="Arial" w:cs="Arial" w:eastAsia="Arial" w:hAnsi="Arial"/>
          <w:sz w:val="22"/>
          <w:szCs w:val="22"/>
        </w:rPr>
        <w:t xml:space="preserve">6.4 Delivery Channel Risk</w:t>
      </w:r>
    </w:p>
    <w:p>
      <w:pPr>
        <w:spacing w:after="160"/>
      </w:pPr>
      <w:r>
        <w:rPr>
          <w:rFonts w:ascii="Arial" w:cs="Arial" w:eastAsia="Arial" w:hAnsi="Arial"/>
          <w:sz w:val="22"/>
          <w:szCs w:val="22"/>
        </w:rPr>
        <w:t xml:space="preserve">LOW. All interactions occur through the Company’s authenticated web portal. Agents are onboarded by administrators (no self-registration). Funds are transferred exclusively via EFT to pre-verified bank accounts.</w:t>
      </w:r>
    </w:p>
    <w:p>
      <w:pPr>
        <w:pStyle w:val="Heading2"/>
        <w:spacing w:after="160"/>
      </w:pPr>
      <w:r>
        <w:rPr>
          <w:rFonts w:ascii="Arial" w:cs="Arial" w:eastAsia="Arial" w:hAnsi="Arial"/>
          <w:sz w:val="22"/>
          <w:szCs w:val="22"/>
        </w:rPr>
        <w:t xml:space="preserve">6.5 Overall Risk Assessment</w:t>
      </w:r>
    </w:p>
    <w:p>
      <w:pPr>
        <w:spacing w:after="160"/>
      </w:pPr>
      <w:r>
        <w:rPr>
          <w:rFonts w:ascii="Arial" w:cs="Arial" w:eastAsia="Arial" w:hAnsi="Arial"/>
          <w:b/>
          <w:bCs/>
          <w:sz w:val="22"/>
          <w:szCs w:val="22"/>
        </w:rPr>
        <w:t xml:space="preserve">OVERALL RISK: LOW. </w:t>
      </w:r>
      <w:r>
        <w:rPr>
          <w:rFonts w:ascii="Arial" w:cs="Arial" w:eastAsia="Arial" w:hAnsi="Arial"/>
          <w:sz w:val="22"/>
          <w:szCs w:val="22"/>
        </w:rPr>
        <w:t xml:space="preserve">The combination of a regulated client base, single-product offering, domestic-only operations, EFT-only funding, and administrator-controlled onboarding results in a low ML/TF risk profile. This assessment will be reviewed at least every two (2) years or whenever there is a material change to the Company’s business model, client base, or operating geography.</w:t>
      </w:r>
    </w:p>
    <w:p>
      <w:r>
        <w:br w:type="page"/>
      </w:r>
    </w:p>
    <w:p>
      <w:pPr>
        <w:pStyle w:val="Heading1"/>
        <w:spacing w:after="160"/>
      </w:pPr>
      <w:r>
        <w:rPr>
          <w:rFonts w:ascii="Arial" w:cs="Arial" w:eastAsia="Arial" w:hAnsi="Arial"/>
          <w:sz w:val="22"/>
          <w:szCs w:val="22"/>
        </w:rPr>
        <w:t xml:space="preserve">7. Training</w:t>
      </w:r>
    </w:p>
    <w:p>
      <w:pPr>
        <w:spacing w:after="160"/>
      </w:pPr>
      <w:r>
        <w:rPr>
          <w:rFonts w:ascii="Arial" w:cs="Arial" w:eastAsia="Arial" w:hAnsi="Arial"/>
          <w:sz w:val="22"/>
          <w:szCs w:val="22"/>
        </w:rPr>
        <w:t xml:space="preserve">All employees and contractors of the Company who interact with clients, process transactions, or have access to client information must complete AML/ATF training:</w:t>
      </w:r>
    </w:p>
    <w:p>
      <w:pPr>
        <w:pStyle w:val="ListParagraph"/>
        <w:numPr>
          <w:ilvl w:val="0"/>
          <w:numId w:val="7"/>
        </w:numPr>
        <w:spacing w:after="160"/>
      </w:pPr>
      <w:r>
        <w:rPr>
          <w:rFonts w:ascii="Arial" w:cs="Arial" w:eastAsia="Arial" w:hAnsi="Arial"/>
          <w:sz w:val="22"/>
          <w:szCs w:val="22"/>
        </w:rPr>
        <w:t xml:space="preserve">Upon hiring or engagement, before being granted access to the Company’s systems.</w:t>
      </w:r>
    </w:p>
    <w:p>
      <w:pPr>
        <w:pStyle w:val="ListParagraph"/>
        <w:numPr>
          <w:ilvl w:val="0"/>
          <w:numId w:val="7"/>
        </w:numPr>
        <w:spacing w:after="160"/>
      </w:pPr>
      <w:r>
        <w:rPr>
          <w:rFonts w:ascii="Arial" w:cs="Arial" w:eastAsia="Arial" w:hAnsi="Arial"/>
          <w:sz w:val="22"/>
          <w:szCs w:val="22"/>
        </w:rPr>
        <w:t xml:space="preserve">Annually thereafter, to refresh their knowledge of obligations and any regulatory changes.</w:t>
      </w:r>
    </w:p>
    <w:p>
      <w:pPr>
        <w:spacing w:after="160"/>
      </w:pPr>
      <w:r>
        <w:rPr>
          <w:rFonts w:ascii="Arial" w:cs="Arial" w:eastAsia="Arial" w:hAnsi="Arial"/>
          <w:sz w:val="22"/>
          <w:szCs w:val="22"/>
        </w:rPr>
        <w:t xml:space="preserve">Training shall cover:</w:t>
      </w:r>
    </w:p>
    <w:p>
      <w:pPr>
        <w:pStyle w:val="ListParagraph"/>
        <w:numPr>
          <w:ilvl w:val="0"/>
          <w:numId w:val="8"/>
        </w:numPr>
        <w:spacing w:after="160"/>
      </w:pPr>
      <w:r>
        <w:rPr>
          <w:rFonts w:ascii="Arial" w:cs="Arial" w:eastAsia="Arial" w:hAnsi="Arial"/>
          <w:sz w:val="22"/>
          <w:szCs w:val="22"/>
        </w:rPr>
        <w:t xml:space="preserve">The Company’s obligations under the PCMLTFA as a factoring entity.</w:t>
      </w:r>
    </w:p>
    <w:p>
      <w:pPr>
        <w:pStyle w:val="ListParagraph"/>
        <w:numPr>
          <w:ilvl w:val="0"/>
          <w:numId w:val="8"/>
        </w:numPr>
        <w:spacing w:after="160"/>
      </w:pPr>
      <w:r>
        <w:rPr>
          <w:rFonts w:ascii="Arial" w:cs="Arial" w:eastAsia="Arial" w:hAnsi="Arial"/>
          <w:sz w:val="22"/>
          <w:szCs w:val="22"/>
        </w:rPr>
        <w:t xml:space="preserve">KYC procedures for agents and brokerages.</w:t>
      </w:r>
    </w:p>
    <w:p>
      <w:pPr>
        <w:pStyle w:val="ListParagraph"/>
        <w:numPr>
          <w:ilvl w:val="0"/>
          <w:numId w:val="8"/>
        </w:numPr>
        <w:spacing w:after="160"/>
      </w:pPr>
      <w:r>
        <w:rPr>
          <w:rFonts w:ascii="Arial" w:cs="Arial" w:eastAsia="Arial" w:hAnsi="Arial"/>
          <w:sz w:val="22"/>
          <w:szCs w:val="22"/>
        </w:rPr>
        <w:t xml:space="preserve">How to identify and report suspicious transactions.</w:t>
      </w:r>
    </w:p>
    <w:p>
      <w:pPr>
        <w:pStyle w:val="ListParagraph"/>
        <w:numPr>
          <w:ilvl w:val="0"/>
          <w:numId w:val="8"/>
        </w:numPr>
        <w:spacing w:after="160"/>
      </w:pPr>
      <w:r>
        <w:rPr>
          <w:rFonts w:ascii="Arial" w:cs="Arial" w:eastAsia="Arial" w:hAnsi="Arial"/>
          <w:sz w:val="22"/>
          <w:szCs w:val="22"/>
        </w:rPr>
        <w:t xml:space="preserve">Record-keeping requirements.</w:t>
      </w:r>
    </w:p>
    <w:p>
      <w:pPr>
        <w:pStyle w:val="ListParagraph"/>
        <w:numPr>
          <w:ilvl w:val="0"/>
          <w:numId w:val="8"/>
        </w:numPr>
        <w:spacing w:after="160"/>
      </w:pPr>
      <w:r>
        <w:rPr>
          <w:rFonts w:ascii="Arial" w:cs="Arial" w:eastAsia="Arial" w:hAnsi="Arial"/>
          <w:sz w:val="22"/>
          <w:szCs w:val="22"/>
        </w:rPr>
        <w:t xml:space="preserve">Penalties for non-compliance.</w:t>
      </w:r>
    </w:p>
    <w:p>
      <w:pPr>
        <w:spacing w:after="160"/>
      </w:pPr>
      <w:r>
        <w:rPr>
          <w:rFonts w:ascii="Arial" w:cs="Arial" w:eastAsia="Arial" w:hAnsi="Arial"/>
          <w:sz w:val="22"/>
          <w:szCs w:val="22"/>
        </w:rPr>
        <w:t xml:space="preserve">The Compliance Officer shall maintain a record of all training delivered, including dates, attendees, and topics covered.</w:t>
      </w:r>
    </w:p>
    <w:p>
      <w:pPr>
        <w:pStyle w:val="Heading1"/>
        <w:spacing w:after="160"/>
      </w:pPr>
      <w:r>
        <w:rPr>
          <w:rFonts w:ascii="Arial" w:cs="Arial" w:eastAsia="Arial" w:hAnsi="Arial"/>
          <w:sz w:val="22"/>
          <w:szCs w:val="22"/>
        </w:rPr>
        <w:t xml:space="preserve">8. Program Effectiveness Review</w:t>
      </w:r>
    </w:p>
    <w:p>
      <w:pPr>
        <w:spacing w:after="160"/>
      </w:pPr>
      <w:r>
        <w:rPr>
          <w:rFonts w:ascii="Arial" w:cs="Arial" w:eastAsia="Arial" w:hAnsi="Arial"/>
          <w:sz w:val="22"/>
          <w:szCs w:val="22"/>
        </w:rPr>
        <w:t xml:space="preserve">The Company shall conduct or commission an independent review of this Compliance Program at least once every two (2) years. The review shall assess:</w:t>
      </w:r>
    </w:p>
    <w:p>
      <w:pPr>
        <w:pStyle w:val="ListParagraph"/>
        <w:numPr>
          <w:ilvl w:val="0"/>
          <w:numId w:val="9"/>
        </w:numPr>
        <w:spacing w:after="160"/>
      </w:pPr>
      <w:r>
        <w:rPr>
          <w:rFonts w:ascii="Arial" w:cs="Arial" w:eastAsia="Arial" w:hAnsi="Arial"/>
          <w:sz w:val="22"/>
          <w:szCs w:val="22"/>
        </w:rPr>
        <w:t xml:space="preserve">Whether KYC procedures are being followed consistently.</w:t>
      </w:r>
    </w:p>
    <w:p>
      <w:pPr>
        <w:pStyle w:val="ListParagraph"/>
        <w:numPr>
          <w:ilvl w:val="0"/>
          <w:numId w:val="9"/>
        </w:numPr>
        <w:spacing w:after="160"/>
      </w:pPr>
      <w:r>
        <w:rPr>
          <w:rFonts w:ascii="Arial" w:cs="Arial" w:eastAsia="Arial" w:hAnsi="Arial"/>
          <w:sz w:val="22"/>
          <w:szCs w:val="22"/>
        </w:rPr>
        <w:t xml:space="preserve">Whether reporting obligations are being met.</w:t>
      </w:r>
    </w:p>
    <w:p>
      <w:pPr>
        <w:pStyle w:val="ListParagraph"/>
        <w:numPr>
          <w:ilvl w:val="0"/>
          <w:numId w:val="9"/>
        </w:numPr>
        <w:spacing w:after="160"/>
      </w:pPr>
      <w:r>
        <w:rPr>
          <w:rFonts w:ascii="Arial" w:cs="Arial" w:eastAsia="Arial" w:hAnsi="Arial"/>
          <w:sz w:val="22"/>
          <w:szCs w:val="22"/>
        </w:rPr>
        <w:t xml:space="preserve">Whether records are being maintained as required.</w:t>
      </w:r>
    </w:p>
    <w:p>
      <w:pPr>
        <w:pStyle w:val="ListParagraph"/>
        <w:numPr>
          <w:ilvl w:val="0"/>
          <w:numId w:val="9"/>
        </w:numPr>
        <w:spacing w:after="160"/>
      </w:pPr>
      <w:r>
        <w:rPr>
          <w:rFonts w:ascii="Arial" w:cs="Arial" w:eastAsia="Arial" w:hAnsi="Arial"/>
          <w:sz w:val="22"/>
          <w:szCs w:val="22"/>
        </w:rPr>
        <w:t xml:space="preserve">Whether the risk assessment remains current and accurate.</w:t>
      </w:r>
    </w:p>
    <w:p>
      <w:pPr>
        <w:pStyle w:val="ListParagraph"/>
        <w:numPr>
          <w:ilvl w:val="0"/>
          <w:numId w:val="9"/>
        </w:numPr>
        <w:spacing w:after="160"/>
      </w:pPr>
      <w:r>
        <w:rPr>
          <w:rFonts w:ascii="Arial" w:cs="Arial" w:eastAsia="Arial" w:hAnsi="Arial"/>
          <w:sz w:val="22"/>
          <w:szCs w:val="22"/>
        </w:rPr>
        <w:t xml:space="preserve">Whether training is being delivered as scheduled.</w:t>
      </w:r>
    </w:p>
    <w:p>
      <w:pPr>
        <w:spacing w:after="160"/>
      </w:pPr>
      <w:r>
        <w:rPr>
          <w:rFonts w:ascii="Arial" w:cs="Arial" w:eastAsia="Arial" w:hAnsi="Arial"/>
          <w:sz w:val="22"/>
          <w:szCs w:val="22"/>
        </w:rPr>
        <w:t xml:space="preserve">The review may be conducted by an external consultant or by a qualified internal person not involved in the day-to-day operation of the compliance program. Findings and any recommended improvements shall be documented and presented to the Compliance Officer.</w:t>
      </w:r>
    </w:p>
    <w:p>
      <w:r>
        <w:br w:type="page"/>
      </w:r>
    </w:p>
    <w:p>
      <w:pPr>
        <w:pStyle w:val="Heading1"/>
        <w:spacing w:after="160"/>
      </w:pPr>
      <w:r>
        <w:rPr>
          <w:rFonts w:ascii="Arial" w:cs="Arial" w:eastAsia="Arial" w:hAnsi="Arial"/>
          <w:sz w:val="22"/>
          <w:szCs w:val="22"/>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Document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AML/ATF Compliance Program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April 3,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 Jones, Compliance Officer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Next Review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or before April 3, 2028</w:t>
            </w:r>
          </w:p>
        </w:tc>
      </w:tr>
    </w:tbl>
    <w:p>
      <w:pPr>
        <w:spacing w:after="400"/>
      </w:pPr>
    </w:p>
    <w:p>
      <w:pPr>
        <w:spacing w:after="300"/>
      </w:pPr>
      <w:r>
        <w:rPr>
          <w:rFonts w:ascii="Arial" w:cs="Arial" w:eastAsia="Arial" w:hAnsi="Arial"/>
          <w:b/>
          <w:bCs/>
          <w:sz w:val="22"/>
          <w:szCs w:val="22"/>
        </w:rPr>
        <w:t xml:space="preserve">APPROVED BY:</w:t>
      </w:r>
    </w:p>
    <w:p>
      <w:pPr>
        <w:spacing w:after="40"/>
      </w:pPr>
    </w:p>
    <w:p>
      <w:pPr>
        <w:spacing w:after="40"/>
      </w:pPr>
      <w:r>
        <w:rPr>
          <w:rFonts w:ascii="Arial" w:cs="Arial" w:eastAsia="Arial" w:hAnsi="Arial"/>
          <w:sz w:val="22"/>
          <w:szCs w:val="22"/>
        </w:rPr>
        <w:t xml:space="preserve">________________________________________</w:t>
      </w:r>
    </w:p>
    <w:p>
      <w:pPr>
        <w:spacing w:after="40"/>
      </w:pPr>
      <w:r>
        <w:rPr>
          <w:rFonts w:ascii="Arial" w:cs="Arial" w:eastAsia="Arial" w:hAnsi="Arial"/>
          <w:b/>
          <w:bCs/>
          <w:sz w:val="22"/>
          <w:szCs w:val="22"/>
        </w:rPr>
        <w:t xml:space="preserve">Bud Jones, Director &amp; Compliance Officer</w:t>
      </w:r>
    </w:p>
    <w:p>
      <w:pPr>
        <w:spacing w:after="40"/>
      </w:pPr>
      <w:r>
        <w:rPr>
          <w:rFonts w:ascii="Arial" w:cs="Arial" w:eastAsia="Arial" w:hAnsi="Arial"/>
          <w:sz w:val="22"/>
          <w:szCs w:val="22"/>
        </w:rPr>
        <w:t xml:space="preserve">Firm Funds Incorporated</w:t>
      </w:r>
    </w:p>
    <w:p>
      <w:pPr>
        <w:spacing w:after="160"/>
      </w:pPr>
      <w:r>
        <w:rPr>
          <w:rFonts w:ascii="Arial" w:cs="Arial" w:eastAsia="Arial" w:hAnsi="Arial"/>
          <w:sz w:val="22"/>
          <w:szCs w:val="22"/>
        </w:rPr>
        <w:t xml:space="preserve">Date: 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444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2026-04-03T18:15:50.663Z</dcterms:created>
  <dcterms:modified xsi:type="dcterms:W3CDTF">2026-04-03T18:15:50.663Z</dcterms:modified>
</cp:coreProperties>
</file>

<file path=docProps/custom.xml><?xml version="1.0" encoding="utf-8"?>
<Properties xmlns="http://schemas.openxmlformats.org/officeDocument/2006/custom-properties" xmlns:vt="http://schemas.openxmlformats.org/officeDocument/2006/docPropsVTypes"/>
</file>