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sz w:val="36"/>
          <w:szCs w:val="36"/>
        </w:rPr>
        <w:t xml:space="preserve">Suspicious Transaction Reporting Procedure</w:t>
      </w:r>
    </w:p>
    <w:p>
      <w:pPr>
        <w:spacing w:after="160"/>
      </w:pPr>
      <w:r>
        <w:rPr>
          <w:rFonts w:ascii="Arial" w:cs="Arial" w:eastAsia="Arial" w:hAnsi="Arial"/>
          <w:b/>
          <w:bCs/>
          <w:color w:val="5FA873"/>
          <w:sz w:val="26"/>
          <w:szCs w:val="26"/>
        </w:rPr>
        <w:t xml:space="preserve">Firm Funds Incorporated</w:t>
      </w:r>
    </w:p>
    <w:p>
      <w:pPr>
        <w:spacing w:after="400"/>
      </w:pPr>
      <w:r>
        <w:rPr>
          <w:rFonts w:ascii="Arial" w:cs="Arial" w:eastAsia="Arial" w:hAnsi="Arial"/>
          <w:color w:val="666666"/>
          <w:sz w:val="22"/>
          <w:szCs w:val="22"/>
        </w:rPr>
        <w:t xml:space="preserve">Effective Date: April 3, 2026  |  Version 1.0</w:t>
      </w:r>
    </w:p>
    <w:p>
      <w:pPr>
        <w:pStyle w:val="Heading1"/>
        <w:spacing w:after="160"/>
      </w:pPr>
      <w:r>
        <w:rPr>
          <w:rFonts w:ascii="Arial" w:cs="Arial" w:eastAsia="Arial" w:hAnsi="Arial"/>
          <w:sz w:val="22"/>
          <w:szCs w:val="22"/>
        </w:rPr>
        <w:t xml:space="preserve">1. Purpose</w:t>
      </w:r>
    </w:p>
    <w:p>
      <w:pPr>
        <w:spacing w:after="160"/>
      </w:pPr>
      <w:r>
        <w:rPr>
          <w:rFonts w:ascii="Arial" w:cs="Arial" w:eastAsia="Arial" w:hAnsi="Arial"/>
          <w:sz w:val="22"/>
          <w:szCs w:val="22"/>
        </w:rPr>
        <w:t xml:space="preserve">This procedure outlines how Firm Funds Incorporated (“the Company”) identifies, evaluates, and reports suspicious transactions to the Financial Transactions and Reports Analysis Centre of Canada (FINTRAC) in compliance with the Proceeds of Crime (Money Laundering) and Terrorist Financing Act (PCMLTFA).</w:t>
      </w:r>
    </w:p>
    <w:p>
      <w:pPr>
        <w:pStyle w:val="Heading1"/>
        <w:spacing w:after="160"/>
      </w:pPr>
      <w:r>
        <w:rPr>
          <w:rFonts w:ascii="Arial" w:cs="Arial" w:eastAsia="Arial" w:hAnsi="Arial"/>
          <w:sz w:val="22"/>
          <w:szCs w:val="22"/>
        </w:rPr>
        <w:t xml:space="preserve">2. When to File a Suspicious Transaction Report (STR)</w:t>
      </w:r>
    </w:p>
    <w:p>
      <w:pPr>
        <w:spacing w:after="160"/>
      </w:pPr>
      <w:r>
        <w:rPr>
          <w:rFonts w:ascii="Arial" w:cs="Arial" w:eastAsia="Arial" w:hAnsi="Arial"/>
          <w:sz w:val="22"/>
          <w:szCs w:val="22"/>
        </w:rPr>
        <w:t xml:space="preserve">An STR must be filed with FINTRAC when the Company has reasonable grounds to suspect that a transaction (completed or attempted) is related to the commission of a money laundering offence or a terrorist activity financing offence.</w:t>
      </w:r>
    </w:p>
    <w:p>
      <w:pPr>
        <w:spacing w:after="160"/>
      </w:pPr>
      <w:r>
        <w:rPr>
          <w:rFonts w:ascii="Arial" w:cs="Arial" w:eastAsia="Arial" w:hAnsi="Arial"/>
          <w:b/>
          <w:bCs/>
          <w:sz w:val="22"/>
          <w:szCs w:val="22"/>
        </w:rPr>
        <w:t xml:space="preserve">Important: </w:t>
      </w:r>
      <w:r>
        <w:rPr>
          <w:rFonts w:ascii="Arial" w:cs="Arial" w:eastAsia="Arial" w:hAnsi="Arial"/>
          <w:sz w:val="22"/>
          <w:szCs w:val="22"/>
        </w:rPr>
        <w:t xml:space="preserve">You do not need certainty. You do not need proof. “Reasonable grounds to suspect” is a lower threshold than “balance of probabilities.” If something feels wrong and you cannot explain it through normal business reasons, file the STR. When in doubt, file.</w:t>
      </w:r>
    </w:p>
    <w:p>
      <w:pPr>
        <w:pStyle w:val="Heading1"/>
        <w:spacing w:after="160"/>
      </w:pPr>
      <w:r>
        <w:rPr>
          <w:rFonts w:ascii="Arial" w:cs="Arial" w:eastAsia="Arial" w:hAnsi="Arial"/>
          <w:sz w:val="22"/>
          <w:szCs w:val="22"/>
        </w:rPr>
        <w:t xml:space="preserve">3. Red Flag Indicators</w:t>
      </w:r>
    </w:p>
    <w:p>
      <w:pPr>
        <w:spacing w:after="160"/>
      </w:pPr>
      <w:r>
        <w:rPr>
          <w:rFonts w:ascii="Arial" w:cs="Arial" w:eastAsia="Arial" w:hAnsi="Arial"/>
          <w:sz w:val="22"/>
          <w:szCs w:val="22"/>
        </w:rPr>
        <w:t xml:space="preserve">The following are indicators that may warrant further review or an STR filing. This list is not exhaustive:</w:t>
      </w:r>
    </w:p>
    <w:p>
      <w:pPr>
        <w:pStyle w:val="Heading2"/>
        <w:spacing w:after="160"/>
      </w:pPr>
      <w:r>
        <w:rPr>
          <w:rFonts w:ascii="Arial" w:cs="Arial" w:eastAsia="Arial" w:hAnsi="Arial"/>
          <w:sz w:val="22"/>
          <w:szCs w:val="22"/>
        </w:rPr>
        <w:t xml:space="preserve">3.1 Agent-Related Red Flags</w:t>
      </w:r>
    </w:p>
    <w:p>
      <w:pPr>
        <w:pStyle w:val="ListParagraph"/>
        <w:numPr>
          <w:ilvl w:val="0"/>
          <w:numId w:val="2"/>
        </w:numPr>
        <w:spacing w:after="160"/>
      </w:pPr>
      <w:r>
        <w:rPr>
          <w:rFonts w:ascii="Arial" w:cs="Arial" w:eastAsia="Arial" w:hAnsi="Arial"/>
          <w:sz w:val="22"/>
          <w:szCs w:val="22"/>
        </w:rPr>
        <w:t xml:space="preserve">Agent submits advances on deals that appear fabricated or cannot be verified with the brokerage.</w:t>
      </w:r>
    </w:p>
    <w:p>
      <w:pPr>
        <w:pStyle w:val="ListParagraph"/>
        <w:numPr>
          <w:ilvl w:val="0"/>
          <w:numId w:val="2"/>
        </w:numPr>
        <w:spacing w:after="160"/>
      </w:pPr>
      <w:r>
        <w:rPr>
          <w:rFonts w:ascii="Arial" w:cs="Arial" w:eastAsia="Arial" w:hAnsi="Arial"/>
          <w:sz w:val="22"/>
          <w:szCs w:val="22"/>
        </w:rPr>
        <w:t xml:space="preserve">Agent requests funds be deposited to a bank account that is different from their verified account, especially a third-party account.</w:t>
      </w:r>
    </w:p>
    <w:p>
      <w:pPr>
        <w:pStyle w:val="ListParagraph"/>
        <w:numPr>
          <w:ilvl w:val="0"/>
          <w:numId w:val="2"/>
        </w:numPr>
        <w:spacing w:after="160"/>
      </w:pPr>
      <w:r>
        <w:rPr>
          <w:rFonts w:ascii="Arial" w:cs="Arial" w:eastAsia="Arial" w:hAnsi="Arial"/>
          <w:sz w:val="22"/>
          <w:szCs w:val="22"/>
        </w:rPr>
        <w:t xml:space="preserve">Agent submits an unusually high number of advance requests in a short period, inconsistent with their normal deal volume.</w:t>
      </w:r>
    </w:p>
    <w:p>
      <w:pPr>
        <w:pStyle w:val="ListParagraph"/>
        <w:numPr>
          <w:ilvl w:val="0"/>
          <w:numId w:val="2"/>
        </w:numPr>
        <w:spacing w:after="160"/>
      </w:pPr>
      <w:r>
        <w:rPr>
          <w:rFonts w:ascii="Arial" w:cs="Arial" w:eastAsia="Arial" w:hAnsi="Arial"/>
          <w:sz w:val="22"/>
          <w:szCs w:val="22"/>
        </w:rPr>
        <w:t xml:space="preserve">Agent is evasive or provides inconsistent information when asked about deal details.</w:t>
      </w:r>
    </w:p>
    <w:p>
      <w:pPr>
        <w:pStyle w:val="ListParagraph"/>
        <w:numPr>
          <w:ilvl w:val="0"/>
          <w:numId w:val="2"/>
        </w:numPr>
        <w:spacing w:after="160"/>
      </w:pPr>
      <w:r>
        <w:rPr>
          <w:rFonts w:ascii="Arial" w:cs="Arial" w:eastAsia="Arial" w:hAnsi="Arial"/>
          <w:sz w:val="22"/>
          <w:szCs w:val="22"/>
        </w:rPr>
        <w:t xml:space="preserve">Agent has been flagged by their brokerage for suspicious activity or compliance concerns.</w:t>
      </w:r>
    </w:p>
    <w:p>
      <w:pPr>
        <w:pStyle w:val="ListParagraph"/>
        <w:numPr>
          <w:ilvl w:val="0"/>
          <w:numId w:val="2"/>
        </w:numPr>
        <w:spacing w:after="160"/>
      </w:pPr>
      <w:r>
        <w:rPr>
          <w:rFonts w:ascii="Arial" w:cs="Arial" w:eastAsia="Arial" w:hAnsi="Arial"/>
          <w:sz w:val="22"/>
          <w:szCs w:val="22"/>
        </w:rPr>
        <w:t xml:space="preserve">Agent’s RECO licence is suspended or revoked but they continue to submit deals.</w:t>
      </w:r>
    </w:p>
    <w:p>
      <w:pPr>
        <w:pStyle w:val="ListParagraph"/>
        <w:numPr>
          <w:ilvl w:val="0"/>
          <w:numId w:val="2"/>
        </w:numPr>
        <w:spacing w:after="160"/>
      </w:pPr>
      <w:r>
        <w:rPr>
          <w:rFonts w:ascii="Arial" w:cs="Arial" w:eastAsia="Arial" w:hAnsi="Arial"/>
          <w:sz w:val="22"/>
          <w:szCs w:val="22"/>
        </w:rPr>
        <w:t xml:space="preserve">Agent pressures the Company to expedite funding without completing normal verification steps.</w:t>
      </w:r>
    </w:p>
    <w:p>
      <w:pPr>
        <w:pStyle w:val="Heading2"/>
        <w:spacing w:after="160"/>
      </w:pPr>
      <w:r>
        <w:rPr>
          <w:rFonts w:ascii="Arial" w:cs="Arial" w:eastAsia="Arial" w:hAnsi="Arial"/>
          <w:sz w:val="22"/>
          <w:szCs w:val="22"/>
        </w:rPr>
        <w:t xml:space="preserve">3.2 Deal-Related Red Flags</w:t>
      </w:r>
    </w:p>
    <w:p>
      <w:pPr>
        <w:pStyle w:val="ListParagraph"/>
        <w:numPr>
          <w:ilvl w:val="0"/>
          <w:numId w:val="3"/>
        </w:numPr>
        <w:spacing w:after="160"/>
      </w:pPr>
      <w:r>
        <w:rPr>
          <w:rFonts w:ascii="Arial" w:cs="Arial" w:eastAsia="Arial" w:hAnsi="Arial"/>
          <w:sz w:val="22"/>
          <w:szCs w:val="22"/>
        </w:rPr>
        <w:t xml:space="preserve">Deal involves a property that appears significantly overvalued or undervalued relative to comparables.</w:t>
      </w:r>
    </w:p>
    <w:p>
      <w:pPr>
        <w:pStyle w:val="ListParagraph"/>
        <w:numPr>
          <w:ilvl w:val="0"/>
          <w:numId w:val="3"/>
        </w:numPr>
        <w:spacing w:after="160"/>
      </w:pPr>
      <w:r>
        <w:rPr>
          <w:rFonts w:ascii="Arial" w:cs="Arial" w:eastAsia="Arial" w:hAnsi="Arial"/>
          <w:sz w:val="22"/>
          <w:szCs w:val="22"/>
        </w:rPr>
        <w:t xml:space="preserve">Commission amount is unusually high relative to the sale price.</w:t>
      </w:r>
    </w:p>
    <w:p>
      <w:pPr>
        <w:pStyle w:val="ListParagraph"/>
        <w:numPr>
          <w:ilvl w:val="0"/>
          <w:numId w:val="3"/>
        </w:numPr>
        <w:spacing w:after="160"/>
      </w:pPr>
      <w:r>
        <w:rPr>
          <w:rFonts w:ascii="Arial" w:cs="Arial" w:eastAsia="Arial" w:hAnsi="Arial"/>
          <w:sz w:val="22"/>
          <w:szCs w:val="22"/>
        </w:rPr>
        <w:t xml:space="preserve">Deal collapses repeatedly with the same agent, suggesting commissions may not be genuine.</w:t>
      </w:r>
    </w:p>
    <w:p>
      <w:pPr>
        <w:pStyle w:val="ListParagraph"/>
        <w:numPr>
          <w:ilvl w:val="0"/>
          <w:numId w:val="3"/>
        </w:numPr>
        <w:spacing w:after="160"/>
      </w:pPr>
      <w:r>
        <w:rPr>
          <w:rFonts w:ascii="Arial" w:cs="Arial" w:eastAsia="Arial" w:hAnsi="Arial"/>
          <w:sz w:val="22"/>
          <w:szCs w:val="22"/>
        </w:rPr>
        <w:t xml:space="preserve">Brokerage cannot confirm the deal or is unaware of the transaction.</w:t>
      </w:r>
    </w:p>
    <w:p>
      <w:pPr>
        <w:pStyle w:val="ListParagraph"/>
        <w:numPr>
          <w:ilvl w:val="0"/>
          <w:numId w:val="3"/>
        </w:numPr>
        <w:spacing w:after="160"/>
      </w:pPr>
      <w:r>
        <w:rPr>
          <w:rFonts w:ascii="Arial" w:cs="Arial" w:eastAsia="Arial" w:hAnsi="Arial"/>
          <w:sz w:val="22"/>
          <w:szCs w:val="22"/>
        </w:rPr>
        <w:t xml:space="preserve">Closing date is changed multiple times without reasonable explanation.</w:t>
      </w:r>
    </w:p>
    <w:p>
      <w:pPr>
        <w:pStyle w:val="Heading2"/>
        <w:spacing w:after="160"/>
      </w:pPr>
      <w:r>
        <w:rPr>
          <w:rFonts w:ascii="Arial" w:cs="Arial" w:eastAsia="Arial" w:hAnsi="Arial"/>
          <w:sz w:val="22"/>
          <w:szCs w:val="22"/>
        </w:rPr>
        <w:t xml:space="preserve">3.3 General Red Flags</w:t>
      </w:r>
    </w:p>
    <w:p>
      <w:pPr>
        <w:pStyle w:val="ListParagraph"/>
        <w:numPr>
          <w:ilvl w:val="0"/>
          <w:numId w:val="4"/>
        </w:numPr>
        <w:spacing w:after="160"/>
      </w:pPr>
      <w:r>
        <w:rPr>
          <w:rFonts w:ascii="Arial" w:cs="Arial" w:eastAsia="Arial" w:hAnsi="Arial"/>
          <w:sz w:val="22"/>
          <w:szCs w:val="22"/>
        </w:rPr>
        <w:t xml:space="preserve">Any transaction or pattern of transactions that appears designed to obscure the source, ownership, or destination of funds.</w:t>
      </w:r>
    </w:p>
    <w:p>
      <w:pPr>
        <w:pStyle w:val="ListParagraph"/>
        <w:numPr>
          <w:ilvl w:val="0"/>
          <w:numId w:val="4"/>
        </w:numPr>
        <w:spacing w:after="160"/>
      </w:pPr>
      <w:r>
        <w:rPr>
          <w:rFonts w:ascii="Arial" w:cs="Arial" w:eastAsia="Arial" w:hAnsi="Arial"/>
          <w:sz w:val="22"/>
          <w:szCs w:val="22"/>
        </w:rPr>
        <w:t xml:space="preserve">Client provides false, misleading, or conflicting identification information.</w:t>
      </w:r>
    </w:p>
    <w:p>
      <w:pPr>
        <w:pStyle w:val="ListParagraph"/>
        <w:numPr>
          <w:ilvl w:val="0"/>
          <w:numId w:val="4"/>
        </w:numPr>
        <w:spacing w:after="160"/>
      </w:pPr>
      <w:r>
        <w:rPr>
          <w:rFonts w:ascii="Arial" w:cs="Arial" w:eastAsia="Arial" w:hAnsi="Arial"/>
          <w:sz w:val="22"/>
          <w:szCs w:val="22"/>
        </w:rPr>
        <w:t xml:space="preserve">Client is listed on a sanctions list (OFAC, United Nations, Canadian Consolidated Autonomous Sanctions List).</w:t>
      </w:r>
    </w:p>
    <w:p>
      <w:r>
        <w:br w:type="page"/>
      </w:r>
    </w:p>
    <w:p>
      <w:pPr>
        <w:pStyle w:val="Heading1"/>
        <w:spacing w:after="160"/>
      </w:pPr>
      <w:r>
        <w:rPr>
          <w:rFonts w:ascii="Arial" w:cs="Arial" w:eastAsia="Arial" w:hAnsi="Arial"/>
          <w:sz w:val="22"/>
          <w:szCs w:val="22"/>
        </w:rPr>
        <w:t xml:space="preserve">4. Procedure for Reporting</w:t>
      </w:r>
    </w:p>
    <w:p>
      <w:pPr>
        <w:pStyle w:val="ListParagraph"/>
        <w:numPr>
          <w:ilvl w:val="0"/>
          <w:numId w:val="5"/>
        </w:numPr>
        <w:spacing w:after="160"/>
      </w:pPr>
      <w:r>
        <w:rPr>
          <w:rFonts w:ascii="Arial" w:cs="Arial" w:eastAsia="Arial" w:hAnsi="Arial"/>
          <w:sz w:val="22"/>
          <w:szCs w:val="22"/>
        </w:rPr>
        <w:t xml:space="preserve">Step 1: Identify the suspicious activity using the red flag indicators above or your own professional judgment.</w:t>
      </w:r>
    </w:p>
    <w:p>
      <w:pPr>
        <w:pStyle w:val="ListParagraph"/>
        <w:numPr>
          <w:ilvl w:val="0"/>
          <w:numId w:val="5"/>
        </w:numPr>
        <w:spacing w:after="160"/>
      </w:pPr>
      <w:r>
        <w:rPr>
          <w:rFonts w:ascii="Arial" w:cs="Arial" w:eastAsia="Arial" w:hAnsi="Arial"/>
          <w:sz w:val="22"/>
          <w:szCs w:val="22"/>
        </w:rPr>
        <w:t xml:space="preserve">Step 2: Do NOT inform the client (agent or brokerage) that you suspect suspicious activity or that you are filing or considering filing an STR. This is called “tipping off” and is a criminal offence under the PCMLTFA.</w:t>
      </w:r>
    </w:p>
    <w:p>
      <w:pPr>
        <w:pStyle w:val="ListParagraph"/>
        <w:numPr>
          <w:ilvl w:val="0"/>
          <w:numId w:val="5"/>
        </w:numPr>
        <w:spacing w:after="160"/>
      </w:pPr>
      <w:r>
        <w:rPr>
          <w:rFonts w:ascii="Arial" w:cs="Arial" w:eastAsia="Arial" w:hAnsi="Arial"/>
          <w:sz w:val="22"/>
          <w:szCs w:val="22"/>
        </w:rPr>
        <w:t xml:space="preserve">Step 3: Document your observations in writing, including: what triggered your suspicion, the specific transactions involved, dates, amounts, and any communications with the client.</w:t>
      </w:r>
    </w:p>
    <w:p>
      <w:pPr>
        <w:pStyle w:val="ListParagraph"/>
        <w:numPr>
          <w:ilvl w:val="0"/>
          <w:numId w:val="5"/>
        </w:numPr>
        <w:spacing w:after="160"/>
      </w:pPr>
      <w:r>
        <w:rPr>
          <w:rFonts w:ascii="Arial" w:cs="Arial" w:eastAsia="Arial" w:hAnsi="Arial"/>
          <w:sz w:val="22"/>
          <w:szCs w:val="22"/>
        </w:rPr>
        <w:t xml:space="preserve">Step 4: Notify the Compliance Officer (Bud Jones, bud@firmfunds.ca) immediately with your written observations.</w:t>
      </w:r>
    </w:p>
    <w:p>
      <w:pPr>
        <w:pStyle w:val="ListParagraph"/>
        <w:numPr>
          <w:ilvl w:val="0"/>
          <w:numId w:val="5"/>
        </w:numPr>
        <w:spacing w:after="160"/>
      </w:pPr>
      <w:r>
        <w:rPr>
          <w:rFonts w:ascii="Arial" w:cs="Arial" w:eastAsia="Arial" w:hAnsi="Arial"/>
          <w:sz w:val="22"/>
          <w:szCs w:val="22"/>
        </w:rPr>
        <w:t xml:space="preserve">Step 5: The Compliance Officer reviews the information and makes the determination whether to file an STR.</w:t>
      </w:r>
    </w:p>
    <w:p>
      <w:pPr>
        <w:pStyle w:val="ListParagraph"/>
        <w:numPr>
          <w:ilvl w:val="0"/>
          <w:numId w:val="5"/>
        </w:numPr>
        <w:spacing w:after="160"/>
      </w:pPr>
      <w:r>
        <w:rPr>
          <w:rFonts w:ascii="Arial" w:cs="Arial" w:eastAsia="Arial" w:hAnsi="Arial"/>
          <w:sz w:val="22"/>
          <w:szCs w:val="22"/>
        </w:rPr>
        <w:t xml:space="preserve">Step 6: If filing, the Compliance Officer submits the STR to FINTRAC via the FINTRAC Online Reporting portal (F2R system) at https://www.fintrac-canafe.gc.ca within 30 calendar days of the date the suspicion was formed.</w:t>
      </w:r>
    </w:p>
    <w:p>
      <w:pPr>
        <w:pStyle w:val="ListParagraph"/>
        <w:numPr>
          <w:ilvl w:val="0"/>
          <w:numId w:val="5"/>
        </w:numPr>
        <w:spacing w:after="160"/>
      </w:pPr>
      <w:r>
        <w:rPr>
          <w:rFonts w:ascii="Arial" w:cs="Arial" w:eastAsia="Arial" w:hAnsi="Arial"/>
          <w:sz w:val="22"/>
          <w:szCs w:val="22"/>
        </w:rPr>
        <w:t xml:space="preserve">Step 7: Retain a copy of the filed STR and all supporting documentation in the Company’s compliance records.</w:t>
      </w:r>
    </w:p>
    <w:p>
      <w:pPr>
        <w:pStyle w:val="Heading1"/>
        <w:spacing w:after="160"/>
      </w:pPr>
      <w:r>
        <w:rPr>
          <w:rFonts w:ascii="Arial" w:cs="Arial" w:eastAsia="Arial" w:hAnsi="Arial"/>
          <w:sz w:val="22"/>
          <w:szCs w:val="22"/>
        </w:rPr>
        <w:t xml:space="preserve">5. Filing an STR with FINTRAC</w:t>
      </w:r>
    </w:p>
    <w:p>
      <w:pPr>
        <w:spacing w:after="160"/>
      </w:pPr>
      <w:r>
        <w:rPr>
          <w:rFonts w:ascii="Arial" w:cs="Arial" w:eastAsia="Arial" w:hAnsi="Arial"/>
          <w:sz w:val="22"/>
          <w:szCs w:val="22"/>
        </w:rPr>
        <w:t xml:space="preserve">STRs are filed through FINTRAC’s online reporting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Portal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FINTRAC F2R Online Reporting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https://www.fintrac-canafe.gc.ca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Report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Suspicious Transaction Report (STR)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 calendar days from detection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Filed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Compliance Officer (Bud Jones)</w:t>
            </w:r>
          </w:p>
        </w:tc>
      </w:tr>
    </w:tbl>
    <w:p>
      <w:pPr>
        <w:spacing w:after="200"/>
      </w:pPr>
    </w:p>
    <w:p>
      <w:pPr>
        <w:spacing w:after="160"/>
      </w:pPr>
      <w:r>
        <w:rPr>
          <w:rFonts w:ascii="Arial" w:cs="Arial" w:eastAsia="Arial" w:hAnsi="Arial"/>
          <w:sz w:val="22"/>
          <w:szCs w:val="22"/>
        </w:rPr>
        <w:t xml:space="preserve">The STR form requires: the Company’s FINTRAC reporting entity number, details of the suspicious transaction(s), client identification information, the reason for suspicion, and any supporting documentation.</w:t>
      </w:r>
    </w:p>
    <w:p>
      <w:pPr>
        <w:pStyle w:val="Heading1"/>
        <w:spacing w:after="160"/>
      </w:pPr>
      <w:r>
        <w:rPr>
          <w:rFonts w:ascii="Arial" w:cs="Arial" w:eastAsia="Arial" w:hAnsi="Arial"/>
          <w:sz w:val="22"/>
          <w:szCs w:val="22"/>
        </w:rPr>
        <w:t xml:space="preserve">6. Record Keeping</w:t>
      </w:r>
    </w:p>
    <w:p>
      <w:pPr>
        <w:spacing w:after="160"/>
      </w:pPr>
      <w:r>
        <w:rPr>
          <w:rFonts w:ascii="Arial" w:cs="Arial" w:eastAsia="Arial" w:hAnsi="Arial"/>
          <w:sz w:val="22"/>
          <w:szCs w:val="22"/>
        </w:rPr>
        <w:t xml:space="preserve">All STR-related records must be retained for a minimum of five (5) years from the date of filing. This includes the filed STR, all notes and observations that led to the filing, supporting transaction records, and any internal communications about the suspicious activity.</w:t>
      </w:r>
    </w:p>
    <w:p>
      <w:pPr>
        <w:pStyle w:val="Heading1"/>
        <w:spacing w:after="160"/>
      </w:pPr>
      <w:r>
        <w:rPr>
          <w:rFonts w:ascii="Arial" w:cs="Arial" w:eastAsia="Arial" w:hAnsi="Arial"/>
          <w:sz w:val="22"/>
          <w:szCs w:val="22"/>
        </w:rPr>
        <w:t xml:space="preserve">7. Penalties</w:t>
      </w:r>
    </w:p>
    <w:p>
      <w:pPr>
        <w:spacing w:after="160"/>
      </w:pPr>
      <w:r>
        <w:rPr>
          <w:rFonts w:ascii="Arial" w:cs="Arial" w:eastAsia="Arial" w:hAnsi="Arial"/>
          <w:sz w:val="22"/>
          <w:szCs w:val="22"/>
        </w:rPr>
        <w:t xml:space="preserve">Failure to file an STR when required is a serious offence under the PCMLTFA:</w:t>
      </w:r>
    </w:p>
    <w:p>
      <w:pPr>
        <w:pStyle w:val="ListParagraph"/>
        <w:numPr>
          <w:ilvl w:val="0"/>
          <w:numId w:val="6"/>
        </w:numPr>
        <w:spacing w:after="160"/>
      </w:pPr>
      <w:r>
        <w:rPr>
          <w:rFonts w:ascii="Arial" w:cs="Arial" w:eastAsia="Arial" w:hAnsi="Arial"/>
          <w:sz w:val="22"/>
          <w:szCs w:val="22"/>
        </w:rPr>
        <w:t xml:space="preserve">Administrative monetary penalty: Up to $500,000 per violation.</w:t>
      </w:r>
    </w:p>
    <w:p>
      <w:pPr>
        <w:pStyle w:val="ListParagraph"/>
        <w:numPr>
          <w:ilvl w:val="0"/>
          <w:numId w:val="6"/>
        </w:numPr>
        <w:spacing w:after="160"/>
      </w:pPr>
      <w:r>
        <w:rPr>
          <w:rFonts w:ascii="Arial" w:cs="Arial" w:eastAsia="Arial" w:hAnsi="Arial"/>
          <w:sz w:val="22"/>
          <w:szCs w:val="22"/>
        </w:rPr>
        <w:t xml:space="preserve">Criminal penalty: Up to $2,000,000 fine and/or up to 5 years imprisonment.</w:t>
      </w:r>
    </w:p>
    <w:p>
      <w:pPr>
        <w:pStyle w:val="ListParagraph"/>
        <w:numPr>
          <w:ilvl w:val="0"/>
          <w:numId w:val="6"/>
        </w:numPr>
        <w:spacing w:after="160"/>
      </w:pPr>
      <w:r>
        <w:rPr>
          <w:rFonts w:ascii="Arial" w:cs="Arial" w:eastAsia="Arial" w:hAnsi="Arial"/>
          <w:sz w:val="22"/>
          <w:szCs w:val="22"/>
        </w:rPr>
        <w:t xml:space="preserve">Tipping off (informing the client about an STR): Criminal offence under section 8 of the PCMLTFA.</w:t>
      </w:r>
    </w:p>
    <w:p>
      <w:pPr>
        <w:spacing w:after="400"/>
      </w:pPr>
    </w:p>
    <w:p>
      <w:pPr>
        <w:spacing w:after="300"/>
      </w:pPr>
      <w:r>
        <w:rPr>
          <w:rFonts w:ascii="Arial" w:cs="Arial" w:eastAsia="Arial" w:hAnsi="Arial"/>
          <w:b/>
          <w:bCs/>
          <w:sz w:val="22"/>
          <w:szCs w:val="22"/>
        </w:rPr>
        <w:t xml:space="preserve">APPROVED BY:</w:t>
      </w:r>
    </w:p>
    <w:p>
      <w:pPr>
        <w:spacing w:after="40"/>
      </w:pPr>
    </w:p>
    <w:p>
      <w:pPr>
        <w:spacing w:after="40"/>
      </w:pPr>
      <w:r>
        <w:rPr>
          <w:rFonts w:ascii="Arial" w:cs="Arial" w:eastAsia="Arial" w:hAnsi="Arial"/>
          <w:sz w:val="22"/>
          <w:szCs w:val="22"/>
        </w:rPr>
        <w:t xml:space="preserve">________________________________________</w:t>
      </w:r>
    </w:p>
    <w:p>
      <w:pPr>
        <w:spacing w:after="40"/>
      </w:pPr>
      <w:r>
        <w:rPr>
          <w:rFonts w:ascii="Arial" w:cs="Arial" w:eastAsia="Arial" w:hAnsi="Arial"/>
          <w:b/>
          <w:bCs/>
          <w:sz w:val="22"/>
          <w:szCs w:val="22"/>
        </w:rPr>
        <w:t xml:space="preserve">Bud Jones, Director &amp; Compliance Officer</w:t>
      </w:r>
    </w:p>
    <w:p>
      <w:pPr>
        <w:spacing w:after="40"/>
      </w:pPr>
      <w:r>
        <w:rPr>
          <w:rFonts w:ascii="Arial" w:cs="Arial" w:eastAsia="Arial" w:hAnsi="Arial"/>
          <w:sz w:val="22"/>
          <w:szCs w:val="22"/>
        </w:rPr>
        <w:t xml:space="preserve">Firm Funds Incorporated</w:t>
      </w:r>
    </w:p>
    <w:p>
      <w:pPr>
        <w:spacing w:after="160"/>
      </w:pPr>
      <w:r>
        <w:rPr>
          <w:rFonts w:ascii="Arial" w:cs="Arial" w:eastAsia="Arial" w:hAnsi="Arial"/>
          <w:sz w:val="22"/>
          <w:szCs w:val="22"/>
        </w:rPr>
        <w:t xml:space="preserve">Date: 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10"/>
    <w:lvlOverride w:ilvl="0">
      <w:startOverride w:val="1"/>
    </w:lvlOverride>
  </w:num>
  <w:num w:numId="4">
    <w:abstractNumId w:val="11"/>
    <w:lvlOverride w:ilvl="0">
      <w:startOverride w:val="1"/>
    </w:lvlOverride>
  </w:num>
  <w:num w:numId="5">
    <w:abstractNumId w:val="14"/>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33333"/>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444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2026-04-03T18:15:50.732Z</dcterms:created>
  <dcterms:modified xsi:type="dcterms:W3CDTF">2026-04-03T18:15:50.732Z</dcterms:modified>
</cp:coreProperties>
</file>

<file path=docProps/custom.xml><?xml version="1.0" encoding="utf-8"?>
<Properties xmlns="http://schemas.openxmlformats.org/officeDocument/2006/custom-properties" xmlns:vt="http://schemas.openxmlformats.org/officeDocument/2006/docPropsVTypes"/>
</file>