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sz w:val="36"/>
          <w:szCs w:val="36"/>
        </w:rPr>
        <w:t xml:space="preserve">Record Retention Policy</w:t>
      </w:r>
    </w:p>
    <w:p>
      <w:pPr>
        <w:spacing w:after="160"/>
      </w:pPr>
      <w:r>
        <w:rPr>
          <w:rFonts w:ascii="Arial" w:cs="Arial" w:eastAsia="Arial" w:hAnsi="Arial"/>
          <w:b/>
          <w:bCs/>
          <w:color w:val="5FA873"/>
          <w:sz w:val="26"/>
          <w:szCs w:val="26"/>
        </w:rPr>
        <w:t xml:space="preserve">Firm Funds Incorporated</w:t>
      </w:r>
    </w:p>
    <w:p>
      <w:pPr>
        <w:spacing w:after="400"/>
      </w:pPr>
      <w:r>
        <w:rPr>
          <w:rFonts w:ascii="Arial" w:cs="Arial" w:eastAsia="Arial" w:hAnsi="Arial"/>
          <w:color w:val="666666"/>
          <w:sz w:val="22"/>
          <w:szCs w:val="22"/>
        </w:rPr>
        <w:t xml:space="preserve">Effective Date: April 3, 2026  |  Version 1.0</w:t>
      </w:r>
    </w:p>
    <w:p>
      <w:pPr>
        <w:pStyle w:val="Heading1"/>
        <w:spacing w:after="160"/>
      </w:pPr>
      <w:r>
        <w:rPr>
          <w:rFonts w:ascii="Arial" w:cs="Arial" w:eastAsia="Arial" w:hAnsi="Arial"/>
          <w:sz w:val="22"/>
          <w:szCs w:val="22"/>
        </w:rPr>
        <w:t xml:space="preserve">1. Purpose</w:t>
      </w:r>
    </w:p>
    <w:p>
      <w:pPr>
        <w:spacing w:after="160"/>
      </w:pPr>
      <w:r>
        <w:rPr>
          <w:rFonts w:ascii="Arial" w:cs="Arial" w:eastAsia="Arial" w:hAnsi="Arial"/>
          <w:sz w:val="22"/>
          <w:szCs w:val="22"/>
        </w:rPr>
        <w:t xml:space="preserve">This policy establishes the record retention requirements for Firm Funds Incorporated (“the Company”) in compliance with the Proceeds of Crime (Money Laundering) and Terrorist Financing Act (PCMLTFA) and its associated regulations. The PCMLTFA requires reporting entities to retain prescribed records for a minimum of five (5) years.</w:t>
      </w:r>
    </w:p>
    <w:p>
      <w:pPr>
        <w:pStyle w:val="Heading1"/>
        <w:spacing w:after="160"/>
      </w:pPr>
      <w:r>
        <w:rPr>
          <w:rFonts w:ascii="Arial" w:cs="Arial" w:eastAsia="Arial" w:hAnsi="Arial"/>
          <w:sz w:val="22"/>
          <w:szCs w:val="22"/>
        </w:rPr>
        <w:t xml:space="preserve">2. Retention Policy</w:t>
      </w:r>
    </w:p>
    <w:p>
      <w:pPr>
        <w:spacing w:after="160"/>
      </w:pPr>
      <w:r>
        <w:rPr>
          <w:rFonts w:ascii="Arial" w:cs="Arial" w:eastAsia="Arial" w:hAnsi="Arial"/>
          <w:b/>
          <w:bCs/>
          <w:sz w:val="22"/>
          <w:szCs w:val="22"/>
        </w:rPr>
        <w:t xml:space="preserve">The Company retains all records indefinitely. </w:t>
      </w:r>
      <w:r>
        <w:rPr>
          <w:rFonts w:ascii="Arial" w:cs="Arial" w:eastAsia="Arial" w:hAnsi="Arial"/>
          <w:sz w:val="22"/>
          <w:szCs w:val="22"/>
        </w:rPr>
        <w:t xml:space="preserve">All business records, client records, transaction records, and compliance documents are stored in the Company’s cloud-based systems and are never deleted. This exceeds the minimum 5-year requirement under the PCMLTFA and ensures full compliance at all times.</w:t>
      </w:r>
    </w:p>
    <w:p>
      <w:pPr>
        <w:pStyle w:val="Heading1"/>
        <w:spacing w:after="160"/>
      </w:pPr>
      <w:r>
        <w:rPr>
          <w:rFonts w:ascii="Arial" w:cs="Arial" w:eastAsia="Arial" w:hAnsi="Arial"/>
          <w:sz w:val="22"/>
          <w:szCs w:val="22"/>
        </w:rPr>
        <w:t xml:space="preserve">3. Records Covered</w:t>
      </w:r>
    </w:p>
    <w:p>
      <w:pPr>
        <w:spacing w:after="160"/>
      </w:pPr>
      <w:r>
        <w:rPr>
          <w:rFonts w:ascii="Arial" w:cs="Arial" w:eastAsia="Arial" w:hAnsi="Arial"/>
          <w:sz w:val="22"/>
          <w:szCs w:val="22"/>
        </w:rPr>
        <w:t xml:space="preserve">The following categories of records are retained:</w:t>
      </w:r>
    </w:p>
    <w:p>
      <w:pPr>
        <w:pStyle w:val="Heading2"/>
        <w:spacing w:after="160"/>
      </w:pPr>
      <w:r>
        <w:rPr>
          <w:rFonts w:ascii="Arial" w:cs="Arial" w:eastAsia="Arial" w:hAnsi="Arial"/>
          <w:sz w:val="22"/>
          <w:szCs w:val="22"/>
        </w:rPr>
        <w:t xml:space="preserve">3.1 Client Identification Records</w:t>
      </w:r>
    </w:p>
    <w:p>
      <w:pPr>
        <w:pStyle w:val="ListParagraph"/>
        <w:numPr>
          <w:ilvl w:val="0"/>
          <w:numId w:val="2"/>
        </w:numPr>
        <w:spacing w:after="160"/>
      </w:pPr>
      <w:r>
        <w:rPr>
          <w:rFonts w:ascii="Arial" w:cs="Arial" w:eastAsia="Arial" w:hAnsi="Arial"/>
          <w:sz w:val="22"/>
          <w:szCs w:val="22"/>
        </w:rPr>
        <w:t xml:space="preserve">Agent KYC records: government-issued photo ID images, RECO licence numbers and verification records, full legal names, email addresses, phone numbers, and banking information.</w:t>
      </w:r>
    </w:p>
    <w:p>
      <w:pPr>
        <w:pStyle w:val="ListParagraph"/>
        <w:numPr>
          <w:ilvl w:val="0"/>
          <w:numId w:val="2"/>
        </w:numPr>
        <w:spacing w:after="160"/>
      </w:pPr>
      <w:r>
        <w:rPr>
          <w:rFonts w:ascii="Arial" w:cs="Arial" w:eastAsia="Arial" w:hAnsi="Arial"/>
          <w:sz w:val="22"/>
          <w:szCs w:val="22"/>
        </w:rPr>
        <w:t xml:space="preserve">Brokerage KYC records: RECO registration numbers and verification records, business names, addresses, contact information, and referral fee agreements.</w:t>
      </w:r>
    </w:p>
    <w:p>
      <w:pPr>
        <w:pStyle w:val="ListParagraph"/>
        <w:numPr>
          <w:ilvl w:val="0"/>
          <w:numId w:val="2"/>
        </w:numPr>
        <w:spacing w:after="160"/>
      </w:pPr>
      <w:r>
        <w:rPr>
          <w:rFonts w:ascii="Arial" w:cs="Arial" w:eastAsia="Arial" w:hAnsi="Arial"/>
          <w:sz w:val="22"/>
          <w:szCs w:val="22"/>
        </w:rPr>
        <w:t xml:space="preserve">PCMLTFA minimum retention: 5 years from the date of the last transaction with the client.</w:t>
      </w:r>
    </w:p>
    <w:p>
      <w:pPr>
        <w:pStyle w:val="Heading2"/>
        <w:spacing w:after="160"/>
      </w:pPr>
      <w:r>
        <w:rPr>
          <w:rFonts w:ascii="Arial" w:cs="Arial" w:eastAsia="Arial" w:hAnsi="Arial"/>
          <w:sz w:val="22"/>
          <w:szCs w:val="22"/>
        </w:rPr>
        <w:t xml:space="preserve">3.2 Transaction Records</w:t>
      </w:r>
    </w:p>
    <w:p>
      <w:pPr>
        <w:pStyle w:val="ListParagraph"/>
        <w:numPr>
          <w:ilvl w:val="0"/>
          <w:numId w:val="3"/>
        </w:numPr>
        <w:spacing w:after="160"/>
      </w:pPr>
      <w:r>
        <w:rPr>
          <w:rFonts w:ascii="Arial" w:cs="Arial" w:eastAsia="Arial" w:hAnsi="Arial"/>
          <w:sz w:val="22"/>
          <w:szCs w:val="22"/>
        </w:rPr>
        <w:t xml:space="preserve">Deal submissions: property addresses, commission amounts, closing dates, financial calculations, status history.</w:t>
      </w:r>
    </w:p>
    <w:p>
      <w:pPr>
        <w:pStyle w:val="ListParagraph"/>
        <w:numPr>
          <w:ilvl w:val="0"/>
          <w:numId w:val="3"/>
        </w:numPr>
        <w:spacing w:after="160"/>
      </w:pPr>
      <w:r>
        <w:rPr>
          <w:rFonts w:ascii="Arial" w:cs="Arial" w:eastAsia="Arial" w:hAnsi="Arial"/>
          <w:sz w:val="22"/>
          <w:szCs w:val="22"/>
        </w:rPr>
        <w:t xml:space="preserve">Funding records: EFT transfer details (amounts, dates, confirmation numbers).</w:t>
      </w:r>
    </w:p>
    <w:p>
      <w:pPr>
        <w:pStyle w:val="ListParagraph"/>
        <w:numPr>
          <w:ilvl w:val="0"/>
          <w:numId w:val="3"/>
        </w:numPr>
        <w:spacing w:after="160"/>
      </w:pPr>
      <w:r>
        <w:rPr>
          <w:rFonts w:ascii="Arial" w:cs="Arial" w:eastAsia="Arial" w:hAnsi="Arial"/>
          <w:sz w:val="22"/>
          <w:szCs w:val="22"/>
        </w:rPr>
        <w:t xml:space="preserve">Repayment records: brokerage payment details (amounts, dates, methods, reference numbers).</w:t>
      </w:r>
    </w:p>
    <w:p>
      <w:pPr>
        <w:pStyle w:val="ListParagraph"/>
        <w:numPr>
          <w:ilvl w:val="0"/>
          <w:numId w:val="3"/>
        </w:numPr>
        <w:spacing w:after="160"/>
      </w:pPr>
      <w:r>
        <w:rPr>
          <w:rFonts w:ascii="Arial" w:cs="Arial" w:eastAsia="Arial" w:hAnsi="Arial"/>
          <w:sz w:val="22"/>
          <w:szCs w:val="22"/>
        </w:rPr>
        <w:t xml:space="preserve">Document records: all uploaded documents (APS, trade records, ID verification, commission agreements, etc.).</w:t>
      </w:r>
    </w:p>
    <w:p>
      <w:pPr>
        <w:pStyle w:val="ListParagraph"/>
        <w:numPr>
          <w:ilvl w:val="0"/>
          <w:numId w:val="3"/>
        </w:numPr>
        <w:spacing w:after="160"/>
      </w:pPr>
      <w:r>
        <w:rPr>
          <w:rFonts w:ascii="Arial" w:cs="Arial" w:eastAsia="Arial" w:hAnsi="Arial"/>
          <w:sz w:val="22"/>
          <w:szCs w:val="22"/>
        </w:rPr>
        <w:t xml:space="preserve">PCMLTFA minimum retention: 5 years from the date of the transaction.</w:t>
      </w:r>
    </w:p>
    <w:p>
      <w:pPr>
        <w:pStyle w:val="Heading2"/>
        <w:spacing w:after="160"/>
      </w:pPr>
      <w:r>
        <w:rPr>
          <w:rFonts w:ascii="Arial" w:cs="Arial" w:eastAsia="Arial" w:hAnsi="Arial"/>
          <w:sz w:val="22"/>
          <w:szCs w:val="22"/>
        </w:rPr>
        <w:t xml:space="preserve">3.3 Compliance Records</w:t>
      </w:r>
    </w:p>
    <w:p>
      <w:pPr>
        <w:pStyle w:val="ListParagraph"/>
        <w:numPr>
          <w:ilvl w:val="0"/>
          <w:numId w:val="4"/>
        </w:numPr>
        <w:spacing w:after="160"/>
      </w:pPr>
      <w:r>
        <w:rPr>
          <w:rFonts w:ascii="Arial" w:cs="Arial" w:eastAsia="Arial" w:hAnsi="Arial"/>
          <w:sz w:val="22"/>
          <w:szCs w:val="22"/>
        </w:rPr>
        <w:t xml:space="preserve">This AML/ATF Compliance Program and all previous versions.</w:t>
      </w:r>
    </w:p>
    <w:p>
      <w:pPr>
        <w:pStyle w:val="ListParagraph"/>
        <w:numPr>
          <w:ilvl w:val="0"/>
          <w:numId w:val="4"/>
        </w:numPr>
        <w:spacing w:after="160"/>
      </w:pPr>
      <w:r>
        <w:rPr>
          <w:rFonts w:ascii="Arial" w:cs="Arial" w:eastAsia="Arial" w:hAnsi="Arial"/>
          <w:sz w:val="22"/>
          <w:szCs w:val="22"/>
        </w:rPr>
        <w:t xml:space="preserve">Compliance Officer designation letters.</w:t>
      </w:r>
    </w:p>
    <w:p>
      <w:pPr>
        <w:pStyle w:val="ListParagraph"/>
        <w:numPr>
          <w:ilvl w:val="0"/>
          <w:numId w:val="4"/>
        </w:numPr>
        <w:spacing w:after="160"/>
      </w:pPr>
      <w:r>
        <w:rPr>
          <w:rFonts w:ascii="Arial" w:cs="Arial" w:eastAsia="Arial" w:hAnsi="Arial"/>
          <w:sz w:val="22"/>
          <w:szCs w:val="22"/>
        </w:rPr>
        <w:t xml:space="preserve">Suspicious Transaction Reporting Procedure and all previous versions.</w:t>
      </w:r>
    </w:p>
    <w:p>
      <w:pPr>
        <w:pStyle w:val="ListParagraph"/>
        <w:numPr>
          <w:ilvl w:val="0"/>
          <w:numId w:val="4"/>
        </w:numPr>
        <w:spacing w:after="160"/>
      </w:pPr>
      <w:r>
        <w:rPr>
          <w:rFonts w:ascii="Arial" w:cs="Arial" w:eastAsia="Arial" w:hAnsi="Arial"/>
          <w:sz w:val="22"/>
          <w:szCs w:val="22"/>
        </w:rPr>
        <w:t xml:space="preserve">Any filed Suspicious Transaction Reports (STRs) and supporting documentation.</w:t>
      </w:r>
    </w:p>
    <w:p>
      <w:pPr>
        <w:pStyle w:val="ListParagraph"/>
        <w:numPr>
          <w:ilvl w:val="0"/>
          <w:numId w:val="4"/>
        </w:numPr>
        <w:spacing w:after="160"/>
      </w:pPr>
      <w:r>
        <w:rPr>
          <w:rFonts w:ascii="Arial" w:cs="Arial" w:eastAsia="Arial" w:hAnsi="Arial"/>
          <w:sz w:val="22"/>
          <w:szCs w:val="22"/>
        </w:rPr>
        <w:t xml:space="preserve">Risk assessments and effectiveness reviews.</w:t>
      </w:r>
    </w:p>
    <w:p>
      <w:pPr>
        <w:pStyle w:val="ListParagraph"/>
        <w:numPr>
          <w:ilvl w:val="0"/>
          <w:numId w:val="4"/>
        </w:numPr>
        <w:spacing w:after="160"/>
      </w:pPr>
      <w:r>
        <w:rPr>
          <w:rFonts w:ascii="Arial" w:cs="Arial" w:eastAsia="Arial" w:hAnsi="Arial"/>
          <w:sz w:val="22"/>
          <w:szCs w:val="22"/>
        </w:rPr>
        <w:t xml:space="preserve">Training records (dates, attendees, topics).</w:t>
      </w:r>
    </w:p>
    <w:p>
      <w:pPr>
        <w:pStyle w:val="ListParagraph"/>
        <w:numPr>
          <w:ilvl w:val="0"/>
          <w:numId w:val="4"/>
        </w:numPr>
        <w:spacing w:after="160"/>
      </w:pPr>
      <w:r>
        <w:rPr>
          <w:rFonts w:ascii="Arial" w:cs="Arial" w:eastAsia="Arial" w:hAnsi="Arial"/>
          <w:sz w:val="22"/>
          <w:szCs w:val="22"/>
        </w:rPr>
        <w:t xml:space="preserve">PCMLTFA minimum retention: 5 years from the date of creation.</w:t>
      </w:r>
    </w:p>
    <w:p>
      <w:pPr>
        <w:pStyle w:val="Heading2"/>
        <w:spacing w:after="160"/>
      </w:pPr>
      <w:r>
        <w:rPr>
          <w:rFonts w:ascii="Arial" w:cs="Arial" w:eastAsia="Arial" w:hAnsi="Arial"/>
          <w:sz w:val="22"/>
          <w:szCs w:val="22"/>
        </w:rPr>
        <w:t xml:space="preserve">3.4 Audit Logs</w:t>
      </w:r>
    </w:p>
    <w:p>
      <w:pPr>
        <w:spacing w:after="160"/>
      </w:pPr>
      <w:r>
        <w:rPr>
          <w:rFonts w:ascii="Arial" w:cs="Arial" w:eastAsia="Arial" w:hAnsi="Arial"/>
          <w:sz w:val="22"/>
          <w:szCs w:val="22"/>
        </w:rPr>
        <w:t xml:space="preserve">All user actions within the Company’s web portal are logged in an immutable audit log. Audit logs are retained indefinitely and include: the user who performed the action, the action taken, the affected record, a timestamp, and any additional metadata.</w:t>
      </w:r>
    </w:p>
    <w:p>
      <w:pPr>
        <w:pStyle w:val="Heading1"/>
        <w:spacing w:after="160"/>
      </w:pPr>
      <w:r>
        <w:rPr>
          <w:rFonts w:ascii="Arial" w:cs="Arial" w:eastAsia="Arial" w:hAnsi="Arial"/>
          <w:sz w:val="22"/>
          <w:szCs w:val="22"/>
        </w:rPr>
        <w:t xml:space="preserve">4. Storage and Retrieval</w:t>
      </w:r>
    </w:p>
    <w:p>
      <w:pPr>
        <w:spacing w:after="160"/>
      </w:pPr>
      <w:r>
        <w:rPr>
          <w:rFonts w:ascii="Arial" w:cs="Arial" w:eastAsia="Arial" w:hAnsi="Arial"/>
          <w:sz w:val="22"/>
          <w:szCs w:val="22"/>
        </w:rPr>
        <w:t xml:space="preserve">All records are stored digitally in the Company’s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PostgreSQL (hosted, encrypted at rest)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File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Storage (encrypted, access-controlled)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Backups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daily backups maintained by Supabase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Retrieval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records retrievable within 30 days of any request</w:t>
            </w:r>
          </w:p>
        </w:tc>
      </w:tr>
    </w:tbl>
    <w:p>
      <w:pPr>
        <w:spacing w:after="200"/>
      </w:pPr>
    </w:p>
    <w:p>
      <w:pPr>
        <w:spacing w:after="160"/>
      </w:pPr>
      <w:r>
        <w:rPr>
          <w:rFonts w:ascii="Arial" w:cs="Arial" w:eastAsia="Arial" w:hAnsi="Arial"/>
          <w:sz w:val="22"/>
          <w:szCs w:val="22"/>
        </w:rPr>
        <w:t xml:space="preserve">In practice, most records are retrievable immediately through the Company’s web portal. The 30-day commitment accounts for potential requests involving archived or historical data that may require manual retrieval.</w:t>
      </w:r>
    </w:p>
    <w:p>
      <w:pPr>
        <w:pStyle w:val="Heading1"/>
        <w:spacing w:after="160"/>
      </w:pPr>
      <w:r>
        <w:rPr>
          <w:rFonts w:ascii="Arial" w:cs="Arial" w:eastAsia="Arial" w:hAnsi="Arial"/>
          <w:sz w:val="22"/>
          <w:szCs w:val="22"/>
        </w:rPr>
        <w:t xml:space="preserve">5. Access Controls</w:t>
      </w:r>
    </w:p>
    <w:p>
      <w:pPr>
        <w:spacing w:after="160"/>
      </w:pPr>
      <w:r>
        <w:rPr>
          <w:rFonts w:ascii="Arial" w:cs="Arial" w:eastAsia="Arial" w:hAnsi="Arial"/>
          <w:sz w:val="22"/>
          <w:szCs w:val="22"/>
        </w:rPr>
        <w:t xml:space="preserve">Access to records is restricted based on user roles. Administrators (super_admin and firm_funds_admin roles) have access to all records. Agents can only access their own records. Brokerage administrators can only access records related to their brokerage. Row Level Security (RLS) is enforced at the database level to ensure these access controls cannot be bypassed.</w:t>
      </w:r>
    </w:p>
    <w:p>
      <w:pPr>
        <w:pStyle w:val="Heading1"/>
        <w:spacing w:after="160"/>
      </w:pPr>
      <w:r>
        <w:rPr>
          <w:rFonts w:ascii="Arial" w:cs="Arial" w:eastAsia="Arial" w:hAnsi="Arial"/>
          <w:sz w:val="22"/>
          <w:szCs w:val="22"/>
        </w:rPr>
        <w:t xml:space="preserve">6. FINTRAC Requests</w:t>
      </w:r>
    </w:p>
    <w:p>
      <w:pPr>
        <w:spacing w:after="160"/>
      </w:pPr>
      <w:r>
        <w:rPr>
          <w:rFonts w:ascii="Arial" w:cs="Arial" w:eastAsia="Arial" w:hAnsi="Arial"/>
          <w:sz w:val="22"/>
          <w:szCs w:val="22"/>
        </w:rPr>
        <w:t xml:space="preserve">In the event of a request from FINTRAC for records, the Compliance Officer (Bud Jones, bud@firmfunds.ca) is responsible for coordinating the retrieval and production of requested records within the 30-day timeframe. All FINTRAC requests should be directed to the Compliance Officer immediately upon receipt.</w:t>
      </w:r>
    </w:p>
    <w:p>
      <w:pPr>
        <w:spacing w:after="400"/>
      </w:pPr>
    </w:p>
    <w:p>
      <w:pPr>
        <w:spacing w:after="300"/>
      </w:pPr>
      <w:r>
        <w:rPr>
          <w:rFonts w:ascii="Arial" w:cs="Arial" w:eastAsia="Arial" w:hAnsi="Arial"/>
          <w:b/>
          <w:bCs/>
          <w:sz w:val="22"/>
          <w:szCs w:val="22"/>
        </w:rPr>
        <w:t xml:space="preserve">APPROVED BY:</w:t>
      </w:r>
    </w:p>
    <w:p>
      <w:pPr>
        <w:spacing w:after="40"/>
      </w:pPr>
    </w:p>
    <w:p>
      <w:pPr>
        <w:spacing w:after="40"/>
      </w:pPr>
      <w:r>
        <w:rPr>
          <w:rFonts w:ascii="Arial" w:cs="Arial" w:eastAsia="Arial" w:hAnsi="Arial"/>
          <w:sz w:val="22"/>
          <w:szCs w:val="22"/>
        </w:rPr>
        <w:t xml:space="preserve">________________________________________</w:t>
      </w:r>
    </w:p>
    <w:p>
      <w:pPr>
        <w:spacing w:after="40"/>
      </w:pPr>
      <w:r>
        <w:rPr>
          <w:rFonts w:ascii="Arial" w:cs="Arial" w:eastAsia="Arial" w:hAnsi="Arial"/>
          <w:b/>
          <w:bCs/>
          <w:sz w:val="22"/>
          <w:szCs w:val="22"/>
        </w:rPr>
        <w:t xml:space="preserve">Bud Jones, Director &amp; Compliance Officer</w:t>
      </w:r>
    </w:p>
    <w:p>
      <w:pPr>
        <w:spacing w:after="40"/>
      </w:pPr>
      <w:r>
        <w:rPr>
          <w:rFonts w:ascii="Arial" w:cs="Arial" w:eastAsia="Arial" w:hAnsi="Arial"/>
          <w:sz w:val="22"/>
          <w:szCs w:val="22"/>
        </w:rPr>
        <w:t xml:space="preserve">Firm Funds Incorporated</w:t>
      </w:r>
    </w:p>
    <w:p>
      <w:pPr>
        <w:spacing w:after="160"/>
      </w:pPr>
      <w:r>
        <w:rPr>
          <w:rFonts w:ascii="Arial" w:cs="Arial" w:eastAsia="Arial" w:hAnsi="Arial"/>
          <w:sz w:val="22"/>
          <w:szCs w:val="22"/>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2026-04-03T18:15:50.775Z</dcterms:created>
  <dcterms:modified xsi:type="dcterms:W3CDTF">2026-04-03T18:15:50.775Z</dcterms:modified>
</cp:coreProperties>
</file>

<file path=docProps/custom.xml><?xml version="1.0" encoding="utf-8"?>
<Properties xmlns="http://schemas.openxmlformats.org/officeDocument/2006/custom-properties" xmlns:vt="http://schemas.openxmlformats.org/officeDocument/2006/docPropsVTypes"/>
</file>