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36"/>
          <w:szCs w:val="36"/>
        </w:rPr>
        <w:t xml:space="preserve">BROKERAGE COOPERATION AGREEMENT</w:t>
      </w:r>
    </w:p>
    <w:p>
      <w:pPr>
        <w:spacing w:after="240"/>
        <w:jc w:val="center"/>
      </w:pPr>
      <w:r>
        <w:rPr>
          <w:rFonts w:ascii="Times New Roman" w:cs="Times New Roman" w:eastAsia="Times New Roman" w:hAnsi="Times New Roman"/>
          <w:b w:val="false"/>
          <w:bCs w:val="false"/>
          <w:i/>
          <w:iCs/>
          <w:sz w:val="24"/>
          <w:szCs w:val="24"/>
        </w:rPr>
        <w:t xml:space="preserve">Commission Advance Program</w:t>
      </w:r>
    </w:p>
    <w:p>
      <w:pPr>
        <w:spacing w:after="240"/>
        <w:jc w:val="left"/>
      </w:pPr>
      <w:r>
        <w:rPr>
          <w:rFonts w:ascii="Times New Roman" w:cs="Times New Roman" w:eastAsia="Times New Roman" w:hAnsi="Times New Roman"/>
          <w:sz w:val="24"/>
          <w:szCs w:val="24"/>
        </w:rPr>
        <w:t xml:space="preserve">THIS AGREEMENT made as of the </w:t>
      </w:r>
      <w:r>
        <w:rPr>
          <w:rFonts w:ascii="Times New Roman" w:cs="Times New Roman" w:eastAsia="Times New Roman" w:hAnsi="Times New Roman"/>
          <w:b/>
          <w:bCs/>
          <w:sz w:val="24"/>
          <w:szCs w:val="24"/>
        </w:rPr>
        <w:t xml:space="preserve">{{AGREEMENT_DATE}}</w:t>
      </w:r>
      <w:r>
        <w:rPr>
          <w:rFonts w:ascii="Times New Roman" w:cs="Times New Roman" w:eastAsia="Times New Roman" w:hAnsi="Times New Roman"/>
          <w:sz w:val="24"/>
          <w:szCs w:val="24"/>
        </w:rPr>
        <w:t xml:space="preserve">.</w:t>
      </w:r>
    </w:p>
    <w:p>
      <w:pPr>
        <w:spacing w:after="120"/>
        <w:jc w:val="left"/>
      </w:pPr>
      <w:r>
        <w:rPr>
          <w:rFonts w:ascii="Times New Roman" w:cs="Times New Roman" w:eastAsia="Times New Roman" w:hAnsi="Times New Roman"/>
          <w:b/>
          <w:bCs/>
          <w:i w:val="false"/>
          <w:iCs w:val="false"/>
          <w:sz w:val="24"/>
          <w:szCs w:val="24"/>
        </w:rPr>
        <w:t xml:space="preserve">BETWEEN:</w:t>
      </w:r>
    </w:p>
    <w:p>
      <w:pPr>
        <w:spacing w:after="40"/>
        <w:ind w:left="720"/>
        <w:jc w:val="left"/>
      </w:pPr>
      <w:r>
        <w:rPr>
          <w:rFonts w:ascii="Times New Roman" w:cs="Times New Roman" w:eastAsia="Times New Roman" w:hAnsi="Times New Roman"/>
          <w:b/>
          <w:bCs/>
          <w:sz w:val="24"/>
          <w:szCs w:val="24"/>
        </w:rPr>
        <w:t xml:space="preserve">FIRM FUNDS INC.</w:t>
      </w:r>
    </w:p>
    <w:p>
      <w:pPr>
        <w:spacing w:after="40"/>
        <w:ind w:left="720"/>
        <w:jc w:val="left"/>
      </w:pPr>
      <w:r>
        <w:rPr>
          <w:rFonts w:ascii="Times New Roman" w:cs="Times New Roman" w:eastAsia="Times New Roman" w:hAnsi="Times New Roman"/>
          <w:b w:val="false"/>
          <w:bCs w:val="false"/>
          <w:i w:val="false"/>
          <w:iCs w:val="false"/>
          <w:sz w:val="24"/>
          <w:szCs w:val="24"/>
        </w:rPr>
        <w:t xml:space="preserve">a corporation incorporated under the laws of the Province of Ontario</w:t>
      </w:r>
    </w:p>
    <w:p>
      <w:pPr>
        <w:spacing w:after="200"/>
        <w:ind w:left="720"/>
        <w:jc w:val="left"/>
      </w:pPr>
      <w:r>
        <w:rPr>
          <w:rFonts w:ascii="Times New Roman" w:cs="Times New Roman" w:eastAsia="Times New Roman" w:hAnsi="Times New Roman"/>
          <w:i/>
          <w:iCs/>
          <w:sz w:val="24"/>
          <w:szCs w:val="24"/>
        </w:rPr>
        <w:t xml:space="preserve">(hereinafter called the "Purchaser" or "Firm Funds")</w:t>
      </w:r>
    </w:p>
    <w:p>
      <w:pPr>
        <w:spacing w:after="200"/>
        <w:jc w:val="center"/>
      </w:pPr>
      <w:r>
        <w:rPr>
          <w:rFonts w:ascii="Times New Roman" w:cs="Times New Roman" w:eastAsia="Times New Roman" w:hAnsi="Times New Roman"/>
          <w:b w:val="false"/>
          <w:bCs w:val="false"/>
          <w:i w:val="false"/>
          <w:iCs w:val="false"/>
          <w:sz w:val="24"/>
          <w:szCs w:val="24"/>
        </w:rPr>
        <w:t xml:space="preserve">— and —</w:t>
      </w:r>
    </w:p>
    <w:p>
      <w:pPr>
        <w:spacing w:after="40"/>
        <w:ind w:left="720"/>
        <w:jc w:val="left"/>
      </w:pPr>
      <w:r>
        <w:rPr>
          <w:rFonts w:ascii="Times New Roman" w:cs="Times New Roman" w:eastAsia="Times New Roman" w:hAnsi="Times New Roman"/>
          <w:b/>
          <w:bCs/>
          <w:sz w:val="24"/>
          <w:szCs w:val="24"/>
        </w:rPr>
        <w:t xml:space="preserve">{{BROKERAGE_LEGAL_NAME}}</w:t>
      </w:r>
    </w:p>
    <w:p>
      <w:pPr>
        <w:spacing w:after="40"/>
        <w:ind w:left="720"/>
        <w:jc w:val="left"/>
      </w:pPr>
      <w:r>
        <w:rPr>
          <w:rFonts w:ascii="Times New Roman" w:cs="Times New Roman" w:eastAsia="Times New Roman" w:hAnsi="Times New Roman"/>
          <w:b w:val="false"/>
          <w:bCs w:val="false"/>
          <w:i w:val="false"/>
          <w:iCs w:val="false"/>
          <w:sz w:val="24"/>
          <w:szCs w:val="24"/>
        </w:rPr>
        <w:t xml:space="preserve">{{BROKERAGE_ADDRESS}}</w:t>
      </w:r>
    </w:p>
    <w:p>
      <w:pPr>
        <w:spacing w:after="240"/>
        <w:ind w:left="720"/>
        <w:jc w:val="left"/>
      </w:pPr>
      <w:r>
        <w:rPr>
          <w:rFonts w:ascii="Times New Roman" w:cs="Times New Roman" w:eastAsia="Times New Roman" w:hAnsi="Times New Roman"/>
          <w:i/>
          <w:iCs/>
          <w:sz w:val="24"/>
          <w:szCs w:val="24"/>
        </w:rPr>
        <w:t xml:space="preserve">(hereinafter called the "Brokerage")</w:t>
      </w:r>
    </w:p>
    <w:p>
      <w:pPr>
        <w:spacing w:after="160"/>
        <w:jc w:val="left"/>
      </w:pPr>
      <w:r>
        <w:rPr>
          <w:rFonts w:ascii="Times New Roman" w:cs="Times New Roman" w:eastAsia="Times New Roman" w:hAnsi="Times New Roman"/>
          <w:b/>
          <w:bCs/>
          <w:i w:val="false"/>
          <w:iCs w:val="false"/>
          <w:sz w:val="28"/>
          <w:szCs w:val="28"/>
        </w:rPr>
        <w:t xml:space="preserve">RECITALS</w:t>
      </w:r>
    </w:p>
    <w:p>
      <w:pPr>
        <w:spacing w:after="120"/>
        <w:ind w:left="360"/>
        <w:jc w:val="left"/>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Brokerage is a real estate brokerage registered with the Real Estate Council of Ontario (“RECO”) and operating under the Trust in Real Estate Services Act, 2002 (Ontario);</w:t>
      </w:r>
    </w:p>
    <w:p>
      <w:pPr>
        <w:spacing w:after="120"/>
        <w:ind w:left="360"/>
        <w:jc w:val="left"/>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Brokerage employs or engages licensed real estate salespersons and brokers (collectively, “Agents”) who earn commissions on the sale of real property;</w:t>
      </w:r>
    </w:p>
    <w:p>
      <w:pPr>
        <w:spacing w:after="120"/>
        <w:ind w:left="360"/>
        <w:jc w:val="left"/>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Firm Funds is in the business of purchasing commission receivables from Agents prior to the closing of real estate transactions;</w:t>
      </w:r>
    </w:p>
    <w:p>
      <w:pPr>
        <w:spacing w:after="120"/>
        <w:ind w:left="360"/>
        <w:jc w:val="left"/>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Brokerage wishes to make the Firm Funds commission advance program available to its Agents as a value-added service;</w:t>
      </w:r>
    </w:p>
    <w:p>
      <w:pPr>
        <w:spacing w:after="120"/>
        <w:ind w:left="360"/>
        <w:jc w:val="left"/>
      </w:pPr>
      <w:r>
        <w:rPr>
          <w:rFonts w:ascii="Times New Roman" w:cs="Times New Roman" w:eastAsia="Times New Roman" w:hAnsi="Times New Roman"/>
          <w:b/>
          <w:bCs/>
          <w:sz w:val="24"/>
          <w:szCs w:val="24"/>
        </w:rPr>
        <w:t xml:space="preserve">WHEREAS </w:t>
      </w:r>
      <w:r>
        <w:rPr>
          <w:rFonts w:ascii="Times New Roman" w:cs="Times New Roman" w:eastAsia="Times New Roman" w:hAnsi="Times New Roman"/>
          <w:sz w:val="24"/>
          <w:szCs w:val="24"/>
        </w:rPr>
        <w:t xml:space="preserve">the Parties wish to establish the terms under which Firm Funds will purchase commission receivables from the Brokerage’s Agents and the Brokerage will facilitate the payment of purchased commissions directly to Firm Funds;</w:t>
      </w:r>
    </w:p>
    <w:p>
      <w:pPr>
        <w:spacing w:after="120"/>
      </w:pPr>
    </w:p>
    <w:p>
      <w:pPr>
        <w:spacing w:after="240"/>
        <w:jc w:val="left"/>
      </w:pPr>
      <w:r>
        <w:rPr>
          <w:rFonts w:ascii="Times New Roman" w:cs="Times New Roman" w:eastAsia="Times New Roman" w:hAnsi="Times New Roman"/>
          <w:b/>
          <w:bCs/>
          <w:sz w:val="24"/>
          <w:szCs w:val="24"/>
        </w:rPr>
        <w:t xml:space="preserve">NOW THEREFORE</w:t>
      </w:r>
      <w:r>
        <w:rPr>
          <w:rFonts w:ascii="Times New Roman" w:cs="Times New Roman" w:eastAsia="Times New Roman" w:hAnsi="Times New Roman"/>
          <w:sz w:val="24"/>
          <w:szCs w:val="24"/>
        </w:rPr>
        <w:t xml:space="preserve">, in consideration of the mutual covenants and agreements herein contained, the referral fees described herein, and for other good and valuable consideration, the receipt and sufficiency of which are hereby acknowledged, the Parties agree as follows:</w:t>
      </w:r>
    </w:p>
    <w:p>
      <w:pPr>
        <w:spacing w:after="120" w:before="240"/>
        <w:jc w:val="left"/>
      </w:pPr>
      <w:r>
        <w:rPr>
          <w:rFonts w:ascii="Times New Roman" w:cs="Times New Roman" w:eastAsia="Times New Roman" w:hAnsi="Times New Roman"/>
          <w:b/>
          <w:bCs/>
          <w:i w:val="false"/>
          <w:iCs w:val="false"/>
          <w:sz w:val="28"/>
          <w:szCs w:val="28"/>
        </w:rPr>
        <w:t xml:space="preserve">ARTICLE 1 — DEFINITIONS</w:t>
      </w:r>
    </w:p>
    <w:p>
      <w:pPr>
        <w:spacing w:after="100"/>
        <w:ind w:left="360"/>
        <w:jc w:val="left"/>
      </w:pPr>
      <w:r>
        <w:rPr>
          <w:rFonts w:ascii="Times New Roman" w:cs="Times New Roman" w:eastAsia="Times New Roman" w:hAnsi="Times New Roman"/>
          <w:b/>
          <w:bCs/>
          <w:sz w:val="24"/>
          <w:szCs w:val="24"/>
        </w:rPr>
        <w:t xml:space="preserve">"Agent"</w:t>
      </w:r>
      <w:r>
        <w:rPr>
          <w:rFonts w:ascii="Times New Roman" w:cs="Times New Roman" w:eastAsia="Times New Roman" w:hAnsi="Times New Roman"/>
          <w:sz w:val="24"/>
          <w:szCs w:val="24"/>
        </w:rPr>
        <w:t xml:space="preserve"> means a real estate salesperson or broker registered with RECO and affiliated with the Brokerage;</w:t>
      </w:r>
    </w:p>
    <w:p>
      <w:pPr>
        <w:spacing w:after="100"/>
        <w:ind w:left="360"/>
        <w:jc w:val="left"/>
      </w:pPr>
      <w:r>
        <w:rPr>
          <w:rFonts w:ascii="Times New Roman" w:cs="Times New Roman" w:eastAsia="Times New Roman" w:hAnsi="Times New Roman"/>
          <w:b/>
          <w:bCs/>
          <w:sz w:val="24"/>
          <w:szCs w:val="24"/>
        </w:rPr>
        <w:t xml:space="preserve">"Commission"</w:t>
      </w:r>
      <w:r>
        <w:rPr>
          <w:rFonts w:ascii="Times New Roman" w:cs="Times New Roman" w:eastAsia="Times New Roman" w:hAnsi="Times New Roman"/>
          <w:sz w:val="24"/>
          <w:szCs w:val="24"/>
        </w:rPr>
        <w:t xml:space="preserve"> means the gross or net commission payable to an Agent on the closing of a Real Estate Transaction, as determined by the Brokerage’s commission split arrangement with the Agent;</w:t>
      </w:r>
    </w:p>
    <w:p>
      <w:pPr>
        <w:spacing w:after="100"/>
        <w:ind w:left="360"/>
        <w:jc w:val="left"/>
      </w:pPr>
      <w:r>
        <w:rPr>
          <w:rFonts w:ascii="Times New Roman" w:cs="Times New Roman" w:eastAsia="Times New Roman" w:hAnsi="Times New Roman"/>
          <w:b/>
          <w:bCs/>
          <w:sz w:val="24"/>
          <w:szCs w:val="24"/>
        </w:rPr>
        <w:t xml:space="preserve">"Commission Purchase Agreement" or "CPA"</w:t>
      </w:r>
      <w:r>
        <w:rPr>
          <w:rFonts w:ascii="Times New Roman" w:cs="Times New Roman" w:eastAsia="Times New Roman" w:hAnsi="Times New Roman"/>
          <w:sz w:val="24"/>
          <w:szCs w:val="24"/>
        </w:rPr>
        <w:t xml:space="preserve"> means the agreement between Firm Funds and an Agent for the purchase of a specific commission receivable;</w:t>
      </w:r>
    </w:p>
    <w:p>
      <w:pPr>
        <w:spacing w:after="100"/>
        <w:ind w:left="360"/>
        <w:jc w:val="left"/>
      </w:pPr>
      <w:r>
        <w:rPr>
          <w:rFonts w:ascii="Times New Roman" w:cs="Times New Roman" w:eastAsia="Times New Roman" w:hAnsi="Times New Roman"/>
          <w:b/>
          <w:bCs/>
          <w:sz w:val="24"/>
          <w:szCs w:val="24"/>
        </w:rPr>
        <w:t xml:space="preserve">"Irrevocable Direction to Pay" or "IDP"</w:t>
      </w:r>
      <w:r>
        <w:rPr>
          <w:rFonts w:ascii="Times New Roman" w:cs="Times New Roman" w:eastAsia="Times New Roman" w:hAnsi="Times New Roman"/>
          <w:sz w:val="24"/>
          <w:szCs w:val="24"/>
        </w:rPr>
        <w:t xml:space="preserve"> means the irrevocable direction executed by an Agent directing the Brokerage to pay all or a portion of the Agent’s commission directly to Firm Funds upon closing;</w:t>
      </w:r>
    </w:p>
    <w:p>
      <w:pPr>
        <w:spacing w:after="100"/>
        <w:ind w:left="360"/>
        <w:jc w:val="left"/>
      </w:pPr>
      <w:r>
        <w:rPr>
          <w:rFonts w:ascii="Times New Roman" w:cs="Times New Roman" w:eastAsia="Times New Roman" w:hAnsi="Times New Roman"/>
          <w:b/>
          <w:bCs/>
          <w:sz w:val="24"/>
          <w:szCs w:val="24"/>
        </w:rPr>
        <w:t xml:space="preserve">"Program"</w:t>
      </w:r>
      <w:r>
        <w:rPr>
          <w:rFonts w:ascii="Times New Roman" w:cs="Times New Roman" w:eastAsia="Times New Roman" w:hAnsi="Times New Roman"/>
          <w:sz w:val="24"/>
          <w:szCs w:val="24"/>
        </w:rPr>
        <w:t xml:space="preserve"> means the Firm Funds commission advance program described in this Agreement;</w:t>
      </w:r>
    </w:p>
    <w:p>
      <w:pPr>
        <w:spacing w:after="100"/>
        <w:ind w:left="360"/>
        <w:jc w:val="left"/>
      </w:pPr>
      <w:r>
        <w:rPr>
          <w:rFonts w:ascii="Times New Roman" w:cs="Times New Roman" w:eastAsia="Times New Roman" w:hAnsi="Times New Roman"/>
          <w:b/>
          <w:bCs/>
          <w:sz w:val="24"/>
          <w:szCs w:val="24"/>
        </w:rPr>
        <w:t xml:space="preserve">"Real Estate Transaction"</w:t>
      </w:r>
      <w:r>
        <w:rPr>
          <w:rFonts w:ascii="Times New Roman" w:cs="Times New Roman" w:eastAsia="Times New Roman" w:hAnsi="Times New Roman"/>
          <w:sz w:val="24"/>
          <w:szCs w:val="24"/>
        </w:rPr>
        <w:t xml:space="preserve"> means a transaction for the purchase and sale of real property in which an Agent has earned a commission;</w:t>
      </w:r>
    </w:p>
    <w:p>
      <w:pPr>
        <w:spacing w:after="100"/>
        <w:ind w:left="360"/>
        <w:jc w:val="left"/>
      </w:pPr>
      <w:r>
        <w:rPr>
          <w:rFonts w:ascii="Times New Roman" w:cs="Times New Roman" w:eastAsia="Times New Roman" w:hAnsi="Times New Roman"/>
          <w:b/>
          <w:bCs/>
          <w:sz w:val="24"/>
          <w:szCs w:val="24"/>
        </w:rPr>
        <w:t xml:space="preserve">"Referral Fee"</w:t>
      </w:r>
      <w:r>
        <w:rPr>
          <w:rFonts w:ascii="Times New Roman" w:cs="Times New Roman" w:eastAsia="Times New Roman" w:hAnsi="Times New Roman"/>
          <w:sz w:val="24"/>
          <w:szCs w:val="24"/>
        </w:rPr>
        <w:t xml:space="preserve"> means the fee payable by Firm Funds to the Brokerage as described in Article 5;</w:t>
      </w:r>
    </w:p>
    <w:p>
      <w:pPr>
        <w:spacing w:after="100"/>
        <w:ind w:left="360"/>
        <w:jc w:val="left"/>
      </w:pPr>
      <w:r>
        <w:rPr>
          <w:rFonts w:ascii="Times New Roman" w:cs="Times New Roman" w:eastAsia="Times New Roman" w:hAnsi="Times New Roman"/>
          <w:b/>
          <w:bCs/>
          <w:sz w:val="24"/>
          <w:szCs w:val="24"/>
        </w:rPr>
        <w:t xml:space="preserve">"Trust Account"</w:t>
      </w:r>
      <w:r>
        <w:rPr>
          <w:rFonts w:ascii="Times New Roman" w:cs="Times New Roman" w:eastAsia="Times New Roman" w:hAnsi="Times New Roman"/>
          <w:sz w:val="24"/>
          <w:szCs w:val="24"/>
        </w:rPr>
        <w:t xml:space="preserve"> means the Brokerage’s real estate trust account maintained in accordance with the Trust in Real Estate Services Act, 2002 and RECO regulations.</w:t>
      </w:r>
    </w:p>
    <w:p>
      <w:pPr>
        <w:spacing w:after="120" w:before="240"/>
        <w:jc w:val="left"/>
      </w:pPr>
      <w:r>
        <w:rPr>
          <w:rFonts w:ascii="Times New Roman" w:cs="Times New Roman" w:eastAsia="Times New Roman" w:hAnsi="Times New Roman"/>
          <w:b/>
          <w:bCs/>
          <w:i w:val="false"/>
          <w:iCs w:val="false"/>
          <w:sz w:val="28"/>
          <w:szCs w:val="28"/>
        </w:rPr>
        <w:t xml:space="preserve">ARTICLE 2 — PROGRAM OVERVIEW</w:t>
      </w:r>
    </w:p>
    <w:p>
      <w:pPr>
        <w:spacing w:after="60" w:before="120"/>
        <w:jc w:val="left"/>
      </w:pPr>
      <w:r>
        <w:rPr>
          <w:rFonts w:ascii="Times New Roman" w:cs="Times New Roman" w:eastAsia="Times New Roman" w:hAnsi="Times New Roman"/>
          <w:b/>
          <w:bCs/>
          <w:sz w:val="24"/>
          <w:szCs w:val="24"/>
        </w:rPr>
        <w:t xml:space="preserve">2.1 Commission Advance Program.</w:t>
      </w:r>
    </w:p>
    <w:p>
      <w:pPr>
        <w:spacing w:after="120"/>
        <w:ind w:left="360"/>
        <w:jc w:val="left"/>
      </w:pPr>
      <w:r>
        <w:rPr>
          <w:rFonts w:ascii="Times New Roman" w:cs="Times New Roman" w:eastAsia="Times New Roman" w:hAnsi="Times New Roman"/>
          <w:b w:val="false"/>
          <w:bCs w:val="false"/>
          <w:i w:val="false"/>
          <w:iCs w:val="false"/>
          <w:sz w:val="24"/>
          <w:szCs w:val="24"/>
        </w:rPr>
        <w:t xml:space="preserve">Firm Funds offers a commission advance program under which it purchases commission receivables from Agents prior to the closing of their real estate transactions. The Brokerage agrees to participate in the Program and to facilitate the payment of purchased commissions in accordance with this Agreement.</w:t>
      </w:r>
    </w:p>
    <w:p>
      <w:pPr>
        <w:spacing w:after="60" w:before="120"/>
        <w:jc w:val="left"/>
      </w:pPr>
      <w:r>
        <w:rPr>
          <w:rFonts w:ascii="Times New Roman" w:cs="Times New Roman" w:eastAsia="Times New Roman" w:hAnsi="Times New Roman"/>
          <w:b/>
          <w:bCs/>
          <w:sz w:val="24"/>
          <w:szCs w:val="24"/>
        </w:rPr>
        <w:t xml:space="preserve">2.2 Agent Participation.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Participation in the Program is voluntary for each Agent. Firm Funds will independently assess each Agent and each commission receivable and may accept or decline any application at its sole discretion.</w:t>
      </w:r>
    </w:p>
    <w:p>
      <w:pPr>
        <w:spacing w:after="60" w:before="120"/>
        <w:jc w:val="left"/>
      </w:pPr>
      <w:r>
        <w:rPr>
          <w:rFonts w:ascii="Times New Roman" w:cs="Times New Roman" w:eastAsia="Times New Roman" w:hAnsi="Times New Roman"/>
          <w:b/>
          <w:bCs/>
          <w:sz w:val="24"/>
          <w:szCs w:val="24"/>
        </w:rPr>
        <w:t xml:space="preserve">2.3 No Obligation to Advance.</w:t>
      </w:r>
    </w:p>
    <w:p>
      <w:pPr>
        <w:spacing w:after="120"/>
        <w:ind w:left="360"/>
        <w:jc w:val="left"/>
      </w:pPr>
      <w:r>
        <w:rPr>
          <w:rFonts w:ascii="Times New Roman" w:cs="Times New Roman" w:eastAsia="Times New Roman" w:hAnsi="Times New Roman"/>
          <w:b w:val="false"/>
          <w:bCs w:val="false"/>
          <w:i w:val="false"/>
          <w:iCs w:val="false"/>
          <w:sz w:val="24"/>
          <w:szCs w:val="24"/>
        </w:rPr>
        <w:t xml:space="preserve">Nothing in this Agreement obligates Firm Funds to purchase any particular commission receivable or to make any advance to any Agent. Firm Funds retains absolute discretion over its underwriting and approval decisions.</w:t>
      </w:r>
    </w:p>
    <w:p>
      <w:pPr>
        <w:spacing w:after="60" w:before="120"/>
        <w:jc w:val="left"/>
      </w:pPr>
      <w:r>
        <w:rPr>
          <w:rFonts w:ascii="Times New Roman" w:cs="Times New Roman" w:eastAsia="Times New Roman" w:hAnsi="Times New Roman"/>
          <w:b/>
          <w:bCs/>
          <w:sz w:val="24"/>
          <w:szCs w:val="24"/>
        </w:rPr>
        <w:t xml:space="preserve">2.4 Agent Agreements.</w:t>
      </w:r>
    </w:p>
    <w:p>
      <w:pPr>
        <w:spacing w:after="120"/>
        <w:ind w:left="360"/>
        <w:jc w:val="left"/>
      </w:pPr>
      <w:r>
        <w:rPr>
          <w:rFonts w:ascii="Times New Roman" w:cs="Times New Roman" w:eastAsia="Times New Roman" w:hAnsi="Times New Roman"/>
          <w:b w:val="false"/>
          <w:bCs w:val="false"/>
          <w:i w:val="false"/>
          <w:iCs w:val="false"/>
          <w:sz w:val="24"/>
          <w:szCs w:val="24"/>
        </w:rPr>
        <w:t xml:space="preserve">Each commission purchase will be governed by a separate Commission Purchase Agreement and Irrevocable Direction to Pay between Firm Funds and the Agent. The Brokerage is not a party to the CPA. The Brokerage’s obligations under this Agreement relate solely to the honouring of IDPs and the facilitation of the Program.</w:t>
      </w:r>
    </w:p>
    <w:p>
      <w:pPr>
        <w:spacing w:after="120" w:before="240"/>
        <w:jc w:val="left"/>
      </w:pPr>
      <w:r>
        <w:rPr>
          <w:rFonts w:ascii="Times New Roman" w:cs="Times New Roman" w:eastAsia="Times New Roman" w:hAnsi="Times New Roman"/>
          <w:b/>
          <w:bCs/>
          <w:i w:val="false"/>
          <w:iCs w:val="false"/>
          <w:sz w:val="28"/>
          <w:szCs w:val="28"/>
        </w:rPr>
        <w:t xml:space="preserve">ARTICLE 3 — BROKERAGE OBLIGATIONS</w:t>
      </w:r>
    </w:p>
    <w:p>
      <w:pPr>
        <w:spacing w:after="80" w:before="120"/>
        <w:jc w:val="left"/>
      </w:pPr>
      <w:r>
        <w:rPr>
          <w:rFonts w:ascii="Times New Roman" w:cs="Times New Roman" w:eastAsia="Times New Roman" w:hAnsi="Times New Roman"/>
          <w:b/>
          <w:bCs/>
          <w:sz w:val="24"/>
          <w:szCs w:val="24"/>
        </w:rPr>
        <w:t xml:space="preserve">3.1 Honouring Irrevocable Directions to Pay.</w:t>
      </w:r>
      <w:r>
        <w:rPr>
          <w:rFonts w:ascii="Times New Roman" w:cs="Times New Roman" w:eastAsia="Times New Roman" w:hAnsi="Times New Roman"/>
          <w:sz w:val="24"/>
          <w:szCs w:val="24"/>
        </w:rPr>
        <w:t xml:space="preserve"> The Brokerage agrees to honour each valid IDP received from an Agent affiliated with the Brokerage by:</w:t>
      </w:r>
    </w:p>
    <w:p>
      <w:pPr>
        <w:spacing w:after="80"/>
        <w:ind w:left="720" w:hanging="360"/>
        <w:jc w:val="left"/>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paying the Directed Amount specified in the IDP directly to Firm Funds from the Brokerage’s Trust Account upon closing of the applicable Real Estate Transaction;</w:t>
      </w:r>
    </w:p>
    <w:p>
      <w:pPr>
        <w:spacing w:after="80"/>
        <w:ind w:left="720" w:hanging="360"/>
        <w:jc w:val="left"/>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remitting payment to Firm Funds by electronic funds transfer within five (5) business days of closing;</w:t>
      </w:r>
    </w:p>
    <w:p>
      <w:pPr>
        <w:spacing w:after="80"/>
        <w:ind w:left="720" w:hanging="360"/>
        <w:jc w:val="left"/>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not releasing any portion of the Directed Amount to the Agent or any other party without the prior written consent of Firm Funds; and</w:t>
      </w:r>
    </w:p>
    <w:p>
      <w:pPr>
        <w:spacing w:after="80"/>
        <w:ind w:left="720" w:hanging="360"/>
        <w:jc w:val="left"/>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if the Directed Amount exceeds the commission actually payable to the Agent (after the Brokerage’s commission split), paying the lesser of the Directed Amount and the commission actually payable.</w:t>
      </w:r>
    </w:p>
    <w:p>
      <w:pPr>
        <w:spacing w:after="120"/>
      </w:pPr>
    </w:p>
    <w:p>
      <w:pPr>
        <w:spacing w:after="60" w:before="120"/>
        <w:jc w:val="left"/>
      </w:pPr>
      <w:r>
        <w:rPr>
          <w:rFonts w:ascii="Times New Roman" w:cs="Times New Roman" w:eastAsia="Times New Roman" w:hAnsi="Times New Roman"/>
          <w:b/>
          <w:bCs/>
          <w:sz w:val="24"/>
          <w:szCs w:val="24"/>
        </w:rPr>
        <w:t xml:space="preserve">3.2 IDP Acknowledgment Process.</w:t>
      </w:r>
    </w:p>
    <w:p>
      <w:pPr>
        <w:spacing w:after="120"/>
        <w:ind w:left="360"/>
        <w:jc w:val="left"/>
      </w:pPr>
      <w:r>
        <w:rPr>
          <w:rFonts w:ascii="Times New Roman" w:cs="Times New Roman" w:eastAsia="Times New Roman" w:hAnsi="Times New Roman"/>
          <w:b w:val="false"/>
          <w:bCs w:val="false"/>
          <w:i w:val="false"/>
          <w:iCs w:val="false"/>
          <w:sz w:val="24"/>
          <w:szCs w:val="24"/>
        </w:rPr>
        <w:t xml:space="preserve">Upon receipt of an IDP, the Brokerage shall review the IDP and, if the Agent is in good standing and the underlying Real Estate Transaction is verified, acknowledge receipt of the IDP through the Firm Funds online portal at firmfunds.ca or by email to bud@firmfunds.ca. The Brokerage is not required to execute a separate acknowledgment signature for each IDP, as this Agreement constitutes the Brokerage’s standing authorization to honour IDPs from its affiliated Agents.</w:t>
      </w:r>
    </w:p>
    <w:p>
      <w:pPr>
        <w:spacing w:after="80" w:before="120"/>
        <w:jc w:val="left"/>
      </w:pPr>
      <w:r>
        <w:rPr>
          <w:rFonts w:ascii="Times New Roman" w:cs="Times New Roman" w:eastAsia="Times New Roman" w:hAnsi="Times New Roman"/>
          <w:b/>
          <w:bCs/>
          <w:sz w:val="24"/>
          <w:szCs w:val="24"/>
        </w:rPr>
        <w:t xml:space="preserve">3.3 Notification Obligations.</w:t>
      </w:r>
      <w:r>
        <w:rPr>
          <w:rFonts w:ascii="Times New Roman" w:cs="Times New Roman" w:eastAsia="Times New Roman" w:hAnsi="Times New Roman"/>
          <w:sz w:val="24"/>
          <w:szCs w:val="24"/>
        </w:rPr>
        <w:t xml:space="preserve"> The Brokerage shall promptly notify Firm Funds in writing if:</w:t>
      </w:r>
    </w:p>
    <w:p>
      <w:pPr>
        <w:spacing w:after="80"/>
        <w:ind w:left="720" w:hanging="360"/>
        <w:jc w:val="left"/>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the Brokerage becomes aware that a Real Estate Transaction for which an IDP has been received is unlikely to close, has been terminated, or has had its closing date changed;</w:t>
      </w:r>
    </w:p>
    <w:p>
      <w:pPr>
        <w:spacing w:after="80"/>
        <w:ind w:left="720" w:hanging="360"/>
        <w:jc w:val="left"/>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an Agent for whom an IDP has been received ceases to be affiliated with the Brokerage, is suspended, or has their registration revoked by RECO;</w:t>
      </w:r>
    </w:p>
    <w:p>
      <w:pPr>
        <w:spacing w:after="80"/>
        <w:ind w:left="720" w:hanging="360"/>
        <w:jc w:val="left"/>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the Brokerage becomes aware of any claim, dispute, or legal proceeding that may affect the payment of a commission subject to an IDP;</w:t>
      </w:r>
    </w:p>
    <w:p>
      <w:pPr>
        <w:spacing w:after="80"/>
        <w:ind w:left="720" w:hanging="360"/>
        <w:jc w:val="left"/>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the Brokerage receives a competing direction, assignment, or garnishment order in respect of a commission subject to an IDP; or</w:t>
      </w:r>
    </w:p>
    <w:p>
      <w:pPr>
        <w:spacing w:after="80"/>
        <w:ind w:left="720" w:hanging="360"/>
        <w:jc w:val="left"/>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the Brokerage intends to withhold, offset, or reduce any commission payment for any reason (including chargebacks, desk fees, errors &amp; omissions insurance, or other deductions).</w:t>
      </w:r>
    </w:p>
    <w:p>
      <w:pPr>
        <w:spacing w:after="120"/>
      </w:pPr>
    </w:p>
    <w:p>
      <w:pPr>
        <w:spacing w:after="60" w:before="120"/>
        <w:jc w:val="left"/>
      </w:pPr>
      <w:r>
        <w:rPr>
          <w:rFonts w:ascii="Times New Roman" w:cs="Times New Roman" w:eastAsia="Times New Roman" w:hAnsi="Times New Roman"/>
          <w:b/>
          <w:bCs/>
          <w:sz w:val="24"/>
          <w:szCs w:val="24"/>
        </w:rPr>
        <w:t xml:space="preserve">3.4 Priority of IDPs.</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Brokerage acknowledges that an IDP constitutes an irrevocable direction from the Agent and shall take priority over any subsequent direction from the Agent regarding the disposition of the Directed Amount. If the Brokerage receives conflicting instructions from an Agent regarding a commission subject to an IDP, the Brokerage shall honour the IDP and notify Firm Funds immediately.</w:t>
      </w:r>
    </w:p>
    <w:p>
      <w:pPr>
        <w:spacing w:after="60" w:before="120"/>
        <w:jc w:val="left"/>
      </w:pPr>
      <w:r>
        <w:rPr>
          <w:rFonts w:ascii="Times New Roman" w:cs="Times New Roman" w:eastAsia="Times New Roman" w:hAnsi="Times New Roman"/>
          <w:b/>
          <w:bCs/>
          <w:sz w:val="24"/>
          <w:szCs w:val="24"/>
        </w:rPr>
        <w:t xml:space="preserve">3.5 Record Access.</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Brokerage shall, upon reasonable request from Firm Funds and with the written consent of the applicable Agent, provide Firm Funds with confirmation of the trade record, commission split, and expected closing date for any Real Estate Transaction subject to an IDP.</w:t>
      </w:r>
    </w:p>
    <w:p>
      <w:pPr>
        <w:spacing w:after="120" w:before="240"/>
        <w:jc w:val="left"/>
      </w:pPr>
      <w:r>
        <w:rPr>
          <w:rFonts w:ascii="Times New Roman" w:cs="Times New Roman" w:eastAsia="Times New Roman" w:hAnsi="Times New Roman"/>
          <w:b/>
          <w:bCs/>
          <w:i w:val="false"/>
          <w:iCs w:val="false"/>
          <w:sz w:val="28"/>
          <w:szCs w:val="28"/>
        </w:rPr>
        <w:t xml:space="preserve">ARTICLE 4 — FIRM FUNDS OBLIGATIONS</w:t>
      </w:r>
    </w:p>
    <w:p>
      <w:pPr>
        <w:spacing w:after="80"/>
        <w:jc w:val="left"/>
      </w:pPr>
      <w:r>
        <w:rPr>
          <w:rFonts w:ascii="Times New Roman" w:cs="Times New Roman" w:eastAsia="Times New Roman" w:hAnsi="Times New Roman"/>
          <w:b/>
          <w:bCs/>
          <w:sz w:val="24"/>
          <w:szCs w:val="24"/>
        </w:rPr>
        <w:t xml:space="preserve">4.1</w:t>
      </w:r>
      <w:r>
        <w:rPr>
          <w:rFonts w:ascii="Times New Roman" w:cs="Times New Roman" w:eastAsia="Times New Roman" w:hAnsi="Times New Roman"/>
          <w:sz w:val="24"/>
          <w:szCs w:val="24"/>
        </w:rPr>
        <w:t xml:space="preserve"> Firm Funds shall:</w:t>
      </w:r>
    </w:p>
    <w:p>
      <w:pPr>
        <w:spacing w:after="80"/>
        <w:ind w:left="720" w:hanging="360"/>
        <w:jc w:val="left"/>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conduct its own underwriting and due diligence on each Agent and each commission receivable before purchasing;</w:t>
      </w:r>
    </w:p>
    <w:p>
      <w:pPr>
        <w:spacing w:after="80"/>
        <w:ind w:left="720" w:hanging="360"/>
        <w:jc w:val="left"/>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provide the Brokerage with a copy of each IDP promptly upon execution by the Agent;</w:t>
      </w:r>
    </w:p>
    <w:p>
      <w:pPr>
        <w:spacing w:after="80"/>
        <w:ind w:left="720" w:hanging="360"/>
        <w:jc w:val="left"/>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maintain accurate records of all commission purchases and IDPs;</w:t>
      </w:r>
    </w:p>
    <w:p>
      <w:pPr>
        <w:spacing w:after="80"/>
        <w:ind w:left="720" w:hanging="360"/>
        <w:jc w:val="left"/>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pay referral fees to the Brokerage in accordance with Article 5;</w:t>
      </w:r>
    </w:p>
    <w:p>
      <w:pPr>
        <w:spacing w:after="80"/>
        <w:ind w:left="720" w:hanging="360"/>
        <w:jc w:val="left"/>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comply with all applicable laws, including FINTRAC requirements for anti-money laundering and identity verification; and</w:t>
      </w:r>
    </w:p>
    <w:p>
      <w:pPr>
        <w:spacing w:after="80"/>
        <w:ind w:left="720" w:hanging="360"/>
        <w:jc w:val="left"/>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not represent to any Agent or third party that the Brokerage has endorsed, guaranteed, or underwritten any commission advance.</w:t>
      </w:r>
    </w:p>
    <w:p>
      <w:pPr>
        <w:spacing w:after="120" w:before="240"/>
        <w:jc w:val="left"/>
      </w:pPr>
      <w:r>
        <w:rPr>
          <w:rFonts w:ascii="Times New Roman" w:cs="Times New Roman" w:eastAsia="Times New Roman" w:hAnsi="Times New Roman"/>
          <w:b/>
          <w:bCs/>
          <w:i w:val="false"/>
          <w:iCs w:val="false"/>
          <w:sz w:val="28"/>
          <w:szCs w:val="28"/>
        </w:rPr>
        <w:t xml:space="preserve">ARTICLE 5 — REFERRAL FEES</w:t>
      </w:r>
    </w:p>
    <w:p>
      <w:pPr>
        <w:spacing w:after="60" w:before="120"/>
        <w:jc w:val="left"/>
      </w:pPr>
      <w:r>
        <w:rPr>
          <w:rFonts w:ascii="Times New Roman" w:cs="Times New Roman" w:eastAsia="Times New Roman" w:hAnsi="Times New Roman"/>
          <w:b/>
          <w:bCs/>
          <w:sz w:val="24"/>
          <w:szCs w:val="24"/>
        </w:rPr>
        <w:t xml:space="preserve">5.1 Referral Fee.</w:t>
      </w:r>
    </w:p>
    <w:p>
      <w:pPr>
        <w:spacing w:after="120"/>
        <w:ind w:left="360"/>
        <w:jc w:val="left"/>
      </w:pPr>
      <w:r>
        <w:rPr>
          <w:rFonts w:ascii="Times New Roman" w:cs="Times New Roman" w:eastAsia="Times New Roman" w:hAnsi="Times New Roman"/>
          <w:b w:val="false"/>
          <w:bCs w:val="false"/>
          <w:i w:val="false"/>
          <w:iCs w:val="false"/>
          <w:sz w:val="24"/>
          <w:szCs w:val="24"/>
        </w:rPr>
        <w:t xml:space="preserve">In consideration of the Brokerage’s participation in the Program and its cooperation in honouring IDPs, Firm Funds shall pay the Brokerage a referral fee (the "Referral Fee") for each commission successfully collected by Firm Funds through the Program.</w:t>
      </w:r>
    </w:p>
    <w:p>
      <w:pPr>
        <w:spacing w:after="60" w:before="120"/>
        <w:jc w:val="left"/>
      </w:pPr>
      <w:r>
        <w:rPr>
          <w:rFonts w:ascii="Times New Roman" w:cs="Times New Roman" w:eastAsia="Times New Roman" w:hAnsi="Times New Roman"/>
          <w:b/>
          <w:bCs/>
          <w:sz w:val="24"/>
          <w:szCs w:val="24"/>
        </w:rPr>
        <w:t xml:space="preserve">5.2 Referral Fee Rate.</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Referral Fee shall be calculated as a percentage of the Purchase Discount (the fee charged by Firm Funds to the Agent) for each transaction, as set out in Schedule “A” to this Agreement. The Referral Fee rate may be amended from time to time by mutual written agreement of the Parties.</w:t>
      </w:r>
    </w:p>
    <w:p>
      <w:pPr>
        <w:spacing w:after="60" w:before="120"/>
        <w:jc w:val="left"/>
      </w:pPr>
      <w:r>
        <w:rPr>
          <w:rFonts w:ascii="Times New Roman" w:cs="Times New Roman" w:eastAsia="Times New Roman" w:hAnsi="Times New Roman"/>
          <w:b/>
          <w:bCs/>
          <w:sz w:val="24"/>
          <w:szCs w:val="24"/>
        </w:rPr>
        <w:t xml:space="preserve">5.3 Payment of Referral Fees.</w:t>
      </w:r>
    </w:p>
    <w:p>
      <w:pPr>
        <w:spacing w:after="120"/>
        <w:ind w:left="360"/>
        <w:jc w:val="left"/>
      </w:pPr>
      <w:r>
        <w:rPr>
          <w:rFonts w:ascii="Times New Roman" w:cs="Times New Roman" w:eastAsia="Times New Roman" w:hAnsi="Times New Roman"/>
          <w:b w:val="false"/>
          <w:bCs w:val="false"/>
          <w:i w:val="false"/>
          <w:iCs w:val="false"/>
          <w:sz w:val="24"/>
          <w:szCs w:val="24"/>
        </w:rPr>
        <w:t xml:space="preserve">Referral Fees shall be calculated and reported monthly through the Firm Funds online portal. Payment shall be made by electronic funds transfer within fifteen (15) business days of the end of each calendar month for all commissions collected during that month.</w:t>
      </w:r>
    </w:p>
    <w:p>
      <w:pPr>
        <w:spacing w:after="60" w:before="120"/>
        <w:jc w:val="left"/>
      </w:pPr>
      <w:r>
        <w:rPr>
          <w:rFonts w:ascii="Times New Roman" w:cs="Times New Roman" w:eastAsia="Times New Roman" w:hAnsi="Times New Roman"/>
          <w:b/>
          <w:bCs/>
          <w:sz w:val="24"/>
          <w:szCs w:val="24"/>
        </w:rPr>
        <w:t xml:space="preserve">5.4 No Referral Fee on Non-Collection.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No Referral Fee shall be payable in respect of any commission that is not collected by Firm Funds, regardless of the reason for non-collection.</w:t>
      </w:r>
    </w:p>
    <w:p>
      <w:pPr>
        <w:spacing w:after="120" w:before="240"/>
        <w:jc w:val="left"/>
      </w:pPr>
      <w:r>
        <w:rPr>
          <w:rFonts w:ascii="Times New Roman" w:cs="Times New Roman" w:eastAsia="Times New Roman" w:hAnsi="Times New Roman"/>
          <w:b/>
          <w:bCs/>
          <w:i w:val="false"/>
          <w:iCs w:val="false"/>
          <w:sz w:val="28"/>
          <w:szCs w:val="28"/>
        </w:rPr>
        <w:t xml:space="preserve">ARTICLE 6 — TRUST ACCOUNT COMPLIANCE</w:t>
      </w:r>
    </w:p>
    <w:p>
      <w:pPr>
        <w:spacing w:after="60" w:before="120"/>
        <w:jc w:val="left"/>
      </w:pPr>
      <w:r>
        <w:rPr>
          <w:rFonts w:ascii="Times New Roman" w:cs="Times New Roman" w:eastAsia="Times New Roman" w:hAnsi="Times New Roman"/>
          <w:b/>
          <w:bCs/>
          <w:sz w:val="24"/>
          <w:szCs w:val="24"/>
        </w:rPr>
        <w:t xml:space="preserve">6.1</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Parties acknowledge that all commissions are held in the Brokerage’s Trust Account in accordance with the Trust in Real Estate Services Act, 2002 and RECO regulations. Nothing in this Agreement shall require the Brokerage to act in a manner that is inconsistent with its obligations under applicable law or RECO regulations regarding the administration of its Trust Account.</w:t>
      </w:r>
    </w:p>
    <w:p>
      <w:pPr>
        <w:spacing w:after="60" w:before="120"/>
        <w:jc w:val="left"/>
      </w:pPr>
      <w:r>
        <w:rPr>
          <w:rFonts w:ascii="Times New Roman" w:cs="Times New Roman" w:eastAsia="Times New Roman" w:hAnsi="Times New Roman"/>
          <w:b/>
          <w:bCs/>
          <w:sz w:val="24"/>
          <w:szCs w:val="24"/>
        </w:rPr>
        <w:t xml:space="preserve">6.2</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Brokerage shall maintain its Trust Account in compliance with all applicable laws and RECO regulations at all times during the term of this Agreement.</w:t>
      </w:r>
    </w:p>
    <w:p>
      <w:pPr>
        <w:spacing w:after="60" w:before="120"/>
        <w:jc w:val="left"/>
      </w:pPr>
      <w:r>
        <w:rPr>
          <w:rFonts w:ascii="Times New Roman" w:cs="Times New Roman" w:eastAsia="Times New Roman" w:hAnsi="Times New Roman"/>
          <w:b/>
          <w:bCs/>
          <w:sz w:val="24"/>
          <w:szCs w:val="24"/>
        </w:rPr>
        <w:t xml:space="preserve">6.3</w:t>
      </w:r>
    </w:p>
    <w:p>
      <w:pPr>
        <w:spacing w:after="120"/>
        <w:ind w:left="360"/>
        <w:jc w:val="left"/>
      </w:pPr>
      <w:r>
        <w:rPr>
          <w:rFonts w:ascii="Times New Roman" w:cs="Times New Roman" w:eastAsia="Times New Roman" w:hAnsi="Times New Roman"/>
          <w:b w:val="false"/>
          <w:bCs w:val="false"/>
          <w:i w:val="false"/>
          <w:iCs w:val="false"/>
          <w:sz w:val="24"/>
          <w:szCs w:val="24"/>
        </w:rPr>
        <w:t xml:space="preserve">If the Brokerage is required by law, court order, or regulatory direction to withhold, freeze, or pay a commission subject to an IDP to a party other than Firm Funds, the Brokerage shall notify Firm Funds immediately and provide copies of any relevant court order or regulatory direction.</w:t>
      </w:r>
    </w:p>
    <w:p>
      <w:pPr>
        <w:spacing w:after="120" w:before="240"/>
        <w:jc w:val="left"/>
      </w:pPr>
      <w:r>
        <w:rPr>
          <w:rFonts w:ascii="Times New Roman" w:cs="Times New Roman" w:eastAsia="Times New Roman" w:hAnsi="Times New Roman"/>
          <w:b/>
          <w:bCs/>
          <w:i w:val="false"/>
          <w:iCs w:val="false"/>
          <w:sz w:val="28"/>
          <w:szCs w:val="28"/>
        </w:rPr>
        <w:t xml:space="preserve">ARTICLE 7 — AGENT STATUS AND FLAGGING</w:t>
      </w:r>
    </w:p>
    <w:p>
      <w:pPr>
        <w:spacing w:after="60" w:before="120"/>
        <w:jc w:val="left"/>
      </w:pPr>
      <w:r>
        <w:rPr>
          <w:rFonts w:ascii="Times New Roman" w:cs="Times New Roman" w:eastAsia="Times New Roman" w:hAnsi="Times New Roman"/>
          <w:b/>
          <w:bCs/>
          <w:sz w:val="24"/>
          <w:szCs w:val="24"/>
        </w:rPr>
        <w:t xml:space="preserve">7.1 Good Standing Confirmation.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Brokerage agrees to maintain accurate records of its Agents’ standing and to indicate through the Firm Funds portal or in writing whether each Agent is in good standing with the Brokerage.</w:t>
      </w:r>
    </w:p>
    <w:p>
      <w:pPr>
        <w:spacing w:after="60" w:before="120"/>
        <w:jc w:val="left"/>
      </w:pPr>
      <w:r>
        <w:rPr>
          <w:rFonts w:ascii="Times New Roman" w:cs="Times New Roman" w:eastAsia="Times New Roman" w:hAnsi="Times New Roman"/>
          <w:b/>
          <w:bCs/>
          <w:sz w:val="24"/>
          <w:szCs w:val="24"/>
        </w:rPr>
        <w:t xml:space="preserve">7.2 Flagged Agents.</w:t>
      </w:r>
    </w:p>
    <w:p>
      <w:pPr>
        <w:spacing w:after="120"/>
        <w:ind w:left="360"/>
        <w:jc w:val="left"/>
      </w:pPr>
      <w:r>
        <w:rPr>
          <w:rFonts w:ascii="Times New Roman" w:cs="Times New Roman" w:eastAsia="Times New Roman" w:hAnsi="Times New Roman"/>
          <w:b w:val="false"/>
          <w:bCs w:val="false"/>
          <w:i w:val="false"/>
          <w:iCs w:val="false"/>
          <w:sz w:val="24"/>
          <w:szCs w:val="24"/>
        </w:rPr>
        <w:t xml:space="preserve">If the Brokerage flags an Agent or otherwise indicates that an Agent is not in good standing, Firm Funds shall take such flagging into account in its underwriting process. Firm Funds is not obligated to decline an advance based solely on the Brokerage’s flagging, but will give due consideration to the Brokerage’s assessment.</w:t>
      </w:r>
    </w:p>
    <w:p>
      <w:pPr>
        <w:spacing w:after="60" w:before="120"/>
        <w:jc w:val="left"/>
      </w:pPr>
      <w:r>
        <w:rPr>
          <w:rFonts w:ascii="Times New Roman" w:cs="Times New Roman" w:eastAsia="Times New Roman" w:hAnsi="Times New Roman"/>
          <w:b/>
          <w:bCs/>
          <w:sz w:val="24"/>
          <w:szCs w:val="24"/>
        </w:rPr>
        <w:t xml:space="preserve">7.3 Departing Agents.</w:t>
      </w:r>
    </w:p>
    <w:p>
      <w:pPr>
        <w:spacing w:after="120"/>
        <w:ind w:left="360"/>
        <w:jc w:val="left"/>
      </w:pPr>
      <w:r>
        <w:rPr>
          <w:rFonts w:ascii="Times New Roman" w:cs="Times New Roman" w:eastAsia="Times New Roman" w:hAnsi="Times New Roman"/>
          <w:b w:val="false"/>
          <w:bCs w:val="false"/>
          <w:i w:val="false"/>
          <w:iCs w:val="false"/>
          <w:sz w:val="24"/>
          <w:szCs w:val="24"/>
        </w:rPr>
        <w:t xml:space="preserve">If an Agent with an outstanding IDP ceases to be affiliated with the Brokerage, the Brokerage shall: (a) notify Firm Funds immediately; and (b) continue to honour any existing IDPs for Real Estate Transactions that are expected to close, provided the commission remains payable through the Brokerage’s Trust Account.</w:t>
      </w:r>
    </w:p>
    <w:p>
      <w:pPr>
        <w:spacing w:after="120" w:before="240"/>
        <w:jc w:val="left"/>
      </w:pPr>
      <w:r>
        <w:rPr>
          <w:rFonts w:ascii="Times New Roman" w:cs="Times New Roman" w:eastAsia="Times New Roman" w:hAnsi="Times New Roman"/>
          <w:b/>
          <w:bCs/>
          <w:i w:val="false"/>
          <w:iCs w:val="false"/>
          <w:sz w:val="28"/>
          <w:szCs w:val="28"/>
        </w:rPr>
        <w:t xml:space="preserve">ARTICLE 8 — REPRESENTATIONS AND WARRANTIES</w:t>
      </w:r>
    </w:p>
    <w:p>
      <w:pPr>
        <w:spacing w:after="80"/>
        <w:jc w:val="left"/>
      </w:pPr>
      <w:r>
        <w:rPr>
          <w:rFonts w:ascii="Times New Roman" w:cs="Times New Roman" w:eastAsia="Times New Roman" w:hAnsi="Times New Roman"/>
          <w:b/>
          <w:bCs/>
          <w:sz w:val="24"/>
          <w:szCs w:val="24"/>
        </w:rPr>
        <w:t xml:space="preserve">8.1 Brokerage Representations.</w:t>
      </w:r>
      <w:r>
        <w:rPr>
          <w:rFonts w:ascii="Times New Roman" w:cs="Times New Roman" w:eastAsia="Times New Roman" w:hAnsi="Times New Roman"/>
          <w:sz w:val="24"/>
          <w:szCs w:val="24"/>
        </w:rPr>
        <w:t xml:space="preserve"> The Brokerage represents and warrants that:</w:t>
      </w:r>
    </w:p>
    <w:p>
      <w:pPr>
        <w:spacing w:after="80"/>
        <w:ind w:left="720" w:hanging="360"/>
        <w:jc w:val="left"/>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it is a real estate brokerage duly registered with RECO and in good standing;</w:t>
      </w:r>
    </w:p>
    <w:p>
      <w:pPr>
        <w:spacing w:after="80"/>
        <w:ind w:left="720" w:hanging="360"/>
        <w:jc w:val="left"/>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it has full authority to enter into this Agreement and to perform its obligations hereunder;</w:t>
      </w:r>
    </w:p>
    <w:p>
      <w:pPr>
        <w:spacing w:after="80"/>
        <w:ind w:left="720" w:hanging="360"/>
        <w:jc w:val="left"/>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it maintains a Trust Account in compliance with the Trust in Real Estate Services Act, 2002 and all applicable RECO regulations;</w:t>
      </w:r>
    </w:p>
    <w:p>
      <w:pPr>
        <w:spacing w:after="80"/>
        <w:ind w:left="720" w:hanging="360"/>
        <w:jc w:val="left"/>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it will comply with all applicable laws in performing its obligations under this Agreement; and</w:t>
      </w:r>
    </w:p>
    <w:p>
      <w:pPr>
        <w:spacing w:after="80"/>
        <w:ind w:left="720" w:hanging="360"/>
        <w:jc w:val="left"/>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entering into this Agreement does not conflict with any other agreement to which the Brokerage is a party.</w:t>
      </w:r>
    </w:p>
    <w:p>
      <w:pPr>
        <w:spacing w:after="120"/>
      </w:pPr>
    </w:p>
    <w:p>
      <w:pPr>
        <w:spacing w:after="80"/>
        <w:jc w:val="left"/>
      </w:pPr>
      <w:r>
        <w:rPr>
          <w:rFonts w:ascii="Times New Roman" w:cs="Times New Roman" w:eastAsia="Times New Roman" w:hAnsi="Times New Roman"/>
          <w:b/>
          <w:bCs/>
          <w:sz w:val="24"/>
          <w:szCs w:val="24"/>
        </w:rPr>
        <w:t xml:space="preserve">8.2 Firm Funds Representations.</w:t>
      </w:r>
      <w:r>
        <w:rPr>
          <w:rFonts w:ascii="Times New Roman" w:cs="Times New Roman" w:eastAsia="Times New Roman" w:hAnsi="Times New Roman"/>
          <w:sz w:val="24"/>
          <w:szCs w:val="24"/>
        </w:rPr>
        <w:t xml:space="preserve"> Firm Funds represents and warrants that:</w:t>
      </w:r>
    </w:p>
    <w:p>
      <w:pPr>
        <w:spacing w:after="80"/>
        <w:ind w:left="720" w:hanging="360"/>
        <w:jc w:val="left"/>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it is a corporation duly incorporated and validly existing under the laws of the Province of Ontario;</w:t>
      </w:r>
    </w:p>
    <w:p>
      <w:pPr>
        <w:spacing w:after="80"/>
        <w:ind w:left="720" w:hanging="360"/>
        <w:jc w:val="left"/>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it has full authority to enter into this Agreement and to perform its obligations hereunder;</w:t>
      </w:r>
    </w:p>
    <w:p>
      <w:pPr>
        <w:spacing w:after="80"/>
        <w:ind w:left="720" w:hanging="360"/>
        <w:jc w:val="left"/>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it is registered with FINTRAC as required by applicable law; and</w:t>
      </w:r>
    </w:p>
    <w:p>
      <w:pPr>
        <w:spacing w:after="80"/>
        <w:ind w:left="720" w:hanging="360"/>
        <w:jc w:val="left"/>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it will comply with all applicable anti-money laundering, know-your-client, and privacy laws in operating the Program.</w:t>
      </w:r>
    </w:p>
    <w:p>
      <w:pPr>
        <w:spacing w:after="120" w:before="240"/>
        <w:jc w:val="left"/>
      </w:pPr>
      <w:r>
        <w:rPr>
          <w:rFonts w:ascii="Times New Roman" w:cs="Times New Roman" w:eastAsia="Times New Roman" w:hAnsi="Times New Roman"/>
          <w:b/>
          <w:bCs/>
          <w:i w:val="false"/>
          <w:iCs w:val="false"/>
          <w:sz w:val="28"/>
          <w:szCs w:val="28"/>
        </w:rPr>
        <w:t xml:space="preserve">ARTICLE 9 — CONFIDENTIALITY</w:t>
      </w:r>
    </w:p>
    <w:p>
      <w:pPr>
        <w:spacing w:after="60" w:before="120"/>
        <w:jc w:val="left"/>
      </w:pPr>
      <w:r>
        <w:rPr>
          <w:rFonts w:ascii="Times New Roman" w:cs="Times New Roman" w:eastAsia="Times New Roman" w:hAnsi="Times New Roman"/>
          <w:b/>
          <w:bCs/>
          <w:sz w:val="24"/>
          <w:szCs w:val="24"/>
        </w:rPr>
        <w:t xml:space="preserve">9.1</w:t>
      </w:r>
    </w:p>
    <w:p>
      <w:pPr>
        <w:spacing w:after="120"/>
        <w:ind w:left="360"/>
        <w:jc w:val="left"/>
      </w:pPr>
      <w:r>
        <w:rPr>
          <w:rFonts w:ascii="Times New Roman" w:cs="Times New Roman" w:eastAsia="Times New Roman" w:hAnsi="Times New Roman"/>
          <w:b w:val="false"/>
          <w:bCs w:val="false"/>
          <w:i w:val="false"/>
          <w:iCs w:val="false"/>
          <w:sz w:val="24"/>
          <w:szCs w:val="24"/>
        </w:rPr>
        <w:t xml:space="preserve">Each Party shall keep confidential the terms of this Agreement and all information received from the other Party in connection with the Program, except as may be disclosed to:</w:t>
      </w:r>
    </w:p>
    <w:p>
      <w:pPr>
        <w:spacing w:after="80"/>
        <w:ind w:left="720" w:hanging="360"/>
        <w:jc w:val="left"/>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each Party’s legal advisors, accountants, and auditors;</w:t>
      </w:r>
    </w:p>
    <w:p>
      <w:pPr>
        <w:spacing w:after="80"/>
        <w:ind w:left="720" w:hanging="360"/>
        <w:jc w:val="left"/>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regulatory authorities, including FINTRAC and RECO, as required by law;</w:t>
      </w:r>
    </w:p>
    <w:p>
      <w:pPr>
        <w:spacing w:after="80"/>
        <w:ind w:left="720" w:hanging="360"/>
        <w:jc w:val="left"/>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Agents, to the extent necessary to explain the Program and facilitate their participation; and</w:t>
      </w:r>
    </w:p>
    <w:p>
      <w:pPr>
        <w:spacing w:after="80"/>
        <w:ind w:left="720" w:hanging="360"/>
        <w:jc w:val="left"/>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as required by any applicable law, regulation, or court order.</w:t>
      </w:r>
    </w:p>
    <w:p>
      <w:pPr>
        <w:spacing w:after="120" w:before="240"/>
        <w:jc w:val="left"/>
      </w:pPr>
      <w:r>
        <w:rPr>
          <w:rFonts w:ascii="Times New Roman" w:cs="Times New Roman" w:eastAsia="Times New Roman" w:hAnsi="Times New Roman"/>
          <w:b/>
          <w:bCs/>
          <w:i w:val="false"/>
          <w:iCs w:val="false"/>
          <w:sz w:val="28"/>
          <w:szCs w:val="28"/>
        </w:rPr>
        <w:t xml:space="preserve">ARTICLE 10 — INDEMNIFICATION</w:t>
      </w:r>
    </w:p>
    <w:p>
      <w:pPr>
        <w:spacing w:after="60" w:before="120"/>
        <w:jc w:val="left"/>
      </w:pPr>
      <w:r>
        <w:rPr>
          <w:rFonts w:ascii="Times New Roman" w:cs="Times New Roman" w:eastAsia="Times New Roman" w:hAnsi="Times New Roman"/>
          <w:b/>
          <w:bCs/>
          <w:sz w:val="24"/>
          <w:szCs w:val="24"/>
        </w:rPr>
        <w:t xml:space="preserve">10.1</w:t>
      </w:r>
    </w:p>
    <w:p>
      <w:pPr>
        <w:spacing w:after="120"/>
        <w:ind w:left="360"/>
        <w:jc w:val="left"/>
      </w:pPr>
      <w:r>
        <w:rPr>
          <w:rFonts w:ascii="Times New Roman" w:cs="Times New Roman" w:eastAsia="Times New Roman" w:hAnsi="Times New Roman"/>
          <w:b w:val="false"/>
          <w:bCs w:val="false"/>
          <w:i w:val="false"/>
          <w:iCs w:val="false"/>
          <w:sz w:val="24"/>
          <w:szCs w:val="24"/>
        </w:rPr>
        <w:t xml:space="preserve">Each Party shall indemnify and hold harmless the other Party from and against all losses, damages, claims, costs, and expenses (including reasonable legal fees) arising from or resulting from: (a) any breach of such Party’s representations, warranties, or obligations under this Agreement; or (b) any negligent or wilful act or omission of such Party in connection with the Program.</w:t>
      </w:r>
    </w:p>
    <w:p>
      <w:pPr>
        <w:spacing w:after="60" w:before="120"/>
        <w:jc w:val="left"/>
      </w:pPr>
      <w:r>
        <w:rPr>
          <w:rFonts w:ascii="Times New Roman" w:cs="Times New Roman" w:eastAsia="Times New Roman" w:hAnsi="Times New Roman"/>
          <w:b/>
          <w:bCs/>
          <w:sz w:val="24"/>
          <w:szCs w:val="24"/>
        </w:rPr>
        <w:t xml:space="preserve">10.2</w:t>
      </w:r>
    </w:p>
    <w:p>
      <w:pPr>
        <w:spacing w:after="120"/>
        <w:ind w:left="360"/>
        <w:jc w:val="left"/>
      </w:pPr>
      <w:r>
        <w:rPr>
          <w:rFonts w:ascii="Times New Roman" w:cs="Times New Roman" w:eastAsia="Times New Roman" w:hAnsi="Times New Roman"/>
          <w:b w:val="false"/>
          <w:bCs w:val="false"/>
          <w:i w:val="false"/>
          <w:iCs w:val="false"/>
          <w:sz w:val="24"/>
          <w:szCs w:val="24"/>
        </w:rPr>
        <w:t xml:space="preserve">Firm Funds shall indemnify the Brokerage against any claim by an Agent arising from Firm Funds’ underwriting decisions, fee calculations, or collection activities under the Program. The Brokerage shall indemnify Firm Funds against any claim arising from the Brokerage’s failure to honour a valid IDP or its failure to properly administer its Trust Account.</w:t>
      </w:r>
    </w:p>
    <w:p>
      <w:pPr>
        <w:spacing w:after="120" w:before="240"/>
        <w:jc w:val="left"/>
      </w:pPr>
      <w:r>
        <w:rPr>
          <w:rFonts w:ascii="Times New Roman" w:cs="Times New Roman" w:eastAsia="Times New Roman" w:hAnsi="Times New Roman"/>
          <w:b/>
          <w:bCs/>
          <w:i w:val="false"/>
          <w:iCs w:val="false"/>
          <w:sz w:val="28"/>
          <w:szCs w:val="28"/>
        </w:rPr>
        <w:t xml:space="preserve">ARTICLE 11 — TERM AND TERMINATION</w:t>
      </w:r>
    </w:p>
    <w:p>
      <w:pPr>
        <w:spacing w:after="60" w:before="120"/>
        <w:jc w:val="left"/>
      </w:pPr>
      <w:r>
        <w:rPr>
          <w:rFonts w:ascii="Times New Roman" w:cs="Times New Roman" w:eastAsia="Times New Roman" w:hAnsi="Times New Roman"/>
          <w:b/>
          <w:bCs/>
          <w:sz w:val="24"/>
          <w:szCs w:val="24"/>
        </w:rPr>
        <w:t xml:space="preserve">11.1 Term.</w:t>
      </w:r>
    </w:p>
    <w:p>
      <w:pPr>
        <w:spacing w:after="120"/>
        <w:ind w:left="360"/>
        <w:jc w:val="left"/>
      </w:pPr>
      <w:r>
        <w:rPr>
          <w:rFonts w:ascii="Times New Roman" w:cs="Times New Roman" w:eastAsia="Times New Roman" w:hAnsi="Times New Roman"/>
          <w:b w:val="false"/>
          <w:bCs w:val="false"/>
          <w:i w:val="false"/>
          <w:iCs w:val="false"/>
          <w:sz w:val="24"/>
          <w:szCs w:val="24"/>
        </w:rPr>
        <w:t xml:space="preserve">This Agreement shall be effective as of the date first written above and shall continue for an initial term of one (1) year, and thereafter shall automatically renew for successive one (1) year terms unless terminated by either Party in accordance with this Article.</w:t>
      </w:r>
    </w:p>
    <w:p>
      <w:pPr>
        <w:spacing w:after="60" w:before="120"/>
        <w:jc w:val="left"/>
      </w:pPr>
      <w:r>
        <w:rPr>
          <w:rFonts w:ascii="Times New Roman" w:cs="Times New Roman" w:eastAsia="Times New Roman" w:hAnsi="Times New Roman"/>
          <w:b/>
          <w:bCs/>
          <w:sz w:val="24"/>
          <w:szCs w:val="24"/>
        </w:rPr>
        <w:t xml:space="preserve">11.2 Termination Without Cause.</w:t>
      </w:r>
    </w:p>
    <w:p>
      <w:pPr>
        <w:spacing w:after="120"/>
        <w:ind w:left="360"/>
        <w:jc w:val="left"/>
      </w:pPr>
      <w:r>
        <w:rPr>
          <w:rFonts w:ascii="Times New Roman" w:cs="Times New Roman" w:eastAsia="Times New Roman" w:hAnsi="Times New Roman"/>
          <w:b w:val="false"/>
          <w:bCs w:val="false"/>
          <w:i w:val="false"/>
          <w:iCs w:val="false"/>
          <w:sz w:val="24"/>
          <w:szCs w:val="24"/>
        </w:rPr>
        <w:t xml:space="preserve">Either Party may terminate this Agreement at any time by providing the other Party with sixty (60) days’ prior written notice.</w:t>
      </w:r>
    </w:p>
    <w:p>
      <w:pPr>
        <w:spacing w:after="80" w:before="120"/>
        <w:jc w:val="left"/>
      </w:pPr>
      <w:r>
        <w:rPr>
          <w:rFonts w:ascii="Times New Roman" w:cs="Times New Roman" w:eastAsia="Times New Roman" w:hAnsi="Times New Roman"/>
          <w:b/>
          <w:bCs/>
          <w:sz w:val="24"/>
          <w:szCs w:val="24"/>
        </w:rPr>
        <w:t xml:space="preserve">11.3 Termination for Cause.</w:t>
      </w:r>
      <w:r>
        <w:rPr>
          <w:rFonts w:ascii="Times New Roman" w:cs="Times New Roman" w:eastAsia="Times New Roman" w:hAnsi="Times New Roman"/>
          <w:sz w:val="24"/>
          <w:szCs w:val="24"/>
        </w:rPr>
        <w:t xml:space="preserve"> Either Party may terminate this Agreement immediately upon written notice if:</w:t>
      </w:r>
    </w:p>
    <w:p>
      <w:pPr>
        <w:spacing w:after="80"/>
        <w:ind w:left="720" w:hanging="360"/>
        <w:jc w:val="left"/>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the other Party commits a material breach of this Agreement and fails to cure such breach within fifteen (15) days of receiving written notice of the breach;</w:t>
      </w:r>
    </w:p>
    <w:p>
      <w:pPr>
        <w:spacing w:after="80"/>
        <w:ind w:left="720" w:hanging="360"/>
        <w:jc w:val="left"/>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the other Party becomes insolvent, makes an assignment for the benefit of creditors, or becomes subject to bankruptcy or receivership proceedings;</w:t>
      </w:r>
    </w:p>
    <w:p>
      <w:pPr>
        <w:spacing w:after="80"/>
        <w:ind w:left="720" w:hanging="360"/>
        <w:jc w:val="left"/>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the Brokerage’s registration with RECO is suspended, revoked, or not renewed; or</w:t>
      </w:r>
    </w:p>
    <w:p>
      <w:pPr>
        <w:spacing w:after="80"/>
        <w:ind w:left="720" w:hanging="360"/>
        <w:jc w:val="left"/>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Firm Funds’ registration with FINTRAC is suspended or revoked.</w:t>
      </w:r>
    </w:p>
    <w:p>
      <w:pPr>
        <w:spacing w:after="120"/>
      </w:pPr>
    </w:p>
    <w:p>
      <w:pPr>
        <w:spacing w:after="60" w:before="120"/>
        <w:jc w:val="left"/>
      </w:pPr>
      <w:r>
        <w:rPr>
          <w:rFonts w:ascii="Times New Roman" w:cs="Times New Roman" w:eastAsia="Times New Roman" w:hAnsi="Times New Roman"/>
          <w:b/>
          <w:bCs/>
          <w:sz w:val="24"/>
          <w:szCs w:val="24"/>
        </w:rPr>
        <w:t xml:space="preserve">11.4 Effect of Termination.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Upon termination of this Agreement: (a) no new IDPs shall be issued under the Program; (b) the Brokerage shall continue to honour all IDPs that were validly issued prior to the effective date of termination; (c) Firm Funds shall continue to pay Referral Fees for any commissions collected after termination that relate to IDPs issued prior to termination; and (d) all confidentiality obligations shall survive termination.</w:t>
      </w:r>
    </w:p>
    <w:p>
      <w:pPr>
        <w:spacing w:after="120" w:before="240"/>
        <w:jc w:val="left"/>
      </w:pPr>
      <w:r>
        <w:rPr>
          <w:rFonts w:ascii="Times New Roman" w:cs="Times New Roman" w:eastAsia="Times New Roman" w:hAnsi="Times New Roman"/>
          <w:b/>
          <w:bCs/>
          <w:i w:val="false"/>
          <w:iCs w:val="false"/>
          <w:sz w:val="28"/>
          <w:szCs w:val="28"/>
        </w:rPr>
        <w:t xml:space="preserve">ARTICLE 12 — WHITE-LABEL BRANDING (OPTIONAL)</w:t>
      </w:r>
    </w:p>
    <w:p>
      <w:pPr>
        <w:spacing w:after="60" w:before="120"/>
        <w:jc w:val="left"/>
      </w:pPr>
      <w:r>
        <w:rPr>
          <w:rFonts w:ascii="Times New Roman" w:cs="Times New Roman" w:eastAsia="Times New Roman" w:hAnsi="Times New Roman"/>
          <w:b/>
          <w:bCs/>
          <w:sz w:val="24"/>
          <w:szCs w:val="24"/>
        </w:rPr>
        <w:t xml:space="preserve">12.1 Branding Option.</w:t>
      </w:r>
    </w:p>
    <w:p>
      <w:pPr>
        <w:spacing w:after="120"/>
        <w:ind w:left="360"/>
        <w:jc w:val="left"/>
      </w:pPr>
      <w:r>
        <w:rPr>
          <w:rFonts w:ascii="Times New Roman" w:cs="Times New Roman" w:eastAsia="Times New Roman" w:hAnsi="Times New Roman"/>
          <w:b w:val="false"/>
          <w:bCs w:val="false"/>
          <w:i w:val="false"/>
          <w:iCs w:val="false"/>
          <w:sz w:val="24"/>
          <w:szCs w:val="24"/>
        </w:rPr>
        <w:t xml:space="preserve">The Brokerage may elect to participate in Firm Funds’ white-label branding program, under which the commission advance service is presented to Agents under the Brokerage’s own brand identity. The terms of any white-label arrangement shall be set out in a separate addendum to this Agreement.</w:t>
      </w:r>
    </w:p>
    <w:p>
      <w:pPr>
        <w:spacing w:after="60" w:before="120"/>
        <w:jc w:val="left"/>
      </w:pPr>
      <w:r>
        <w:rPr>
          <w:rFonts w:ascii="Times New Roman" w:cs="Times New Roman" w:eastAsia="Times New Roman" w:hAnsi="Times New Roman"/>
          <w:b/>
          <w:bCs/>
          <w:sz w:val="24"/>
          <w:szCs w:val="24"/>
        </w:rPr>
        <w:t xml:space="preserve">12.2 Intellectual Property.</w:t>
      </w:r>
    </w:p>
    <w:p>
      <w:pPr>
        <w:spacing w:after="120"/>
        <w:ind w:left="360"/>
        <w:jc w:val="left"/>
      </w:pPr>
      <w:r>
        <w:rPr>
          <w:rFonts w:ascii="Times New Roman" w:cs="Times New Roman" w:eastAsia="Times New Roman" w:hAnsi="Times New Roman"/>
          <w:b w:val="false"/>
          <w:bCs w:val="false"/>
          <w:i w:val="false"/>
          <w:iCs w:val="false"/>
          <w:sz w:val="24"/>
          <w:szCs w:val="24"/>
        </w:rPr>
        <w:t xml:space="preserve">Each Party retains all rights to its own trademarks, logos, and brand assets. Neither Party shall use the other Party’s brand assets without prior written consent. Any white-label branding arrangements shall specify the permitted use of brand assets.</w:t>
      </w:r>
    </w:p>
    <w:p>
      <w:pPr>
        <w:spacing w:after="120" w:before="240"/>
        <w:jc w:val="left"/>
      </w:pPr>
      <w:r>
        <w:rPr>
          <w:rFonts w:ascii="Times New Roman" w:cs="Times New Roman" w:eastAsia="Times New Roman" w:hAnsi="Times New Roman"/>
          <w:b/>
          <w:bCs/>
          <w:i w:val="false"/>
          <w:iCs w:val="false"/>
          <w:sz w:val="28"/>
          <w:szCs w:val="28"/>
        </w:rPr>
        <w:t xml:space="preserve">ARTICLE 13 — GENERAL PROVISIONS</w:t>
      </w:r>
    </w:p>
    <w:p>
      <w:pPr>
        <w:spacing w:after="100"/>
        <w:ind w:left="360"/>
        <w:jc w:val="left"/>
      </w:pPr>
      <w:r>
        <w:rPr>
          <w:rFonts w:ascii="Times New Roman" w:cs="Times New Roman" w:eastAsia="Times New Roman" w:hAnsi="Times New Roman"/>
          <w:b/>
          <w:bCs/>
          <w:sz w:val="24"/>
          <w:szCs w:val="24"/>
        </w:rPr>
        <w:t xml:space="preserve">13.1 Governing Law. </w:t>
      </w:r>
      <w:r>
        <w:rPr>
          <w:rFonts w:ascii="Times New Roman" w:cs="Times New Roman" w:eastAsia="Times New Roman" w:hAnsi="Times New Roman"/>
          <w:sz w:val="24"/>
          <w:szCs w:val="24"/>
        </w:rPr>
        <w:t xml:space="preserve">This Agreement shall be governed by and construed in accordance with the laws of the Province of Ontario and the federal laws of Canada applicable therein.</w:t>
      </w:r>
    </w:p>
    <w:p>
      <w:pPr>
        <w:spacing w:after="100"/>
        <w:ind w:left="360"/>
        <w:jc w:val="left"/>
      </w:pPr>
      <w:r>
        <w:rPr>
          <w:rFonts w:ascii="Times New Roman" w:cs="Times New Roman" w:eastAsia="Times New Roman" w:hAnsi="Times New Roman"/>
          <w:b/>
          <w:bCs/>
          <w:sz w:val="24"/>
          <w:szCs w:val="24"/>
        </w:rPr>
        <w:t xml:space="preserve">13.2 Jurisdiction. </w:t>
      </w:r>
      <w:r>
        <w:rPr>
          <w:rFonts w:ascii="Times New Roman" w:cs="Times New Roman" w:eastAsia="Times New Roman" w:hAnsi="Times New Roman"/>
          <w:sz w:val="24"/>
          <w:szCs w:val="24"/>
        </w:rPr>
        <w:t xml:space="preserve">Each Party irrevocably submits to the exclusive jurisdiction of the courts of the Province of Ontario for any action, suit, or proceeding arising out of or relating to this Agreement.</w:t>
      </w:r>
    </w:p>
    <w:p>
      <w:pPr>
        <w:spacing w:after="100"/>
        <w:ind w:left="360"/>
        <w:jc w:val="left"/>
      </w:pPr>
      <w:r>
        <w:rPr>
          <w:rFonts w:ascii="Times New Roman" w:cs="Times New Roman" w:eastAsia="Times New Roman" w:hAnsi="Times New Roman"/>
          <w:b/>
          <w:bCs/>
          <w:sz w:val="24"/>
          <w:szCs w:val="24"/>
        </w:rPr>
        <w:t xml:space="preserve">13.3 Entire Agreement. </w:t>
      </w:r>
      <w:r>
        <w:rPr>
          <w:rFonts w:ascii="Times New Roman" w:cs="Times New Roman" w:eastAsia="Times New Roman" w:hAnsi="Times New Roman"/>
          <w:sz w:val="24"/>
          <w:szCs w:val="24"/>
        </w:rPr>
        <w:t xml:space="preserve">This Agreement, together with all schedules and addenda hereto, constitutes the entire agreement between the Parties with respect to the subject matter hereof and supersedes all prior negotiations, representations, understandings, and agreements, whether written or oral.</w:t>
      </w:r>
    </w:p>
    <w:p>
      <w:pPr>
        <w:spacing w:after="100"/>
        <w:ind w:left="360"/>
        <w:jc w:val="left"/>
      </w:pPr>
      <w:r>
        <w:rPr>
          <w:rFonts w:ascii="Times New Roman" w:cs="Times New Roman" w:eastAsia="Times New Roman" w:hAnsi="Times New Roman"/>
          <w:b/>
          <w:bCs/>
          <w:sz w:val="24"/>
          <w:szCs w:val="24"/>
        </w:rPr>
        <w:t xml:space="preserve">13.4 Amendment. </w:t>
      </w:r>
      <w:r>
        <w:rPr>
          <w:rFonts w:ascii="Times New Roman" w:cs="Times New Roman" w:eastAsia="Times New Roman" w:hAnsi="Times New Roman"/>
          <w:sz w:val="24"/>
          <w:szCs w:val="24"/>
        </w:rPr>
        <w:t xml:space="preserve">No amendment, modification, or waiver of any provision of this Agreement shall be effective unless made in writing and signed by both Parties.</w:t>
      </w:r>
    </w:p>
    <w:p>
      <w:pPr>
        <w:spacing w:after="100"/>
        <w:ind w:left="360"/>
        <w:jc w:val="left"/>
      </w:pPr>
      <w:r>
        <w:rPr>
          <w:rFonts w:ascii="Times New Roman" w:cs="Times New Roman" w:eastAsia="Times New Roman" w:hAnsi="Times New Roman"/>
          <w:b/>
          <w:bCs/>
          <w:sz w:val="24"/>
          <w:szCs w:val="24"/>
        </w:rPr>
        <w:t xml:space="preserve">13.5 Severability. </w:t>
      </w:r>
      <w:r>
        <w:rPr>
          <w:rFonts w:ascii="Times New Roman" w:cs="Times New Roman" w:eastAsia="Times New Roman" w:hAnsi="Times New Roman"/>
          <w:sz w:val="24"/>
          <w:szCs w:val="24"/>
        </w:rPr>
        <w:t xml:space="preserve">If any provision of this Agreement is found by a court of competent jurisdiction to be invalid, illegal, or unenforceable, the remaining provisions shall continue in full force and effect.</w:t>
      </w:r>
    </w:p>
    <w:p>
      <w:pPr>
        <w:spacing w:after="100"/>
        <w:ind w:left="360"/>
        <w:jc w:val="left"/>
      </w:pPr>
      <w:r>
        <w:rPr>
          <w:rFonts w:ascii="Times New Roman" w:cs="Times New Roman" w:eastAsia="Times New Roman" w:hAnsi="Times New Roman"/>
          <w:b/>
          <w:bCs/>
          <w:sz w:val="24"/>
          <w:szCs w:val="24"/>
        </w:rPr>
        <w:t xml:space="preserve">13.6 Counterparts. </w:t>
      </w:r>
      <w:r>
        <w:rPr>
          <w:rFonts w:ascii="Times New Roman" w:cs="Times New Roman" w:eastAsia="Times New Roman" w:hAnsi="Times New Roman"/>
          <w:sz w:val="24"/>
          <w:szCs w:val="24"/>
        </w:rPr>
        <w:t xml:space="preserve">This Agreement may be executed in counterparts, each of which shall be deemed an original and all of which together shall constitute one and the same agreement.</w:t>
      </w:r>
    </w:p>
    <w:p>
      <w:pPr>
        <w:spacing w:after="100"/>
        <w:ind w:left="360"/>
        <w:jc w:val="left"/>
      </w:pPr>
      <w:r>
        <w:rPr>
          <w:rFonts w:ascii="Times New Roman" w:cs="Times New Roman" w:eastAsia="Times New Roman" w:hAnsi="Times New Roman"/>
          <w:b/>
          <w:bCs/>
          <w:sz w:val="24"/>
          <w:szCs w:val="24"/>
        </w:rPr>
        <w:t xml:space="preserve">13.7 Electronic Signatures. </w:t>
      </w:r>
      <w:r>
        <w:rPr>
          <w:rFonts w:ascii="Times New Roman" w:cs="Times New Roman" w:eastAsia="Times New Roman" w:hAnsi="Times New Roman"/>
          <w:sz w:val="24"/>
          <w:szCs w:val="24"/>
        </w:rPr>
        <w:t xml:space="preserve">The Parties agree that this Agreement may be executed by electronic signature and that electronic signatures shall have the same legal effect as original handwritten signatures, in accordance with the Electronic Commerce Act, 2000 (Ontario).</w:t>
      </w:r>
    </w:p>
    <w:p>
      <w:pPr>
        <w:spacing w:after="100"/>
        <w:ind w:left="360"/>
        <w:jc w:val="left"/>
      </w:pPr>
      <w:r>
        <w:rPr>
          <w:rFonts w:ascii="Times New Roman" w:cs="Times New Roman" w:eastAsia="Times New Roman" w:hAnsi="Times New Roman"/>
          <w:b/>
          <w:bCs/>
          <w:sz w:val="24"/>
          <w:szCs w:val="24"/>
        </w:rPr>
        <w:t xml:space="preserve">13.8 Assignment. </w:t>
      </w:r>
      <w:r>
        <w:rPr>
          <w:rFonts w:ascii="Times New Roman" w:cs="Times New Roman" w:eastAsia="Times New Roman" w:hAnsi="Times New Roman"/>
          <w:sz w:val="24"/>
          <w:szCs w:val="24"/>
        </w:rPr>
        <w:t xml:space="preserve">Neither Party may assign this Agreement without the prior written consent of the other Party, except that Firm Funds may assign this Agreement to a successor entity in connection with a sale or reorganization of its business.</w:t>
      </w:r>
    </w:p>
    <w:p>
      <w:pPr>
        <w:spacing w:after="100"/>
        <w:ind w:left="360"/>
        <w:jc w:val="left"/>
      </w:pPr>
      <w:r>
        <w:rPr>
          <w:rFonts w:ascii="Times New Roman" w:cs="Times New Roman" w:eastAsia="Times New Roman" w:hAnsi="Times New Roman"/>
          <w:b/>
          <w:bCs/>
          <w:sz w:val="24"/>
          <w:szCs w:val="24"/>
        </w:rPr>
        <w:t xml:space="preserve">13.9 Notices. </w:t>
      </w:r>
      <w:r>
        <w:rPr>
          <w:rFonts w:ascii="Times New Roman" w:cs="Times New Roman" w:eastAsia="Times New Roman" w:hAnsi="Times New Roman"/>
          <w:sz w:val="24"/>
          <w:szCs w:val="24"/>
        </w:rPr>
        <w:t xml:space="preserve">Any notice required or permitted under this Agreement shall be in writing and shall be deemed to have been duly given when: (a) delivered personally; (b) sent by email (with confirmation of receipt); or (c) sent through the Firm Funds online portal. Notices to Firm Funds shall be sent to: Firm Funds Inc., bud@firmfunds.ca. Notices to the Brokerage shall be sent to the address set out above or such other address as the Brokerage may designate in writing.</w:t>
      </w:r>
    </w:p>
    <w:p>
      <w:pPr>
        <w:spacing w:after="100"/>
        <w:ind w:left="360"/>
        <w:jc w:val="left"/>
      </w:pPr>
      <w:r>
        <w:rPr>
          <w:rFonts w:ascii="Times New Roman" w:cs="Times New Roman" w:eastAsia="Times New Roman" w:hAnsi="Times New Roman"/>
          <w:b/>
          <w:bCs/>
          <w:sz w:val="24"/>
          <w:szCs w:val="24"/>
        </w:rPr>
        <w:t xml:space="preserve">13.10 Waiver. </w:t>
      </w:r>
      <w:r>
        <w:rPr>
          <w:rFonts w:ascii="Times New Roman" w:cs="Times New Roman" w:eastAsia="Times New Roman" w:hAnsi="Times New Roman"/>
          <w:sz w:val="24"/>
          <w:szCs w:val="24"/>
        </w:rPr>
        <w:t xml:space="preserve">The failure of either Party to enforce any provision of this Agreement shall not constitute a waiver of such provision or the right to enforce it at a later time.</w:t>
      </w:r>
    </w:p>
    <w:p>
      <w:pPr>
        <w:spacing w:after="100"/>
        <w:ind w:left="360"/>
        <w:jc w:val="left"/>
      </w:pPr>
      <w:r>
        <w:rPr>
          <w:rFonts w:ascii="Times New Roman" w:cs="Times New Roman" w:eastAsia="Times New Roman" w:hAnsi="Times New Roman"/>
          <w:b/>
          <w:bCs/>
          <w:sz w:val="24"/>
          <w:szCs w:val="24"/>
        </w:rPr>
        <w:t xml:space="preserve">13.11 Further Assurances. </w:t>
      </w:r>
      <w:r>
        <w:rPr>
          <w:rFonts w:ascii="Times New Roman" w:cs="Times New Roman" w:eastAsia="Times New Roman" w:hAnsi="Times New Roman"/>
          <w:sz w:val="24"/>
          <w:szCs w:val="24"/>
        </w:rPr>
        <w:t xml:space="preserve">Each Party shall execute and deliver such further documents and do such further acts as may be reasonably required to give effect to this Agreement.</w:t>
      </w:r>
    </w:p>
    <w:p>
      <w:pPr>
        <w:spacing w:after="100"/>
        <w:ind w:left="360"/>
        <w:jc w:val="left"/>
      </w:pPr>
      <w:r>
        <w:rPr>
          <w:rFonts w:ascii="Times New Roman" w:cs="Times New Roman" w:eastAsia="Times New Roman" w:hAnsi="Times New Roman"/>
          <w:b/>
          <w:bCs/>
          <w:sz w:val="24"/>
          <w:szCs w:val="24"/>
        </w:rPr>
        <w:t xml:space="preserve">13.12 Survival. </w:t>
      </w:r>
      <w:r>
        <w:rPr>
          <w:rFonts w:ascii="Times New Roman" w:cs="Times New Roman" w:eastAsia="Times New Roman" w:hAnsi="Times New Roman"/>
          <w:sz w:val="24"/>
          <w:szCs w:val="24"/>
        </w:rPr>
        <w:t xml:space="preserve">The representations, warranties, indemnities, confidentiality obligations, and the Brokerage’s obligation to honour outstanding IDPs shall survive the termination of this Agreement.</w:t>
      </w:r>
    </w:p>
    <w:p>
      <w:pPr>
        <w:spacing w:after="100"/>
        <w:ind w:left="360"/>
        <w:jc w:val="left"/>
      </w:pPr>
      <w:r>
        <w:rPr>
          <w:rFonts w:ascii="Times New Roman" w:cs="Times New Roman" w:eastAsia="Times New Roman" w:hAnsi="Times New Roman"/>
          <w:b/>
          <w:bCs/>
          <w:sz w:val="24"/>
          <w:szCs w:val="24"/>
        </w:rPr>
        <w:t xml:space="preserve">13.13 Independent Legal Advice. </w:t>
      </w:r>
      <w:r>
        <w:rPr>
          <w:rFonts w:ascii="Times New Roman" w:cs="Times New Roman" w:eastAsia="Times New Roman" w:hAnsi="Times New Roman"/>
          <w:sz w:val="24"/>
          <w:szCs w:val="24"/>
        </w:rPr>
        <w:t xml:space="preserve">Each Party acknowledges that: (a) each Party has been advised to obtain independent legal advice as to the nature and effect of this Agreement prior to executing it; (b) each Party has either obtained such independent legal advice or has voluntarily chosen not to do so; and (c) each Party is executing this Agreement freely, voluntarily, and with full knowledge of its contents and legal effect.</w:t>
      </w:r>
    </w:p>
    <w:p>
      <w:pPr>
        <w:spacing w:after="100"/>
        <w:ind w:left="360"/>
        <w:jc w:val="left"/>
      </w:pPr>
      <w:r>
        <w:rPr>
          <w:rFonts w:ascii="Times New Roman" w:cs="Times New Roman" w:eastAsia="Times New Roman" w:hAnsi="Times New Roman"/>
          <w:b/>
          <w:bCs/>
          <w:sz w:val="24"/>
          <w:szCs w:val="24"/>
        </w:rPr>
        <w:t xml:space="preserve">13.14 Relationship of Parties. </w:t>
      </w:r>
      <w:r>
        <w:rPr>
          <w:rFonts w:ascii="Times New Roman" w:cs="Times New Roman" w:eastAsia="Times New Roman" w:hAnsi="Times New Roman"/>
          <w:sz w:val="24"/>
          <w:szCs w:val="24"/>
        </w:rPr>
        <w:t xml:space="preserve">Nothing in this Agreement shall be construed as creating a partnership, joint venture, agency, or employment relationship between the Parties. Each Party is an independent contractor.</w:t>
      </w:r>
    </w:p>
    <w:p>
      <w:r>
        <w:br w:type="page"/>
      </w:r>
    </w:p>
    <w:p>
      <w:pPr>
        <w:spacing w:after="200"/>
        <w:jc w:val="center"/>
      </w:pPr>
      <w:r>
        <w:rPr>
          <w:rFonts w:ascii="Times New Roman" w:cs="Times New Roman" w:eastAsia="Times New Roman" w:hAnsi="Times New Roman"/>
          <w:b/>
          <w:bCs/>
          <w:i w:val="false"/>
          <w:iCs w:val="false"/>
          <w:sz w:val="28"/>
          <w:szCs w:val="28"/>
        </w:rPr>
        <w:t xml:space="preserve">SIGNATURE PAGE</w:t>
      </w:r>
    </w:p>
    <w:p>
      <w:pPr>
        <w:spacing w:after="360"/>
        <w:jc w:val="left"/>
      </w:pPr>
      <w:r>
        <w:rPr>
          <w:rFonts w:ascii="Times New Roman" w:cs="Times New Roman" w:eastAsia="Times New Roman" w:hAnsi="Times New Roman"/>
          <w:b w:val="false"/>
          <w:bCs w:val="false"/>
          <w:i w:val="false"/>
          <w:iCs w:val="false"/>
          <w:sz w:val="24"/>
          <w:szCs w:val="24"/>
        </w:rPr>
        <w:t xml:space="preserve">IN WITNESS WHEREOF the Parties have executed this Agreement as of the date first written above.</w:t>
      </w:r>
    </w:p>
    <w:p>
      <w:pPr>
        <w:spacing w:after="200"/>
        <w:jc w:val="left"/>
      </w:pPr>
      <w:r>
        <w:rPr>
          <w:rFonts w:ascii="Times New Roman" w:cs="Times New Roman" w:eastAsia="Times New Roman" w:hAnsi="Times New Roman"/>
          <w:b/>
          <w:bCs/>
          <w:i w:val="false"/>
          <w:iCs w:val="false"/>
          <w:sz w:val="24"/>
          <w:szCs w:val="24"/>
        </w:rPr>
        <w:t xml:space="preserve">FIRM FUNDS INC.</w:t>
      </w:r>
    </w:p>
    <w:p>
      <w:pPr>
        <w:spacing w:after="40"/>
        <w:jc w:val="left"/>
      </w:pPr>
      <w:r>
        <w:rPr>
          <w:rFonts w:ascii="Times New Roman" w:cs="Times New Roman" w:eastAsia="Times New Roman" w:hAnsi="Times New Roman"/>
          <w:b w:val="false"/>
          <w:bCs w:val="false"/>
          <w:i w:val="false"/>
          <w:iCs w:val="false"/>
          <w:sz w:val="24"/>
          <w:szCs w:val="24"/>
        </w:rPr>
        <w:t xml:space="preserve">________________________________________</w:t>
      </w:r>
    </w:p>
    <w:p>
      <w:pPr>
        <w:spacing w:after="200"/>
        <w:jc w:val="left"/>
      </w:pPr>
      <w:r>
        <w:rPr>
          <w:rFonts w:ascii="Times New Roman" w:cs="Times New Roman" w:eastAsia="Times New Roman" w:hAnsi="Times New Roman"/>
          <w:b w:val="false"/>
          <w:bCs w:val="false"/>
          <w:i w:val="false"/>
          <w:iCs w:val="false"/>
          <w:sz w:val="24"/>
          <w:szCs w:val="24"/>
        </w:rPr>
        <w:t xml:space="preserve">Authorized Signatory (Signature)</w:t>
      </w:r>
    </w:p>
    <w:p>
      <w:pPr>
        <w:spacing w:after="120"/>
        <w:jc w:val="left"/>
      </w:pPr>
      <w:r>
        <w:rPr>
          <w:rFonts w:ascii="Times New Roman" w:cs="Times New Roman" w:eastAsia="Times New Roman" w:hAnsi="Times New Roman"/>
          <w:b w:val="false"/>
          <w:bCs w:val="false"/>
          <w:i w:val="false"/>
          <w:iCs w:val="false"/>
          <w:sz w:val="24"/>
          <w:szCs w:val="24"/>
        </w:rPr>
        <w:t xml:space="preserve">Name (Print): ________________________________</w:t>
      </w:r>
    </w:p>
    <w:p>
      <w:pPr>
        <w:spacing w:after="200"/>
        <w:jc w:val="left"/>
      </w:pPr>
      <w:r>
        <w:rPr>
          <w:rFonts w:ascii="Times New Roman" w:cs="Times New Roman" w:eastAsia="Times New Roman" w:hAnsi="Times New Roman"/>
          <w:b w:val="false"/>
          <w:bCs w:val="false"/>
          <w:i w:val="false"/>
          <w:iCs w:val="false"/>
          <w:sz w:val="24"/>
          <w:szCs w:val="24"/>
        </w:rPr>
        <w:t xml:space="preserve">Title: President</w:t>
      </w:r>
    </w:p>
    <w:p>
      <w:pPr>
        <w:spacing w:after="360"/>
        <w:jc w:val="left"/>
      </w:pPr>
      <w:r>
        <w:rPr>
          <w:rFonts w:ascii="Times New Roman" w:cs="Times New Roman" w:eastAsia="Times New Roman" w:hAnsi="Times New Roman"/>
          <w:b w:val="false"/>
          <w:bCs w:val="false"/>
          <w:i w:val="false"/>
          <w:iCs w:val="false"/>
          <w:sz w:val="24"/>
          <w:szCs w:val="24"/>
        </w:rPr>
        <w:t xml:space="preserve">Date: ________________________________</w:t>
      </w:r>
    </w:p>
    <w:p>
      <w:pPr>
        <w:spacing w:after="200"/>
        <w:jc w:val="left"/>
      </w:pPr>
      <w:r>
        <w:rPr>
          <w:rFonts w:ascii="Times New Roman" w:cs="Times New Roman" w:eastAsia="Times New Roman" w:hAnsi="Times New Roman"/>
          <w:b/>
          <w:bCs/>
          <w:i w:val="false"/>
          <w:iCs w:val="false"/>
          <w:sz w:val="24"/>
          <w:szCs w:val="24"/>
        </w:rPr>
        <w:t xml:space="preserve">{{BROKERAGE_LEGAL_NAME}}</w:t>
      </w:r>
    </w:p>
    <w:p>
      <w:pPr>
        <w:spacing w:after="40"/>
        <w:jc w:val="left"/>
      </w:pPr>
      <w:r>
        <w:rPr>
          <w:rFonts w:ascii="Times New Roman" w:cs="Times New Roman" w:eastAsia="Times New Roman" w:hAnsi="Times New Roman"/>
          <w:b w:val="false"/>
          <w:bCs w:val="false"/>
          <w:i w:val="false"/>
          <w:iCs w:val="false"/>
          <w:sz w:val="24"/>
          <w:szCs w:val="24"/>
        </w:rPr>
        <w:t xml:space="preserve">________________________________________</w:t>
      </w:r>
    </w:p>
    <w:p>
      <w:pPr>
        <w:spacing w:after="200"/>
        <w:jc w:val="left"/>
      </w:pPr>
      <w:r>
        <w:rPr>
          <w:rFonts w:ascii="Times New Roman" w:cs="Times New Roman" w:eastAsia="Times New Roman" w:hAnsi="Times New Roman"/>
          <w:b w:val="false"/>
          <w:bCs w:val="false"/>
          <w:i w:val="false"/>
          <w:iCs w:val="false"/>
          <w:sz w:val="24"/>
          <w:szCs w:val="24"/>
        </w:rPr>
        <w:t xml:space="preserve">Broker of Record / Authorized Signatory (Signature)</w:t>
      </w:r>
    </w:p>
    <w:p>
      <w:pPr>
        <w:spacing w:after="120"/>
        <w:jc w:val="left"/>
      </w:pPr>
      <w:r>
        <w:rPr>
          <w:rFonts w:ascii="Times New Roman" w:cs="Times New Roman" w:eastAsia="Times New Roman" w:hAnsi="Times New Roman"/>
          <w:b w:val="false"/>
          <w:bCs w:val="false"/>
          <w:i w:val="false"/>
          <w:iCs w:val="false"/>
          <w:sz w:val="24"/>
          <w:szCs w:val="24"/>
        </w:rPr>
        <w:t xml:space="preserve">Name (Print): {{BROKER_OF_RECORD}}</w:t>
      </w:r>
    </w:p>
    <w:p>
      <w:pPr>
        <w:spacing w:after="200"/>
        <w:jc w:val="left"/>
      </w:pPr>
      <w:r>
        <w:rPr>
          <w:rFonts w:ascii="Times New Roman" w:cs="Times New Roman" w:eastAsia="Times New Roman" w:hAnsi="Times New Roman"/>
          <w:b w:val="false"/>
          <w:bCs w:val="false"/>
          <w:i w:val="false"/>
          <w:iCs w:val="false"/>
          <w:sz w:val="24"/>
          <w:szCs w:val="24"/>
        </w:rPr>
        <w:t xml:space="preserve">Title: ________________________________</w:t>
      </w:r>
    </w:p>
    <w:p>
      <w:pPr>
        <w:spacing w:after="120"/>
        <w:jc w:val="left"/>
      </w:pPr>
      <w:r>
        <w:rPr>
          <w:rFonts w:ascii="Times New Roman" w:cs="Times New Roman" w:eastAsia="Times New Roman" w:hAnsi="Times New Roman"/>
          <w:b w:val="false"/>
          <w:bCs w:val="false"/>
          <w:i w:val="false"/>
          <w:iCs w:val="false"/>
          <w:sz w:val="24"/>
          <w:szCs w:val="24"/>
        </w:rPr>
        <w:t xml:space="preserve">Date: ________________________________</w:t>
      </w:r>
    </w:p>
    <w:p>
      <w:r>
        <w:br w:type="page"/>
      </w:r>
    </w:p>
    <w:p>
      <w:pPr>
        <w:spacing w:after="240"/>
        <w:jc w:val="center"/>
      </w:pPr>
      <w:r>
        <w:rPr>
          <w:rFonts w:ascii="Times New Roman" w:cs="Times New Roman" w:eastAsia="Times New Roman" w:hAnsi="Times New Roman"/>
          <w:b/>
          <w:bCs/>
          <w:i w:val="false"/>
          <w:iCs w:val="false"/>
          <w:sz w:val="28"/>
          <w:szCs w:val="28"/>
        </w:rPr>
        <w:t xml:space="preserve">SCHEDULE "A" — REFERRAL FEE SCHEDULE</w:t>
      </w:r>
    </w:p>
    <w:p>
      <w:pPr>
        <w:spacing w:after="200"/>
        <w:jc w:val="left"/>
      </w:pPr>
      <w:r>
        <w:rPr>
          <w:rFonts w:ascii="Times New Roman" w:cs="Times New Roman" w:eastAsia="Times New Roman" w:hAnsi="Times New Roman"/>
          <w:b w:val="false"/>
          <w:bCs w:val="false"/>
          <w:i w:val="false"/>
          <w:iCs w:val="false"/>
          <w:sz w:val="24"/>
          <w:szCs w:val="24"/>
        </w:rPr>
        <w:t xml:space="preserve">The following Referral Fee rates apply to commissions collected by Firm Funds through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E8E8E8" w:val="clear"/>
            <w:tcMar>
              <w:top w:type="dxa" w:w="60"/>
              <w:left w:type="dxa" w:w="120"/>
              <w:bottom w:type="dxa" w:w="60"/>
              <w:right w:type="dxa" w:w="120"/>
            </w:tcMar>
          </w:tcPr>
          <w:p>
            <w:pPr>
              <w:spacing w:after="0"/>
              <w:jc w:val="left"/>
            </w:pPr>
            <w:r>
              <w:rPr>
                <w:rFonts w:ascii="Times New Roman" w:cs="Times New Roman" w:eastAsia="Times New Roman" w:hAnsi="Times New Roman"/>
                <w:b/>
                <w:bCs/>
                <w:sz w:val="24"/>
                <w:szCs w:val="24"/>
              </w:rPr>
              <w:t xml:space="preserve">Item</w:t>
            </w:r>
          </w:p>
        </w:tc>
        <w:tc>
          <w:tcPr>
            <w:tcW w:type="dxa" w:w="4680"/>
            <w:tcBorders>
              <w:top w:val="single" w:color="999999" w:sz="1"/>
              <w:left w:val="single" w:color="999999" w:sz="1"/>
              <w:bottom w:val="single" w:color="999999" w:sz="1"/>
              <w:right w:val="single" w:color="999999" w:sz="1"/>
            </w:tcBorders>
            <w:shd w:fill="E8E8E8" w:val="clear"/>
            <w:tcMar>
              <w:top w:type="dxa" w:w="60"/>
              <w:left w:type="dxa" w:w="120"/>
              <w:bottom w:type="dxa" w:w="60"/>
              <w:right w:type="dxa" w:w="120"/>
            </w:tcMar>
          </w:tcPr>
          <w:p>
            <w:pPr>
              <w:spacing w:after="0"/>
              <w:jc w:val="left"/>
            </w:pPr>
            <w:r>
              <w:rPr>
                <w:rFonts w:ascii="Times New Roman" w:cs="Times New Roman" w:eastAsia="Times New Roman" w:hAnsi="Times New Roman"/>
                <w:b/>
                <w:bCs/>
                <w:sz w:val="24"/>
                <w:szCs w:val="24"/>
              </w:rPr>
              <w:t xml:space="preserve">Details</w:t>
            </w:r>
          </w:p>
        </w:tc>
      </w:tr>
      <w:tr>
        <w:tc>
          <w:tcPr>
            <w:tcW w:type="dxa" w:w="4680"/>
            <w:tcBorders>
              <w:top w:val="single" w:color="999999" w:sz="1"/>
              <w:left w:val="single" w:color="999999" w:sz="1"/>
              <w:bottom w:val="single" w:color="999999" w:sz="1"/>
              <w:right w:val="single" w:color="999999" w:sz="1"/>
            </w:tcBorders>
            <w:tcMar>
              <w:top w:type="dxa" w:w="40"/>
              <w:left w:type="dxa" w:w="120"/>
              <w:bottom w:type="dxa" w:w="40"/>
              <w:right w:type="dxa" w:w="120"/>
            </w:tcMar>
          </w:tcPr>
          <w:p>
            <w:pPr>
              <w:spacing w:after="0"/>
              <w:jc w:val="left"/>
            </w:pPr>
            <w:r>
              <w:rPr>
                <w:rFonts w:ascii="Times New Roman" w:cs="Times New Roman" w:eastAsia="Times New Roman" w:hAnsi="Times New Roman"/>
                <w:b/>
                <w:bCs/>
                <w:sz w:val="24"/>
                <w:szCs w:val="24"/>
              </w:rPr>
              <w:t xml:space="preserve">Referral Fee Rate</w:t>
            </w:r>
          </w:p>
        </w:tc>
        <w:tc>
          <w:tcPr>
            <w:tcW w:type="dxa" w:w="4680"/>
            <w:tcBorders>
              <w:top w:val="single" w:color="999999" w:sz="1"/>
              <w:left w:val="single" w:color="999999" w:sz="1"/>
              <w:bottom w:val="single" w:color="999999" w:sz="1"/>
              <w:right w:val="single" w:color="999999" w:sz="1"/>
            </w:tcBorders>
            <w:tcMar>
              <w:top w:type="dxa" w:w="40"/>
              <w:left w:type="dxa" w:w="120"/>
              <w:bottom w:type="dxa" w:w="40"/>
              <w:right w:type="dxa" w:w="120"/>
            </w:tcMar>
          </w:tcPr>
          <w:p>
            <w:pPr>
              <w:spacing w:after="0"/>
              <w:jc w:val="left"/>
            </w:pPr>
            <w:r>
              <w:rPr>
                <w:rFonts w:ascii="Times New Roman" w:cs="Times New Roman" w:eastAsia="Times New Roman" w:hAnsi="Times New Roman"/>
                <w:b w:val="false"/>
                <w:bCs w:val="false"/>
                <w:i w:val="false"/>
                <w:iCs w:val="false"/>
                <w:sz w:val="24"/>
                <w:szCs w:val="24"/>
              </w:rPr>
              <w:t xml:space="preserve">{{REFERRAL_FEE_PERCENTAGE}}% of the Purchase Discount</w:t>
            </w:r>
          </w:p>
        </w:tc>
      </w:tr>
      <w:tr>
        <w:tc>
          <w:tcPr>
            <w:tcW w:type="dxa" w:w="4680"/>
            <w:tcBorders>
              <w:top w:val="single" w:color="999999" w:sz="1"/>
              <w:left w:val="single" w:color="999999" w:sz="1"/>
              <w:bottom w:val="single" w:color="999999" w:sz="1"/>
              <w:right w:val="single" w:color="999999" w:sz="1"/>
            </w:tcBorders>
            <w:tcMar>
              <w:top w:type="dxa" w:w="40"/>
              <w:left w:type="dxa" w:w="120"/>
              <w:bottom w:type="dxa" w:w="40"/>
              <w:right w:type="dxa" w:w="120"/>
            </w:tcMar>
          </w:tcPr>
          <w:p>
            <w:pPr>
              <w:spacing w:after="0"/>
              <w:jc w:val="left"/>
            </w:pPr>
            <w:r>
              <w:rPr>
                <w:rFonts w:ascii="Times New Roman" w:cs="Times New Roman" w:eastAsia="Times New Roman" w:hAnsi="Times New Roman"/>
                <w:b/>
                <w:bCs/>
                <w:sz w:val="24"/>
                <w:szCs w:val="24"/>
              </w:rPr>
              <w:t xml:space="preserve">Basis</w:t>
            </w:r>
          </w:p>
        </w:tc>
        <w:tc>
          <w:tcPr>
            <w:tcW w:type="dxa" w:w="4680"/>
            <w:tcBorders>
              <w:top w:val="single" w:color="999999" w:sz="1"/>
              <w:left w:val="single" w:color="999999" w:sz="1"/>
              <w:bottom w:val="single" w:color="999999" w:sz="1"/>
              <w:right w:val="single" w:color="999999" w:sz="1"/>
            </w:tcBorders>
            <w:tcMar>
              <w:top w:type="dxa" w:w="40"/>
              <w:left w:type="dxa" w:w="120"/>
              <w:bottom w:type="dxa" w:w="40"/>
              <w:right w:type="dxa" w:w="120"/>
            </w:tcMar>
          </w:tcPr>
          <w:p>
            <w:pPr>
              <w:spacing w:after="0"/>
              <w:jc w:val="left"/>
            </w:pPr>
            <w:r>
              <w:rPr>
                <w:rFonts w:ascii="Times New Roman" w:cs="Times New Roman" w:eastAsia="Times New Roman" w:hAnsi="Times New Roman"/>
                <w:b w:val="false"/>
                <w:bCs w:val="false"/>
                <w:i w:val="false"/>
                <w:iCs w:val="false"/>
                <w:sz w:val="24"/>
                <w:szCs w:val="24"/>
              </w:rPr>
              <w:t xml:space="preserve">Percentage of the Purchase Discount (fee charged to Agent), not the Face Value</w:t>
            </w:r>
          </w:p>
        </w:tc>
      </w:tr>
      <w:tr>
        <w:tc>
          <w:tcPr>
            <w:tcW w:type="dxa" w:w="4680"/>
            <w:tcBorders>
              <w:top w:val="single" w:color="999999" w:sz="1"/>
              <w:left w:val="single" w:color="999999" w:sz="1"/>
              <w:bottom w:val="single" w:color="999999" w:sz="1"/>
              <w:right w:val="single" w:color="999999" w:sz="1"/>
            </w:tcBorders>
            <w:tcMar>
              <w:top w:type="dxa" w:w="40"/>
              <w:left w:type="dxa" w:w="120"/>
              <w:bottom w:type="dxa" w:w="40"/>
              <w:right w:type="dxa" w:w="120"/>
            </w:tcMar>
          </w:tcPr>
          <w:p>
            <w:pPr>
              <w:spacing w:after="0"/>
              <w:jc w:val="left"/>
            </w:pPr>
            <w:r>
              <w:rPr>
                <w:rFonts w:ascii="Times New Roman" w:cs="Times New Roman" w:eastAsia="Times New Roman" w:hAnsi="Times New Roman"/>
                <w:b/>
                <w:bCs/>
                <w:sz w:val="24"/>
                <w:szCs w:val="24"/>
              </w:rPr>
              <w:t xml:space="preserve">Payment Frequency</w:t>
            </w:r>
          </w:p>
        </w:tc>
        <w:tc>
          <w:tcPr>
            <w:tcW w:type="dxa" w:w="4680"/>
            <w:tcBorders>
              <w:top w:val="single" w:color="999999" w:sz="1"/>
              <w:left w:val="single" w:color="999999" w:sz="1"/>
              <w:bottom w:val="single" w:color="999999" w:sz="1"/>
              <w:right w:val="single" w:color="999999" w:sz="1"/>
            </w:tcBorders>
            <w:tcMar>
              <w:top w:type="dxa" w:w="40"/>
              <w:left w:type="dxa" w:w="120"/>
              <w:bottom w:type="dxa" w:w="40"/>
              <w:right w:type="dxa" w:w="120"/>
            </w:tcMar>
          </w:tcPr>
          <w:p>
            <w:pPr>
              <w:spacing w:after="0"/>
              <w:jc w:val="left"/>
            </w:pPr>
            <w:r>
              <w:rPr>
                <w:rFonts w:ascii="Times New Roman" w:cs="Times New Roman" w:eastAsia="Times New Roman" w:hAnsi="Times New Roman"/>
                <w:b w:val="false"/>
                <w:bCs w:val="false"/>
                <w:i w:val="false"/>
                <w:iCs w:val="false"/>
                <w:sz w:val="24"/>
                <w:szCs w:val="24"/>
              </w:rPr>
              <w:t xml:space="preserve">Monthly, within 15 business days of month-end</w:t>
            </w:r>
          </w:p>
        </w:tc>
      </w:tr>
      <w:tr>
        <w:tc>
          <w:tcPr>
            <w:tcW w:type="dxa" w:w="4680"/>
            <w:tcBorders>
              <w:top w:val="single" w:color="999999" w:sz="1"/>
              <w:left w:val="single" w:color="999999" w:sz="1"/>
              <w:bottom w:val="single" w:color="999999" w:sz="1"/>
              <w:right w:val="single" w:color="999999" w:sz="1"/>
            </w:tcBorders>
            <w:tcMar>
              <w:top w:type="dxa" w:w="40"/>
              <w:left w:type="dxa" w:w="120"/>
              <w:bottom w:type="dxa" w:w="40"/>
              <w:right w:type="dxa" w:w="120"/>
            </w:tcMar>
          </w:tcPr>
          <w:p>
            <w:pPr>
              <w:spacing w:after="0"/>
              <w:jc w:val="left"/>
            </w:pPr>
            <w:r>
              <w:rPr>
                <w:rFonts w:ascii="Times New Roman" w:cs="Times New Roman" w:eastAsia="Times New Roman" w:hAnsi="Times New Roman"/>
                <w:b/>
                <w:bCs/>
                <w:sz w:val="24"/>
                <w:szCs w:val="24"/>
              </w:rPr>
              <w:t xml:space="preserve">Payment Method</w:t>
            </w:r>
          </w:p>
        </w:tc>
        <w:tc>
          <w:tcPr>
            <w:tcW w:type="dxa" w:w="4680"/>
            <w:tcBorders>
              <w:top w:val="single" w:color="999999" w:sz="1"/>
              <w:left w:val="single" w:color="999999" w:sz="1"/>
              <w:bottom w:val="single" w:color="999999" w:sz="1"/>
              <w:right w:val="single" w:color="999999" w:sz="1"/>
            </w:tcBorders>
            <w:tcMar>
              <w:top w:type="dxa" w:w="40"/>
              <w:left w:type="dxa" w:w="120"/>
              <w:bottom w:type="dxa" w:w="40"/>
              <w:right w:type="dxa" w:w="120"/>
            </w:tcMar>
          </w:tcPr>
          <w:p>
            <w:pPr>
              <w:spacing w:after="0"/>
              <w:jc w:val="left"/>
            </w:pPr>
            <w:r>
              <w:rPr>
                <w:rFonts w:ascii="Times New Roman" w:cs="Times New Roman" w:eastAsia="Times New Roman" w:hAnsi="Times New Roman"/>
                <w:b w:val="false"/>
                <w:bCs w:val="false"/>
                <w:i w:val="false"/>
                <w:iCs w:val="false"/>
                <w:sz w:val="24"/>
                <w:szCs w:val="24"/>
              </w:rPr>
              <w:t xml:space="preserve">Electronic funds transfer</w:t>
            </w:r>
          </w:p>
        </w:tc>
      </w:tr>
      <w:tr>
        <w:tc>
          <w:tcPr>
            <w:tcW w:type="dxa" w:w="4680"/>
            <w:tcBorders>
              <w:top w:val="single" w:color="999999" w:sz="1"/>
              <w:left w:val="single" w:color="999999" w:sz="1"/>
              <w:bottom w:val="single" w:color="999999" w:sz="1"/>
              <w:right w:val="single" w:color="999999" w:sz="1"/>
            </w:tcBorders>
            <w:tcMar>
              <w:top w:type="dxa" w:w="40"/>
              <w:left w:type="dxa" w:w="120"/>
              <w:bottom w:type="dxa" w:w="40"/>
              <w:right w:type="dxa" w:w="120"/>
            </w:tcMar>
          </w:tcPr>
          <w:p>
            <w:pPr>
              <w:spacing w:after="0"/>
              <w:jc w:val="left"/>
            </w:pPr>
            <w:r>
              <w:rPr>
                <w:rFonts w:ascii="Times New Roman" w:cs="Times New Roman" w:eastAsia="Times New Roman" w:hAnsi="Times New Roman"/>
                <w:b/>
                <w:bCs/>
                <w:sz w:val="24"/>
                <w:szCs w:val="24"/>
              </w:rPr>
              <w:t xml:space="preserve">Minimum Term for Rate</w:t>
            </w:r>
          </w:p>
        </w:tc>
        <w:tc>
          <w:tcPr>
            <w:tcW w:type="dxa" w:w="4680"/>
            <w:tcBorders>
              <w:top w:val="single" w:color="999999" w:sz="1"/>
              <w:left w:val="single" w:color="999999" w:sz="1"/>
              <w:bottom w:val="single" w:color="999999" w:sz="1"/>
              <w:right w:val="single" w:color="999999" w:sz="1"/>
            </w:tcBorders>
            <w:tcMar>
              <w:top w:type="dxa" w:w="40"/>
              <w:left w:type="dxa" w:w="120"/>
              <w:bottom w:type="dxa" w:w="40"/>
              <w:right w:type="dxa" w:w="120"/>
            </w:tcMar>
          </w:tcPr>
          <w:p>
            <w:pPr>
              <w:spacing w:after="0"/>
              <w:jc w:val="left"/>
            </w:pPr>
            <w:r>
              <w:rPr>
                <w:rFonts w:ascii="Times New Roman" w:cs="Times New Roman" w:eastAsia="Times New Roman" w:hAnsi="Times New Roman"/>
                <w:b w:val="false"/>
                <w:bCs w:val="false"/>
                <w:i w:val="false"/>
                <w:iCs w:val="false"/>
                <w:sz w:val="24"/>
                <w:szCs w:val="24"/>
              </w:rPr>
              <w:t xml:space="preserve">12 months from the date of this Agreement</w:t>
            </w:r>
          </w:p>
        </w:tc>
      </w:tr>
    </w:tbl>
    <w:p>
      <w:pPr>
        <w:spacing w:after="120"/>
      </w:pPr>
    </w:p>
    <w:p>
      <w:pPr>
        <w:spacing w:after="200"/>
        <w:jc w:val="left"/>
      </w:pPr>
      <w:r>
        <w:rPr>
          <w:rFonts w:ascii="Times New Roman" w:cs="Times New Roman" w:eastAsia="Times New Roman" w:hAnsi="Times New Roman"/>
          <w:i/>
          <w:iCs/>
          <w:sz w:val="24"/>
          <w:szCs w:val="24"/>
        </w:rPr>
        <w:t xml:space="preserve">The Referral Fee rate may be amended from time to time by mutual written agreement of the Parties.</w:t>
      </w:r>
    </w:p>
    <w:p>
      <w:pPr>
        <w:spacing w:after="200"/>
        <w:jc w:val="left"/>
      </w:pPr>
      <w:r>
        <w:rPr>
          <w:rFonts w:ascii="Times New Roman" w:cs="Times New Roman" w:eastAsia="Times New Roman" w:hAnsi="Times New Roman"/>
          <w:b/>
          <w:bCs/>
          <w:i w:val="false"/>
          <w:iCs w:val="false"/>
          <w:sz w:val="24"/>
          <w:szCs w:val="24"/>
        </w:rPr>
        <w:t xml:space="preserve">Agreed to by:</w:t>
      </w:r>
    </w:p>
    <w:p>
      <w:pPr>
        <w:spacing w:after="120"/>
        <w:jc w:val="left"/>
      </w:pPr>
      <w:r>
        <w:rPr>
          <w:rFonts w:ascii="Times New Roman" w:cs="Times New Roman" w:eastAsia="Times New Roman" w:hAnsi="Times New Roman"/>
          <w:b w:val="false"/>
          <w:bCs w:val="false"/>
          <w:i w:val="false"/>
          <w:iCs w:val="false"/>
          <w:sz w:val="24"/>
          <w:szCs w:val="24"/>
        </w:rPr>
        <w:t xml:space="preserve">Firm Funds Inc.: ________________________  Date: ________________</w:t>
      </w:r>
    </w:p>
    <w:p>
      <w:pPr>
        <w:spacing w:after="120"/>
        <w:jc w:val="left"/>
      </w:pPr>
      <w:r>
        <w:rPr>
          <w:rFonts w:ascii="Times New Roman" w:cs="Times New Roman" w:eastAsia="Times New Roman" w:hAnsi="Times New Roman"/>
          <w:b w:val="false"/>
          <w:bCs w:val="false"/>
          <w:i w:val="false"/>
          <w:iCs w:val="false"/>
          <w:sz w:val="24"/>
          <w:szCs w:val="24"/>
        </w:rPr>
        <w:t xml:space="preserve">{{BROKERAGE_LEGAL_NAME}}: ________________________  Date: 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b/>
        <w:bCs/>
        <w:sz w:val="18"/>
        <w:szCs w:val="18"/>
      </w:rPr>
      <w:t xml:space="preserve">FIRM FUNDS INC.</w:t>
    </w:r>
    <w:r>
      <w:rPr>
        <w:rFonts w:ascii="Times New Roman" w:cs="Times New Roman" w:eastAsia="Times New Roman" w:hAnsi="Times New Roman"/>
        <w:sz w:val="18"/>
        <w:szCs w:val="18"/>
      </w:rPr>
      <w:t xml:space="preserve"> — Brokerage Cooperation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2026-04-05T16:18:55.994Z</dcterms:created>
  <dcterms:modified xsi:type="dcterms:W3CDTF">2026-04-05T16:18:55.995Z</dcterms:modified>
</cp:coreProperties>
</file>

<file path=docProps/custom.xml><?xml version="1.0" encoding="utf-8"?>
<Properties xmlns="http://schemas.openxmlformats.org/officeDocument/2006/custom-properties" xmlns:vt="http://schemas.openxmlformats.org/officeDocument/2006/docPropsVTypes"/>
</file>