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r="http://schemas.openxmlformats.org/officeDocument/2006/relationships" xmlns:w="http://schemas.openxmlformats.org/wordprocessingml/2006/main" ns1:Ignorable="w14 wp14">
  <w:body>
    <w:p>
      <w:pPr>
        <w:spacing w:before="1520"/>
        <w:jc w:val="center"/>
      </w:pPr>
      <w:r>
        <w:rPr>
          <w:rFonts w:ascii="Noto Sans CJK TC" w:hAnsi="Noto Sans CJK TC" w:eastAsia="Noto Sans CJK TC"/>
          <w:b/>
          <w:i w:val="0"/>
          <w:color w:val="17365D"/>
          <w:sz w:val="58"/>
        </w:rPr>
        <w:t>AI Powered BI</w:t>
      </w:r>
    </w:p>
    <w:p>
      <w:pPr>
        <w:jc w:val="center"/>
      </w:pPr>
      <w:r>
        <w:rPr>
          <w:rFonts w:ascii="Noto Sans CJK TC" w:hAnsi="Noto Sans CJK TC" w:eastAsia="Noto Sans CJK TC"/>
          <w:b/>
          <w:i w:val="0"/>
          <w:color w:val="44546A"/>
          <w:sz w:val="44"/>
        </w:rPr>
        <w:t>Phase 0 Home Lab</w:t>
      </w:r>
    </w:p>
    <w:p>
      <w:pPr>
        <w:jc w:val="center"/>
      </w:pPr>
      <w:r>
        <w:rPr>
          <w:rFonts w:ascii="Noto Sans CJK TC" w:hAnsi="Noto Sans CJK TC" w:eastAsia="Noto Sans CJK TC"/>
          <w:b/>
          <w:i w:val="0"/>
          <w:color w:val="5B9BD5"/>
          <w:sz w:val="34"/>
        </w:rPr>
        <w:t>完整實作工作說明書／Coding Agent 施工規格</w:t>
      </w:r>
    </w:p>
    <w:p>
      <w:pPr>
        <w:spacing w:before="240"/>
        <w:jc w:val="center"/>
      </w:pPr>
      <w:r>
        <w:rPr>
          <w:rFonts w:ascii="Noto Sans CJK TC" w:hAnsi="Noto Sans CJK TC" w:eastAsia="Noto Sans CJK TC"/>
          <w:b/>
          <w:i w:val="0"/>
          <w:color w:val="5B9BD5"/>
          <w:sz w:val="27"/>
        </w:rPr>
        <w:t>v2.0 — FULL Cumulative（已修正 17 題 Golden 門檻、移除 AdventureWorks 強制阻塞、補充 JDE Cube 與網路規範）</w:t>
      </w:r>
    </w:p>
    <w:p>
      <w:pPr>
        <w:spacing w:before="560"/>
        <w:jc w:val="center"/>
      </w:pPr>
      <w:r>
        <w:rPr>
          <w:rFonts w:ascii="Noto Sans CJK TC" w:hAnsi="Noto Sans CJK TC" w:eastAsia="Noto Sans CJK TC"/>
          <w:b w:val="0"/>
          <w:i w:val="0"/>
          <w:color w:val="333333"/>
          <w:sz w:val="27"/>
        </w:rPr>
        <w:t>Microsoft 官方 Adventure Works 基準 → SyntheticSalesBI → SSAS Multidimensional Cube</w:t>
        <w:br/>
        <w:t>→ MDX Ground Truth → ADOMD.NET → Semantic Intent / Query IR → LLM → React / ECharts</w:t>
      </w:r>
    </w:p>
    <w:p>
      <w:pPr>
        <w:spacing w:before="840"/>
        <w:jc w:val="center"/>
      </w:pPr>
      <w:r>
        <w:rPr>
          <w:rFonts w:ascii="Noto Sans CJK TC" w:hAnsi="Noto Sans CJK TC" w:eastAsia="Noto Sans CJK TC"/>
          <w:b w:val="0"/>
          <w:i w:val="0"/>
          <w:color w:val="666666"/>
          <w:sz w:val="23"/>
        </w:rPr>
        <w:t>文件日期：2026 年 10 月 21 日（初版：2026 年 8 月 14 日）</w:t>
        <w:br/>
        <w:t>文件狀態：Phase 0 Execution Authority</w:t>
      </w:r>
    </w:p>
    <w:p>
      <w:r>
        <w:br w:type="page"/>
      </w:r>
    </w:p>
    <w:p>
      <w:pPr>
        <w:pStyle w:val="Heading1"/>
        <w:spacing w:before="0" w:after="100" w:line="293" w:lineRule="auto"/>
      </w:pPr>
      <w:r>
        <w:rPr>
          <w:rFonts w:ascii="Noto Sans CJK TC" w:hAnsi="Noto Sans CJK TC" w:eastAsia="Noto Sans CJK TC"/>
          <w:b w:val="0"/>
          <w:i w:val="0"/>
          <w:color w:val="222222"/>
          <w:sz w:val="26"/>
        </w:rPr>
        <w:t>文件控制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0"/>
        <w:gridCol w:w="5170"/>
      </w:tblGrid>
      <w:tr>
        <w:trPr>
          <w:tblHeader w:val="true"/>
          <w:cantSplit/>
        </w:trPr>
        <w:tc>
          <w:tcPr>
            <w:tcW w:type="dxa" w:w="5170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i w:val="0"/>
                <w:color w:val="FFFFFF"/>
                <w:sz w:val="21"/>
              </w:rPr>
              <w:t>項目</w:t>
            </w:r>
          </w:p>
        </w:tc>
        <w:tc>
          <w:tcPr>
            <w:tcW w:type="dxa" w:w="5170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i w:val="0"/>
                <w:color w:val="FFFFFF"/>
                <w:sz w:val="21"/>
              </w:rPr>
              <w:t>內容</w:t>
            </w:r>
          </w:p>
        </w:tc>
      </w:tr>
      <w:tr>
        <w:trPr>
          <w:cantSplit/>
        </w:trPr>
        <w:tc>
          <w:tcPr>
            <w:tcW w:type="dxa" w:w="194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/>
                <w:i w:val="0"/>
                <w:color w:val="222222"/>
                <w:sz w:val="21"/>
              </w:rPr>
              <w:t>文件名稱</w:t>
            </w:r>
          </w:p>
        </w:tc>
        <w:tc>
          <w:tcPr>
            <w:tcW w:type="dxa" w:w="856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21"/>
              </w:rPr>
              <w:t>AI Powered BI Phase 0 Home Lab 完整實作工作說明書／Coding Agent 施工規格</w:t>
            </w:r>
          </w:p>
        </w:tc>
      </w:tr>
      <w:tr>
        <w:trPr>
          <w:cantSplit/>
        </w:trPr>
        <w:tc>
          <w:tcPr>
            <w:tcW w:type="dxa" w:w="194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3F6F8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/>
                <w:i w:val="0"/>
                <w:color w:val="222222"/>
                <w:sz w:val="21"/>
              </w:rPr>
              <w:t>版本</w:t>
            </w:r>
          </w:p>
        </w:tc>
        <w:tc>
          <w:tcPr>
            <w:tcW w:type="dxa" w:w="856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3F6F8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21"/>
              </w:rPr>
              <w:t>v2.0 — FULL Cumulative（已修正 17 題 Golden 門檻、移除 AdventureWorks 強制阻塞、補充 JDE Cube 與網路規範）</w:t>
            </w:r>
          </w:p>
        </w:tc>
      </w:tr>
      <w:tr>
        <w:trPr>
          <w:cantSplit/>
        </w:trPr>
        <w:tc>
          <w:tcPr>
            <w:tcW w:type="dxa" w:w="194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/>
                <w:i w:val="0"/>
                <w:color w:val="222222"/>
                <w:sz w:val="21"/>
              </w:rPr>
              <w:t>日期</w:t>
            </w:r>
          </w:p>
        </w:tc>
        <w:tc>
          <w:tcPr>
            <w:tcW w:type="dxa" w:w="856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21"/>
              </w:rPr>
              <w:t>2026-10-21</w:t>
            </w:r>
          </w:p>
        </w:tc>
      </w:tr>
      <w:tr>
        <w:trPr>
          <w:cantSplit/>
        </w:trPr>
        <w:tc>
          <w:tcPr>
            <w:tcW w:type="dxa" w:w="194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3F6F8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/>
                <w:i w:val="0"/>
                <w:color w:val="222222"/>
                <w:sz w:val="21"/>
              </w:rPr>
              <w:t>上位 Authority</w:t>
            </w:r>
          </w:p>
        </w:tc>
        <w:tc>
          <w:tcPr>
            <w:tcW w:type="dxa" w:w="856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3F6F8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21"/>
              </w:rPr>
              <w:t>AI Powered BI 專案計畫書 v2.0 — FULL Cumulative（已修正 17 題 Golden 門檻、移除 AdventureWorks 強制阻塞、補充 JDE Cube 與網路規範） Baseline</w:t>
            </w:r>
          </w:p>
        </w:tc>
      </w:tr>
      <w:tr>
        <w:trPr>
          <w:cantSplit/>
        </w:trPr>
        <w:tc>
          <w:tcPr>
            <w:tcW w:type="dxa" w:w="194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/>
                <w:i w:val="0"/>
                <w:color w:val="222222"/>
                <w:sz w:val="21"/>
              </w:rPr>
              <w:t>資料 Authority</w:t>
            </w:r>
          </w:p>
        </w:tc>
        <w:tc>
          <w:tcPr>
            <w:tcW w:type="dxa" w:w="856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21"/>
              </w:rPr>
              <w:t>Synthetic Sales BI Benchmark Dataset v2.0 + evaluation expected results</w:t>
            </w:r>
          </w:p>
        </w:tc>
      </w:tr>
      <w:tr>
        <w:trPr>
          <w:cantSplit/>
        </w:trPr>
        <w:tc>
          <w:tcPr>
            <w:tcW w:type="dxa" w:w="194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3F6F8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/>
                <w:i w:val="0"/>
                <w:color w:val="222222"/>
                <w:sz w:val="21"/>
              </w:rPr>
              <w:t>執行範圍</w:t>
            </w:r>
          </w:p>
        </w:tc>
        <w:tc>
          <w:tcPr>
            <w:tcW w:type="dxa" w:w="856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3F6F8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21"/>
              </w:rPr>
              <w:t>Home Lab Phase 0 Revalidation；從 Microsoft 官方 Cube 基準至 AI + ECharts vertical slice。</w:t>
            </w:r>
          </w:p>
        </w:tc>
      </w:tr>
      <w:tr>
        <w:trPr>
          <w:cantSplit/>
        </w:trPr>
        <w:tc>
          <w:tcPr>
            <w:tcW w:type="dxa" w:w="194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/>
                <w:i w:val="0"/>
                <w:color w:val="222222"/>
                <w:sz w:val="21"/>
              </w:rPr>
              <w:t>不包含</w:t>
            </w:r>
          </w:p>
        </w:tc>
        <w:tc>
          <w:tcPr>
            <w:tcW w:type="dxa" w:w="856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21"/>
              </w:rPr>
              <w:t>正式 Production、公司真實資料、完整 SSO、Voice、Phase 1 security acceptance、Phase 3 analytical agent。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40"/>
      </w:tblGrid>
      <w:tr>
        <w:trPr>
          <w:cantSplit/>
        </w:trPr>
        <w:tc>
          <w:tcPr>
            <w:tcW w:type="dxa" w:w="10340"/>
            <w:shd w:fill="E2F0D9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b/>
                <w:i w:val="0"/>
                <w:color w:val="17365D"/>
                <w:sz w:val="24"/>
              </w:rPr>
              <w:t>Authority / Conflict Rule</w:t>
            </w:r>
          </w:p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23"/>
              </w:rPr>
              <w:t>Project Plan 管專案方向；本文件管理 Phase 0 施工；Synthetic Dataset v2.0 管資料與 Ground Truth。若三者衝突，Coding Agent 不得自行推翻上位 Authority，必須停止並記錄衝突。</w:t>
            </w:r>
          </w:p>
        </w:tc>
      </w:tr>
    </w:tbl>
    <w:p>
      <w:pPr>
        <w:spacing w:after="20"/>
      </w:pPr>
    </w:p>
    <w:p>
      <w:pPr>
        <w:pStyle w:val="Heading1"/>
        <w:widowControl/>
        <w:spacing w:before="0" w:after="120" w:line="300" w:lineRule="auto"/>
      </w:pPr>
      <w:r>
        <w:rPr>
          <w:rFonts w:ascii="Noto Sans CJK TC" w:hAnsi="Noto Sans CJK TC" w:eastAsia="Noto Sans CJK TC"/>
          <w:b w:val="0"/>
          <w:color w:val="222222"/>
          <w:sz w:val="28"/>
        </w:rPr>
        <w:t>版本修訂紀錄與 v2.0 勘誤暨增補說明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00"/>
        <w:gridCol w:w="1400"/>
        <w:gridCol w:w="1800"/>
        <w:gridCol w:w="5866"/>
      </w:tblGrid>
      <w:tr>
        <w:trPr>
          <w:tblHeader w:val="true"/>
          <w:cantSplit/>
        </w:trPr>
        <w:tc>
          <w:tcPr>
            <w:tcW w:type="dxa" w:w="1100"/>
            <w:shd w:fill="17365D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23"/>
              </w:rPr>
              <w:t>版本</w:t>
            </w:r>
          </w:p>
        </w:tc>
        <w:tc>
          <w:tcPr>
            <w:tcW w:type="dxa" w:w="1400"/>
            <w:shd w:fill="17365D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23"/>
              </w:rPr>
              <w:t>日期</w:t>
            </w:r>
          </w:p>
        </w:tc>
        <w:tc>
          <w:tcPr>
            <w:tcW w:type="dxa" w:w="1800"/>
            <w:shd w:fill="17365D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23"/>
              </w:rPr>
              <w:t>修訂項目</w:t>
            </w:r>
          </w:p>
        </w:tc>
        <w:tc>
          <w:tcPr>
            <w:tcW w:type="dxa" w:w="5866"/>
            <w:shd w:fill="17365D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23"/>
              </w:rPr>
              <w:t>詳細修正與增補內容</w:t>
            </w:r>
          </w:p>
        </w:tc>
      </w:tr>
      <w:tr>
        <w:trPr>
          <w:cantSplit/>
        </w:trPr>
        <w:tc>
          <w:tcPr>
            <w:tcW w:type="dxa" w:w="11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Noto Sans CJK TC" w:hAnsi="Noto Sans CJK TC" w:eastAsia="Noto Sans CJK TC"/>
                <w:b/>
                <w:color w:val="222222"/>
                <w:sz w:val="22"/>
              </w:rPr>
              <w:t>v1.0</w:t>
            </w:r>
          </w:p>
        </w:tc>
        <w:tc>
          <w:tcPr>
            <w:tcW w:type="dxa" w:w="14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Noto Sans CJK TC" w:hAnsi="Noto Sans CJK TC" w:eastAsia="Noto Sans CJK TC"/>
                <w:color w:val="222222"/>
                <w:sz w:val="22"/>
              </w:rPr>
              <w:t>2026-08-14</w:t>
            </w:r>
          </w:p>
        </w:tc>
        <w:tc>
          <w:tcPr>
            <w:tcW w:type="dxa" w:w="18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Noto Sans CJK TC" w:hAnsi="Noto Sans CJK TC" w:eastAsia="Noto Sans CJK TC"/>
                <w:color w:val="222222"/>
                <w:sz w:val="22"/>
              </w:rPr>
              <w:t>初版規格</w:t>
            </w:r>
          </w:p>
        </w:tc>
        <w:tc>
          <w:tcPr>
            <w:tcW w:type="dxa" w:w="586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Noto Sans CJK TC" w:hAnsi="Noto Sans CJK TC" w:eastAsia="Noto Sans CJK TC"/>
                <w:color w:val="222222"/>
                <w:sz w:val="22"/>
              </w:rPr>
              <w:t>建立 Home Lab Phase 0 施工規格初版。</w:t>
            </w:r>
          </w:p>
        </w:tc>
      </w:tr>
      <w:tr>
        <w:trPr>
          <w:cantSplit/>
        </w:trPr>
        <w:tc>
          <w:tcPr>
            <w:tcW w:type="dxa" w:w="1100"/>
            <w:shd w:fill="F3F6F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Noto Sans CJK TC" w:hAnsi="Noto Sans CJK TC" w:eastAsia="Noto Sans CJK TC"/>
                <w:b/>
                <w:color w:val="222222"/>
                <w:sz w:val="22"/>
              </w:rPr>
              <w:t>v2.0</w:t>
            </w:r>
          </w:p>
        </w:tc>
        <w:tc>
          <w:tcPr>
            <w:tcW w:type="dxa" w:w="1400"/>
            <w:shd w:fill="F3F6F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Noto Sans CJK TC" w:hAnsi="Noto Sans CJK TC" w:eastAsia="Noto Sans CJK TC"/>
                <w:color w:val="222222"/>
                <w:sz w:val="22"/>
              </w:rPr>
              <w:t>2026-10-21</w:t>
            </w:r>
          </w:p>
        </w:tc>
        <w:tc>
          <w:tcPr>
            <w:tcW w:type="dxa" w:w="1800"/>
            <w:shd w:fill="F3F6F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Noto Sans CJK TC" w:hAnsi="Noto Sans CJK TC" w:eastAsia="Noto Sans CJK TC"/>
                <w:color w:val="222222"/>
                <w:sz w:val="22"/>
              </w:rPr>
              <w:t>勘誤與實務增補</w:t>
            </w:r>
          </w:p>
        </w:tc>
        <w:tc>
          <w:tcPr>
            <w:tcW w:type="dxa" w:w="5866"/>
            <w:shd w:fill="F3F6F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widowControl/>
              <w:spacing w:after="40"/>
            </w:pPr>
            <w:r>
              <w:rPr>
                <w:rFonts w:ascii="Noto Sans CJK TC" w:hAnsi="Noto Sans CJK TC" w:eastAsia="Noto Sans CJK TC"/>
                <w:color w:val="222222"/>
                <w:sz w:val="22"/>
              </w:rPr>
              <w:t>1. 【修正錯誤】修正 v1.0 第 4 節 WP11 與第 21 節步驟 14 誤寫為「16 題」之前後矛盾，全文件統一為「17 題 Phase 0 Required Golden Questions」（Q01–Q06, Q09–Q13, Q15, Q17, Q18, Q20, Q24, Q25），連同 6 題 Deferred（Q07, Q08, Q14, Q19, Q21, Q22）與 2 題 Expected Rejection（Q16, Q23）共 25 題。</w:t>
            </w:r>
          </w:p>
          <w:p>
            <w:pPr>
              <w:widowControl/>
              <w:spacing w:after="40"/>
            </w:pPr>
            <w:r>
              <w:rPr>
                <w:rFonts w:ascii="Noto Sans CJK TC" w:hAnsi="Noto Sans CJK TC" w:eastAsia="Noto Sans CJK TC"/>
                <w:color w:val="222222"/>
                <w:sz w:val="22"/>
              </w:rPr>
              <w:t>2. 【刪除不適用】移除 WP2 對外部下載 `AdventureWorksDW2019.bak` 之強制阻塞依賴，改為選用；開發環境可直接以自包含之 `SyntheticSalesBI` 或 `JDE_CUBE_SYNTHETIC_20261020` 進行端到端 SSAS Multidimensional 驗證。</w:t>
            </w:r>
          </w:p>
          <w:p>
            <w:pPr>
              <w:widowControl/>
              <w:spacing w:after="40"/>
            </w:pPr>
            <w:r>
              <w:rPr>
                <w:rFonts w:ascii="Noto Sans CJK TC" w:hAnsi="Noto Sans CJK TC" w:eastAsia="Noto Sans CJK TC"/>
                <w:color w:val="222222"/>
                <w:sz w:val="22"/>
              </w:rPr>
              <w:t>3. 【修正錯誤】移除預設使用 `5150` 埠之假設（Windows 常因 WinNAT 排除區間 `5141–5240` 導致綁定失敗），改採 `5080`/`5173` 或 `55150`/`55154`。</w:t>
            </w:r>
          </w:p>
          <w:p>
            <w:pPr>
              <w:widowControl/>
              <w:spacing w:after="0"/>
            </w:pPr>
            <w:r>
              <w:rPr>
                <w:rFonts w:ascii="Noto Sans CJK TC" w:hAnsi="Noto Sans CJK TC" w:eastAsia="Noto Sans CJK TC"/>
                <w:color w:val="222222"/>
                <w:sz w:val="22"/>
              </w:rPr>
              <w:t>4. 【補充完整】新增 Windows 防火牆對 `nvm-windows` 符號連結（Symlink）之真實執行檔路徑解析規範、PowerShell `-File` 呼叫 ADOMD.NET 規範，以及 SIP2 `JDE_SALES_CUBE_20261020` 實務驗證資料集基線。</w:t>
            </w:r>
          </w:p>
        </w:tc>
      </w:tr>
    </w:tbl>
    <w:p>
      <w:pPr>
        <w:widowControl/>
        <w:spacing w:after="20"/>
      </w:pPr>
    </w:p>
    <w:p>
      <w:pPr>
        <w:pStyle w:val="Heading1"/>
        <w:spacing w:before="0" w:after="100" w:line="293" w:lineRule="auto"/>
      </w:pPr>
      <w:r>
        <w:rPr>
          <w:rFonts w:ascii="Noto Sans CJK TC" w:hAnsi="Noto Sans CJK TC" w:eastAsia="Noto Sans CJK TC"/>
          <w:b w:val="0"/>
          <w:i w:val="0"/>
          <w:color w:val="222222"/>
          <w:sz w:val="26"/>
        </w:rPr>
        <w:t>0. Coding Agent 執行契約</w:t>
      </w:r>
    </w:p>
    <w:p>
      <w:pPr>
        <w:pStyle w:val="ListBullet"/>
        <w:spacing w:after="40" w:line="276" w:lineRule="auto"/>
      </w:pPr>
      <w:r>
        <w:rPr>
          <w:rFonts w:ascii="Noto Sans CJK TC" w:hAnsi="Noto Sans CJK TC" w:eastAsia="Noto Sans CJK TC"/>
          <w:b w:val="0"/>
          <w:i w:val="0"/>
          <w:color w:val="222222"/>
          <w:sz w:val="25"/>
        </w:rPr>
        <w:t>嚴格依 WP0 → WP12 順序施工。每一個 Gate 必須有可重現 Evidence；前一 Gate 未 PASS，不得開始下一工作包。</w:t>
      </w:r>
    </w:p>
    <w:p>
      <w:pPr>
        <w:pStyle w:val="ListBullet"/>
        <w:spacing w:after="40" w:line="276" w:lineRule="auto"/>
      </w:pPr>
      <w:r>
        <w:rPr>
          <w:rFonts w:ascii="Noto Sans CJK TC" w:hAnsi="Noto Sans CJK TC" w:eastAsia="Noto Sans CJK TC"/>
          <w:b w:val="0"/>
          <w:i w:val="0"/>
          <w:color w:val="222222"/>
          <w:sz w:val="25"/>
        </w:rPr>
        <w:t>不得連線公司正式／現役伺服器，不得匯入真實公司資料；Home Lab 僅使用 Microsoft Adventure Works 與 Synthetic Sales BI v2.0。</w:t>
      </w:r>
    </w:p>
    <w:p>
      <w:pPr>
        <w:pStyle w:val="ListBullet"/>
        <w:spacing w:after="40" w:line="276" w:lineRule="auto"/>
      </w:pPr>
      <w:r>
        <w:rPr>
          <w:rFonts w:ascii="Noto Sans CJK TC" w:hAnsi="Noto Sans CJK TC" w:eastAsia="Noto Sans CJK TC"/>
          <w:b w:val="0"/>
          <w:i w:val="0"/>
          <w:color w:val="222222"/>
          <w:sz w:val="25"/>
        </w:rPr>
        <w:t>不得使用 Docker 取代 SSAS Multidimensional。Home Lab 採 Windows 原生 SQL Server 2022 Developer + SSAS Multidimensional。</w:t>
      </w:r>
    </w:p>
    <w:p>
      <w:pPr>
        <w:pStyle w:val="ListBullet"/>
        <w:spacing w:after="40" w:line="276" w:lineRule="auto"/>
      </w:pPr>
      <w:r>
        <w:rPr>
          <w:rFonts w:ascii="Noto Sans CJK TC" w:hAnsi="Noto Sans CJK TC" w:eastAsia="Noto Sans CJK TC"/>
          <w:b w:val="0"/>
          <w:i w:val="0"/>
          <w:color w:val="222222"/>
          <w:sz w:val="25"/>
        </w:rPr>
        <w:t>不得讓 LLM 產生或直接執行原始 MDX；LLM 只可輸出 SemanticIntentDraft，之後必須經 deterministic Resolver → Policy Validator → MDX Compiler。</w:t>
      </w:r>
    </w:p>
    <w:p>
      <w:pPr>
        <w:pStyle w:val="ListBullet"/>
        <w:spacing w:after="40" w:line="276" w:lineRule="auto"/>
      </w:pPr>
      <w:r>
        <w:rPr>
          <w:rFonts w:ascii="Noto Sans CJK TC" w:hAnsi="Noto Sans CJK TC" w:eastAsia="Noto Sans CJK TC"/>
          <w:b w:val="0"/>
          <w:i w:val="0"/>
          <w:color w:val="222222"/>
          <w:sz w:val="25"/>
        </w:rPr>
        <w:t>不得修改 Synthetic Sales BI v2.0 的 Seed、Business Events、CSV 或 Expected Answers 來「讓測試通過」。若測試失敗，修程式／Cube；不得改 Ground Truth。</w:t>
      </w:r>
    </w:p>
    <w:p>
      <w:pPr>
        <w:pStyle w:val="ListBullet"/>
        <w:spacing w:after="40" w:line="276" w:lineRule="auto"/>
      </w:pPr>
      <w:r>
        <w:rPr>
          <w:rFonts w:ascii="Noto Sans CJK TC" w:hAnsi="Noto Sans CJK TC" w:eastAsia="Noto Sans CJK TC"/>
          <w:b w:val="0"/>
          <w:i w:val="0"/>
          <w:color w:val="222222"/>
          <w:sz w:val="25"/>
        </w:rPr>
        <w:t>不得在 source control 提交 API key、密碼、連線秘密、.user、bin/obj、node_modules；Secrets 使用 User Secrets／環境變數。</w:t>
      </w:r>
    </w:p>
    <w:p>
      <w:pPr>
        <w:pStyle w:val="ListBullet"/>
        <w:spacing w:after="40" w:line="276" w:lineRule="auto"/>
      </w:pPr>
      <w:r>
        <w:rPr>
          <w:rFonts w:ascii="Noto Sans CJK TC" w:hAnsi="Noto Sans CJK TC" w:eastAsia="Noto Sans CJK TC"/>
          <w:b w:val="0"/>
          <w:i w:val="0"/>
          <w:color w:val="222222"/>
          <w:sz w:val="25"/>
        </w:rPr>
        <w:t>不得自行擴大 Phase 0：Voice、SSO、Proactive Insight、Analytical Agent、完整 Dashboard Designer 均延期。</w:t>
      </w:r>
    </w:p>
    <w:p>
      <w:pPr>
        <w:pStyle w:val="ListBullet"/>
        <w:spacing w:after="40" w:line="276" w:lineRule="auto"/>
      </w:pPr>
      <w:r>
        <w:rPr>
          <w:rFonts w:ascii="Noto Sans CJK TC" w:hAnsi="Noto Sans CJK TC" w:eastAsia="Noto Sans CJK TC"/>
          <w:b w:val="0"/>
          <w:i w:val="0"/>
          <w:color w:val="222222"/>
          <w:sz w:val="25"/>
        </w:rPr>
        <w:t>若安裝畫面、SSAS server mode、provider、套件 API 與本文件明顯不一致，Agent 應 STOP + 輸出差異，不得猜測後繼續。</w:t>
      </w:r>
    </w:p>
    <w:p>
      <w:pPr>
        <w:pStyle w:val="ListBullet"/>
        <w:spacing w:after="40" w:line="276" w:lineRule="auto"/>
      </w:pPr>
      <w:r>
        <w:rPr>
          <w:rFonts w:ascii="Noto Sans CJK TC" w:hAnsi="Noto Sans CJK TC" w:eastAsia="Noto Sans CJK TC"/>
          <w:b w:val="0"/>
          <w:i w:val="0"/>
          <w:color w:val="222222"/>
          <w:sz w:val="25"/>
        </w:rPr>
        <w:t>所有 dependency 第一次成功後立即鎖版：NuGet packages.lock.json、npm package-lock.json；後續使用 locked restore / npm ci。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40"/>
      </w:tblGrid>
      <w:tr>
        <w:trPr>
          <w:cantSplit/>
        </w:trPr>
        <w:tc>
          <w:tcPr>
            <w:tcW w:type="dxa" w:w="10340"/>
            <w:shd w:fill="FCE4D6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b/>
                <w:i w:val="0"/>
                <w:color w:val="17365D"/>
                <w:sz w:val="24"/>
              </w:rPr>
              <w:t>最重要 Hard Stop</w:t>
            </w:r>
          </w:p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23"/>
              </w:rPr>
              <w:t>Microsoft 官方 Adventure Works Cube + MDX 未 PASS 前，不 debug AI；Synthetic Cube + Ground Truth MDX 未 PASS 前，不寫 LLM / React。這是整份規格最重要的 fault-isolation 原則。</w:t>
            </w:r>
          </w:p>
        </w:tc>
      </w:tr>
    </w:tbl>
    <w:p>
      <w:pPr>
        <w:spacing w:after="20"/>
      </w:pPr>
    </w:p>
    <w:p>
      <w:pPr>
        <w:pStyle w:val="Heading1"/>
        <w:spacing w:before="0" w:after="100" w:line="293" w:lineRule="auto"/>
      </w:pPr>
      <w:r>
        <w:rPr>
          <w:rFonts w:ascii="Noto Sans CJK TC" w:hAnsi="Noto Sans CJK TC" w:eastAsia="Noto Sans CJK TC"/>
          <w:b w:val="0"/>
          <w:i w:val="0"/>
          <w:color w:val="222222"/>
          <w:sz w:val="26"/>
        </w:rPr>
        <w:t>1. 目標與 Phase 0 成功定義</w:t>
      </w:r>
    </w:p>
    <w:p>
      <w:pPr>
        <w:spacing w:before="0" w:after="100" w:line="293" w:lineRule="auto"/>
      </w:pPr>
      <w:r>
        <w:rPr>
          <w:rFonts w:ascii="Noto Sans CJK TC" w:hAnsi="Noto Sans CJK TC" w:eastAsia="Noto Sans CJK TC"/>
          <w:b w:val="0"/>
          <w:i w:val="0"/>
          <w:color w:val="222222"/>
          <w:sz w:val="26"/>
        </w:rPr>
        <w:t>本次不是正式 Product V1 開發，而是在家中用可控資料重新驗證專案計畫的核心可行性。成功時必須完成下列鏈路：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40"/>
      </w:tblGrid>
      <w:tr>
        <w:trPr>
          <w:cantSplit/>
        </w:trPr>
        <w:tc>
          <w:tcPr>
            <w:tcW w:type="dxa" w:w="10340"/>
            <w:shd w:fill="F7F7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222222"/>
                <w:sz w:val="17"/>
              </w:rPr>
              <w:t>Microsoft AdventureWorksDW2019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22222"/>
                <w:sz w:val="17"/>
              </w:rPr>
              <w:t xml:space="preserve">    ↓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22222"/>
                <w:sz w:val="17"/>
              </w:rPr>
              <w:t>Microsoft Adventure Works Multidimensional Cube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22222"/>
                <w:sz w:val="17"/>
              </w:rPr>
              <w:t xml:space="preserve">    ↓  official baseline PASS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22222"/>
                <w:sz w:val="17"/>
              </w:rPr>
              <w:t>SyntheticSalesBI relational database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22222"/>
                <w:sz w:val="17"/>
              </w:rPr>
              <w:t xml:space="preserve">    ↓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22222"/>
                <w:sz w:val="17"/>
              </w:rPr>
              <w:t>Synthetic Sales BI SSAS Multidimensional Cube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22222"/>
                <w:sz w:val="17"/>
              </w:rPr>
              <w:t xml:space="preserve">    ↓  ground truth PASS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22222"/>
                <w:sz w:val="17"/>
              </w:rPr>
              <w:t>.NET 8 + ADOMD.NET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22222"/>
                <w:sz w:val="17"/>
              </w:rPr>
              <w:t xml:space="preserve">    ↓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22222"/>
                <w:sz w:val="17"/>
              </w:rPr>
              <w:t>Cube metadata / member resolution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22222"/>
                <w:sz w:val="17"/>
              </w:rPr>
              <w:t xml:space="preserve">    ↓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22222"/>
                <w:sz w:val="17"/>
              </w:rPr>
              <w:t>LLM → SemanticIntentDraft (NO MDX)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22222"/>
                <w:sz w:val="17"/>
              </w:rPr>
              <w:t xml:space="preserve">    ↓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22222"/>
                <w:sz w:val="17"/>
              </w:rPr>
              <w:t>Resolver → Policy Validator → ResolvedQueryPlan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22222"/>
                <w:sz w:val="17"/>
              </w:rPr>
              <w:t xml:space="preserve">    ↓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22222"/>
                <w:sz w:val="17"/>
              </w:rPr>
              <w:t>Deterministic MDX Compiler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22222"/>
                <w:sz w:val="17"/>
              </w:rPr>
              <w:t xml:space="preserve">    ↓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22222"/>
                <w:sz w:val="17"/>
              </w:rPr>
              <w:t>SSAS result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22222"/>
                <w:sz w:val="17"/>
              </w:rPr>
              <w:t xml:space="preserve">    ↓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22222"/>
                <w:sz w:val="17"/>
              </w:rPr>
              <w:t>VisualizationSpec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22222"/>
                <w:sz w:val="17"/>
              </w:rPr>
              <w:t xml:space="preserve">    ↓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22222"/>
                <w:sz w:val="17"/>
              </w:rPr>
              <w:t>React + ECharts</w:t>
            </w:r>
          </w:p>
        </w:tc>
      </w:tr>
    </w:tbl>
    <w:p>
      <w:pPr>
        <w:spacing w:after="20"/>
      </w:pPr>
    </w:p>
    <w:p>
      <w:pPr>
        <w:pStyle w:val="Heading2"/>
        <w:spacing w:before="0" w:after="100" w:line="293" w:lineRule="auto"/>
      </w:pPr>
      <w:r>
        <w:rPr>
          <w:rFonts w:ascii="Noto Sans CJK TC" w:hAnsi="Noto Sans CJK TC" w:eastAsia="Noto Sans CJK TC"/>
          <w:b w:val="0"/>
          <w:i w:val="0"/>
          <w:color w:val="222222"/>
          <w:sz w:val="26"/>
        </w:rPr>
        <w:t>Phase 0 最終 Gate（P0-GATE）</w:t>
      </w:r>
    </w:p>
    <w:p>
      <w:pPr>
        <w:pStyle w:val="ListBullet"/>
        <w:spacing w:after="40" w:line="276" w:lineRule="auto"/>
      </w:pPr>
      <w:r>
        <w:rPr>
          <w:rFonts w:ascii="Noto Sans CJK TC" w:hAnsi="Noto Sans CJK TC" w:eastAsia="Noto Sans CJK TC"/>
          <w:b w:val="0"/>
          <w:i w:val="0"/>
          <w:color w:val="222222"/>
          <w:sz w:val="25"/>
        </w:rPr>
        <w:t>官方 Adventure Works cube 可以 deploy / process / MDX query。</w:t>
      </w:r>
    </w:p>
    <w:p>
      <w:pPr>
        <w:pStyle w:val="ListBullet"/>
        <w:spacing w:after="40" w:line="276" w:lineRule="auto"/>
      </w:pPr>
      <w:r>
        <w:rPr>
          <w:rFonts w:ascii="Noto Sans CJK TC" w:hAnsi="Noto Sans CJK TC" w:eastAsia="Noto Sans CJK TC"/>
          <w:b w:val="0"/>
          <w:i w:val="0"/>
          <w:color w:val="222222"/>
          <w:sz w:val="25"/>
        </w:rPr>
        <w:t>SyntheticSalesBI relational row counts 與 5 個 Business Events ground truth 正確。</w:t>
      </w:r>
    </w:p>
    <w:p>
      <w:pPr>
        <w:pStyle w:val="ListBullet"/>
        <w:spacing w:after="40" w:line="276" w:lineRule="auto"/>
      </w:pPr>
      <w:r>
        <w:rPr>
          <w:rFonts w:ascii="Noto Sans CJK TC" w:hAnsi="Noto Sans CJK TC" w:eastAsia="Noto Sans CJK TC"/>
          <w:b w:val="0"/>
          <w:i w:val="0"/>
          <w:color w:val="222222"/>
          <w:sz w:val="25"/>
        </w:rPr>
        <w:t>Synthetic Sales BI cube 可 process，核心 MDX 與 expected results 一致。</w:t>
      </w:r>
    </w:p>
    <w:p>
      <w:pPr>
        <w:pStyle w:val="ListBullet"/>
        <w:spacing w:after="40" w:line="276" w:lineRule="auto"/>
      </w:pPr>
      <w:r>
        <w:rPr>
          <w:rFonts w:ascii="Noto Sans CJK TC" w:hAnsi="Noto Sans CJK TC" w:eastAsia="Noto Sans CJK TC"/>
          <w:b w:val="0"/>
          <w:i w:val="0"/>
          <w:color w:val="222222"/>
          <w:sz w:val="25"/>
        </w:rPr>
        <w:t>.NET 8 透過 Microsoft.AnalysisServices.AdomdClient 可查 metadata 與執行 MDX。</w:t>
      </w:r>
    </w:p>
    <w:p>
      <w:pPr>
        <w:pStyle w:val="ListBullet"/>
        <w:spacing w:after="40" w:line="276" w:lineRule="auto"/>
      </w:pPr>
      <w:r>
        <w:rPr>
          <w:rFonts w:ascii="Noto Sans CJK TC" w:hAnsi="Noto Sans CJK TC" w:eastAsia="Noto Sans CJK TC"/>
          <w:b w:val="0"/>
          <w:i w:val="0"/>
          <w:color w:val="222222"/>
          <w:sz w:val="25"/>
        </w:rPr>
        <w:t>17 題 Phase 0 Golden Questions 的 Semantic / Result / Failure Behavior 全部通過設定門檻。</w:t>
      </w:r>
    </w:p>
    <w:p>
      <w:pPr>
        <w:pStyle w:val="ListBullet"/>
        <w:spacing w:after="40" w:line="276" w:lineRule="auto"/>
      </w:pPr>
      <w:r>
        <w:rPr>
          <w:rFonts w:ascii="Noto Sans CJK TC" w:hAnsi="Noto Sans CJK TC" w:eastAsia="Noto Sans CJK TC"/>
          <w:b w:val="0"/>
          <w:i w:val="0"/>
          <w:color w:val="222222"/>
          <w:sz w:val="25"/>
        </w:rPr>
        <w:t>自然語言問題可以輸出受 Schema 約束的 SemanticIntentDraft；不得包含 MDX。</w:t>
      </w:r>
    </w:p>
    <w:p>
      <w:pPr>
        <w:pStyle w:val="ListBullet"/>
        <w:spacing w:after="40" w:line="276" w:lineRule="auto"/>
      </w:pPr>
      <w:r>
        <w:rPr>
          <w:rFonts w:ascii="Noto Sans CJK TC" w:hAnsi="Noto Sans CJK TC" w:eastAsia="Noto Sans CJK TC"/>
          <w:b w:val="0"/>
          <w:i w:val="0"/>
          <w:color w:val="222222"/>
          <w:sz w:val="25"/>
        </w:rPr>
        <w:t>MDX 由 deterministic compiler 產生；不接受瀏覽器／LLM 任意 raw MDX。</w:t>
      </w:r>
    </w:p>
    <w:p>
      <w:pPr>
        <w:pStyle w:val="ListBullet"/>
        <w:spacing w:after="40" w:line="276" w:lineRule="auto"/>
      </w:pPr>
      <w:r>
        <w:rPr>
          <w:rFonts w:ascii="Noto Sans CJK TC" w:hAnsi="Noto Sans CJK TC" w:eastAsia="Noto Sans CJK TC"/>
          <w:b w:val="0"/>
          <w:i w:val="0"/>
          <w:color w:val="222222"/>
          <w:sz w:val="25"/>
        </w:rPr>
        <w:t>Frontend 可顯示 KPI / bar / line / table 與 Evidence Level 3 基本 Trace。</w:t>
      </w:r>
    </w:p>
    <w:p>
      <w:pPr>
        <w:pStyle w:val="Heading1"/>
        <w:spacing w:before="0" w:after="100" w:line="293" w:lineRule="auto"/>
      </w:pPr>
      <w:r>
        <w:rPr>
          <w:rFonts w:ascii="Noto Sans CJK TC" w:hAnsi="Noto Sans CJK TC" w:eastAsia="Noto Sans CJK TC"/>
          <w:b w:val="0"/>
          <w:i w:val="0"/>
          <w:color w:val="222222"/>
          <w:sz w:val="26"/>
        </w:rPr>
        <w:t>2. 固定技術基線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47"/>
        <w:gridCol w:w="3447"/>
        <w:gridCol w:w="3447"/>
      </w:tblGrid>
      <w:tr>
        <w:trPr>
          <w:tblHeader w:val="true"/>
          <w:cantSplit/>
        </w:trPr>
        <w:tc>
          <w:tcPr>
            <w:tcW w:type="dxa" w:w="3447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i w:val="0"/>
                <w:color w:val="FFFFFF"/>
                <w:sz w:val="19"/>
              </w:rPr>
              <w:t>類別</w:t>
            </w:r>
          </w:p>
        </w:tc>
        <w:tc>
          <w:tcPr>
            <w:tcW w:type="dxa" w:w="3447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i w:val="0"/>
                <w:color w:val="FFFFFF"/>
                <w:sz w:val="19"/>
              </w:rPr>
              <w:t>Phase 0 Baseline</w:t>
            </w:r>
          </w:p>
        </w:tc>
        <w:tc>
          <w:tcPr>
            <w:tcW w:type="dxa" w:w="3447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i w:val="0"/>
                <w:color w:val="FFFFFF"/>
                <w:sz w:val="19"/>
              </w:rPr>
              <w:t>規則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/>
                <w:i w:val="0"/>
                <w:color w:val="222222"/>
                <w:sz w:val="19"/>
              </w:rPr>
              <w:t>OS</w:t>
            </w:r>
          </w:p>
        </w:tc>
        <w:tc>
          <w:tcPr>
            <w:tcW w:type="dxa" w:w="352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9"/>
              </w:rPr>
              <w:t>Windows 11 x64</w:t>
            </w:r>
          </w:p>
        </w:tc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9"/>
              </w:rPr>
              <w:t>原生 Home Lab；不使用 VM / Docker 承載 SSAS。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3F6F8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/>
                <w:i w:val="0"/>
                <w:color w:val="222222"/>
                <w:sz w:val="19"/>
              </w:rPr>
              <w:t>SQL</w:t>
            </w:r>
          </w:p>
        </w:tc>
        <w:tc>
          <w:tcPr>
            <w:tcW w:type="dxa" w:w="352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3F6F8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9"/>
              </w:rPr>
              <w:t>SQL Server 2022 Developer</w:t>
            </w:r>
          </w:p>
        </w:tc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3F6F8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9"/>
              </w:rPr>
              <w:t>非 Production；Database Engine + Analysis Services。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/>
                <w:i w:val="0"/>
                <w:color w:val="222222"/>
                <w:sz w:val="19"/>
              </w:rPr>
              <w:t>SSAS Mode</w:t>
            </w:r>
          </w:p>
        </w:tc>
        <w:tc>
          <w:tcPr>
            <w:tcW w:type="dxa" w:w="352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9"/>
              </w:rPr>
              <w:t>Multidimensional and Data Mining Mode</w:t>
            </w:r>
          </w:p>
        </w:tc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9"/>
              </w:rPr>
              <w:t>若裝成 Tabular，視為 Gate Failure，重建／新增 Multidimensional instance。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3F6F8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/>
                <w:i w:val="0"/>
                <w:color w:val="222222"/>
                <w:sz w:val="19"/>
              </w:rPr>
              <w:t>管理工具</w:t>
            </w:r>
          </w:p>
        </w:tc>
        <w:tc>
          <w:tcPr>
            <w:tcW w:type="dxa" w:w="352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3F6F8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9"/>
              </w:rPr>
              <w:t>SSMS + Visual Studio 2022 + Analysis Services Projects</w:t>
            </w:r>
          </w:p>
        </w:tc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3F6F8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9"/>
              </w:rPr>
              <w:t>SSMS 與設計工具分開安裝。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/>
                <w:i w:val="0"/>
                <w:color w:val="222222"/>
                <w:sz w:val="19"/>
              </w:rPr>
              <w:t>Official baseline</w:t>
            </w:r>
          </w:p>
        </w:tc>
        <w:tc>
          <w:tcPr>
            <w:tcW w:type="dxa" w:w="352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9"/>
              </w:rPr>
              <w:t>AdventureWorksDW2019 + official multidimensional tutorial projects</w:t>
            </w:r>
          </w:p>
        </w:tc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9"/>
              </w:rPr>
              <w:t>保持官方 tutorial 名稱／行為，優先排除環境問題。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3F6F8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/>
                <w:i w:val="0"/>
                <w:color w:val="222222"/>
                <w:sz w:val="19"/>
              </w:rPr>
              <w:t>Benchmark DB</w:t>
            </w:r>
          </w:p>
        </w:tc>
        <w:tc>
          <w:tcPr>
            <w:tcW w:type="dxa" w:w="352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3F6F8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9"/>
              </w:rPr>
              <w:t>SyntheticSalesBI</w:t>
            </w:r>
          </w:p>
        </w:tc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3F6F8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9"/>
              </w:rPr>
              <w:t>使用已交付 v2.0 package，禁止混入公司資料。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/>
                <w:i w:val="0"/>
                <w:color w:val="222222"/>
                <w:sz w:val="19"/>
              </w:rPr>
              <w:t>Backend</w:t>
            </w:r>
          </w:p>
        </w:tc>
        <w:tc>
          <w:tcPr>
            <w:tcW w:type="dxa" w:w="352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9"/>
              </w:rPr>
              <w:t>.NET 8 Web API</w:t>
            </w:r>
          </w:p>
        </w:tc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9"/>
              </w:rPr>
              <w:t>Phase 0 不升級框架；若未來升版需 Human Decision。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3F6F8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/>
                <w:i w:val="0"/>
                <w:color w:val="222222"/>
                <w:sz w:val="19"/>
              </w:rPr>
              <w:t>ADOMD.NET</w:t>
            </w:r>
          </w:p>
        </w:tc>
        <w:tc>
          <w:tcPr>
            <w:tcW w:type="dxa" w:w="352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3F6F8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9"/>
              </w:rPr>
              <w:t>Microsoft.AnalysisServices.AdomdClient 19.114.8</w:t>
            </w:r>
          </w:p>
        </w:tc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3F6F8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9"/>
              </w:rPr>
              <w:t>以 NuGet multi-runtime package；建立 packages.lock.json。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/>
                <w:i w:val="0"/>
                <w:color w:val="222222"/>
                <w:sz w:val="19"/>
              </w:rPr>
              <w:t>Frontend</w:t>
            </w:r>
          </w:p>
        </w:tc>
        <w:tc>
          <w:tcPr>
            <w:tcW w:type="dxa" w:w="352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9"/>
              </w:rPr>
              <w:t>React + TypeScript + ECharts</w:t>
            </w:r>
          </w:p>
        </w:tc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9"/>
              </w:rPr>
              <w:t>Vite 建置；第一次成功後 commit package-lock.json。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3F6F8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/>
                <w:i w:val="0"/>
                <w:color w:val="222222"/>
                <w:sz w:val="19"/>
              </w:rPr>
              <w:t>LLM</w:t>
            </w:r>
          </w:p>
        </w:tc>
        <w:tc>
          <w:tcPr>
            <w:tcW w:type="dxa" w:w="352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3F6F8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9"/>
              </w:rPr>
              <w:t>IModelGateway + 一個 OpenAI-compatible adapter</w:t>
            </w:r>
          </w:p>
        </w:tc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3F6F8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9"/>
              </w:rPr>
              <w:t>上層不依賴 vendor SDK；Phase 0 不做 multi-provider failover。</w:t>
            </w:r>
          </w:p>
        </w:tc>
      </w:tr>
    </w:tbl>
    <w:p>
      <w:pPr>
        <w:spacing w:after="20"/>
      </w:pPr>
    </w:p>
    <w:p>
      <w:pPr>
        <w:pStyle w:val="Heading1"/>
        <w:spacing w:before="0" w:after="100" w:line="293" w:lineRule="auto"/>
      </w:pPr>
      <w:r>
        <w:rPr>
          <w:rFonts w:ascii="Noto Sans CJK TC" w:hAnsi="Noto Sans CJK TC" w:eastAsia="Noto Sans CJK TC"/>
          <w:b w:val="0"/>
          <w:i w:val="0"/>
          <w:color w:val="222222"/>
          <w:sz w:val="26"/>
        </w:rPr>
        <w:t>3. 目錄、輸入與交付物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40"/>
      </w:tblGrid>
      <w:tr>
        <w:trPr>
          <w:cantSplit/>
        </w:trPr>
        <w:tc>
          <w:tcPr>
            <w:tcW w:type="dxa" w:w="10340"/>
            <w:shd w:fill="F7F7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222222"/>
                <w:sz w:val="17"/>
              </w:rPr>
              <w:t>C:\AI-BI-Lab\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22222"/>
                <w:sz w:val="17"/>
              </w:rPr>
              <w:t>├─ vendor\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22222"/>
                <w:sz w:val="17"/>
              </w:rPr>
              <w:t>│  └─ adventureworks\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22222"/>
                <w:sz w:val="17"/>
              </w:rPr>
              <w:t>├─ benchmark\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22222"/>
                <w:sz w:val="17"/>
              </w:rPr>
              <w:t>│  └─ Synthetic_Sales_BI_Benchmark_Dataset_v2.0\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22222"/>
                <w:sz w:val="17"/>
              </w:rPr>
              <w:t>├─ ssas\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22222"/>
                <w:sz w:val="17"/>
              </w:rPr>
              <w:t>│  └─ SyntheticSalesBI.Ssas\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22222"/>
                <w:sz w:val="17"/>
              </w:rPr>
              <w:t>├─ src\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22222"/>
                <w:sz w:val="17"/>
              </w:rPr>
              <w:t>│  ├─ backend\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22222"/>
                <w:sz w:val="17"/>
              </w:rPr>
              <w:t>│  └─ frontend\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22222"/>
                <w:sz w:val="17"/>
              </w:rPr>
              <w:t>├─ evaluation\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22222"/>
                <w:sz w:val="17"/>
              </w:rPr>
              <w:t>├─ evidence\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22222"/>
                <w:sz w:val="17"/>
              </w:rPr>
              <w:t>│  ├─ WP0\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22222"/>
                <w:sz w:val="17"/>
              </w:rPr>
              <w:t>│  ├─ WP1\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22222"/>
                <w:sz w:val="17"/>
              </w:rPr>
              <w:t>│  └─ ...\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22222"/>
                <w:sz w:val="17"/>
              </w:rPr>
              <w:t>└─ logs</w:t>
            </w:r>
          </w:p>
        </w:tc>
      </w:tr>
    </w:tbl>
    <w:p>
      <w:pPr>
        <w:spacing w:after="20"/>
      </w:pPr>
    </w:p>
    <w:p>
      <w:pPr>
        <w:pStyle w:val="Heading2"/>
        <w:spacing w:before="0" w:after="100" w:line="293" w:lineRule="auto"/>
      </w:pPr>
      <w:r>
        <w:rPr>
          <w:rFonts w:ascii="Noto Sans CJK TC" w:hAnsi="Noto Sans CJK TC" w:eastAsia="Noto Sans CJK TC"/>
          <w:b w:val="0"/>
          <w:i w:val="0"/>
          <w:color w:val="222222"/>
          <w:sz w:val="26"/>
        </w:rPr>
        <w:t>既有輸入檔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0"/>
        <w:gridCol w:w="5170"/>
      </w:tblGrid>
      <w:tr>
        <w:trPr>
          <w:tblHeader w:val="true"/>
          <w:cantSplit/>
        </w:trPr>
        <w:tc>
          <w:tcPr>
            <w:tcW w:type="dxa" w:w="5170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i w:val="0"/>
                <w:color w:val="FFFFFF"/>
                <w:sz w:val="20"/>
              </w:rPr>
              <w:t>輸入</w:t>
            </w:r>
          </w:p>
        </w:tc>
        <w:tc>
          <w:tcPr>
            <w:tcW w:type="dxa" w:w="5170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i w:val="0"/>
                <w:color w:val="FFFFFF"/>
                <w:sz w:val="20"/>
              </w:rPr>
              <w:t>用途</w:t>
            </w:r>
          </w:p>
        </w:tc>
      </w:tr>
      <w:tr>
        <w:trPr>
          <w:cantSplit/>
        </w:trPr>
        <w:tc>
          <w:tcPr>
            <w:tcW w:type="dxa" w:w="482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20"/>
              </w:rPr>
              <w:t>AI_Powered_BI_Project_Plan_v2.0_FULL_Cumulative_Baseline.docx</w:t>
            </w:r>
          </w:p>
        </w:tc>
        <w:tc>
          <w:tcPr>
            <w:tcW w:type="dxa" w:w="554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20"/>
              </w:rPr>
              <w:t>上位專案 Authority。</w:t>
            </w:r>
          </w:p>
        </w:tc>
      </w:tr>
      <w:tr>
        <w:trPr>
          <w:cantSplit/>
        </w:trPr>
        <w:tc>
          <w:tcPr>
            <w:tcW w:type="dxa" w:w="482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3F6F8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20"/>
              </w:rPr>
              <w:t>Synthetic_Sales_BI_Benchmark_Dataset_v2.0_FULL_Package.zip</w:t>
            </w:r>
          </w:p>
        </w:tc>
        <w:tc>
          <w:tcPr>
            <w:tcW w:type="dxa" w:w="554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3F6F8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20"/>
              </w:rPr>
              <w:t>CSV、SQL、semantic spec、Golden Questions、Ground Truth。</w:t>
            </w:r>
          </w:p>
        </w:tc>
      </w:tr>
      <w:tr>
        <w:trPr>
          <w:cantSplit/>
        </w:trPr>
        <w:tc>
          <w:tcPr>
            <w:tcW w:type="dxa" w:w="482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20"/>
              </w:rPr>
              <w:t>AI_Powered_BI_Phase0_Implementation_Support_Package_v2.0.zip</w:t>
            </w:r>
          </w:p>
        </w:tc>
        <w:tc>
          <w:tcPr>
            <w:tcW w:type="dxa" w:w="554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20"/>
              </w:rPr>
              <w:t>本次附加 JSON Schema、MDX examples、config example、prereq script。</w:t>
            </w:r>
          </w:p>
        </w:tc>
      </w:tr>
      <w:tr>
        <w:trPr>
          <w:cantSplit/>
        </w:trPr>
        <w:tc>
          <w:tcPr>
            <w:tcW w:type="dxa" w:w="482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3F6F8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20"/>
              </w:rPr>
              <w:t>Microsoft AdventureWorksDW2019.bak</w:t>
            </w:r>
          </w:p>
        </w:tc>
        <w:tc>
          <w:tcPr>
            <w:tcW w:type="dxa" w:w="554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3F6F8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20"/>
              </w:rPr>
              <w:t>官方 relational baseline。</w:t>
            </w:r>
          </w:p>
        </w:tc>
      </w:tr>
      <w:tr>
        <w:trPr>
          <w:cantSplit/>
        </w:trPr>
        <w:tc>
          <w:tcPr>
            <w:tcW w:type="dxa" w:w="482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20"/>
              </w:rPr>
              <w:t>adventure-works-multidimensional-tutorial-projects.zip</w:t>
            </w:r>
          </w:p>
        </w:tc>
        <w:tc>
          <w:tcPr>
            <w:tcW w:type="dxa" w:w="554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20"/>
              </w:rPr>
              <w:t>官方 SSAS Multidimensional baseline project。</w:t>
            </w:r>
          </w:p>
        </w:tc>
      </w:tr>
    </w:tbl>
    <w:p>
      <w:pPr>
        <w:spacing w:after="20"/>
      </w:pPr>
    </w:p>
    <w:p>
      <w:pPr>
        <w:pStyle w:val="Heading1"/>
        <w:spacing w:before="0" w:after="100" w:line="293" w:lineRule="auto"/>
      </w:pPr>
      <w:r>
        <w:rPr>
          <w:rFonts w:ascii="Noto Sans CJK TC" w:hAnsi="Noto Sans CJK TC" w:eastAsia="Noto Sans CJK TC"/>
          <w:b w:val="0"/>
          <w:i w:val="0"/>
          <w:color w:val="222222"/>
          <w:sz w:val="26"/>
        </w:rPr>
        <w:t>4. Work Package / Gate 總覽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47"/>
        <w:gridCol w:w="3447"/>
        <w:gridCol w:w="3447"/>
      </w:tblGrid>
      <w:tr>
        <w:trPr>
          <w:tblHeader w:val="true"/>
          <w:cantSplit/>
        </w:trPr>
        <w:tc>
          <w:tcPr>
            <w:tcW w:type="dxa" w:w="3447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i w:val="0"/>
                <w:color w:val="FFFFFF"/>
                <w:sz w:val="19"/>
              </w:rPr>
              <w:t>WP</w:t>
            </w:r>
          </w:p>
        </w:tc>
        <w:tc>
          <w:tcPr>
            <w:tcW w:type="dxa" w:w="3447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i w:val="0"/>
                <w:color w:val="FFFFFF"/>
                <w:sz w:val="19"/>
              </w:rPr>
              <w:t>工作</w:t>
            </w:r>
          </w:p>
        </w:tc>
        <w:tc>
          <w:tcPr>
            <w:tcW w:type="dxa" w:w="3447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i w:val="0"/>
                <w:color w:val="FFFFFF"/>
                <w:sz w:val="19"/>
              </w:rPr>
              <w:t>Gate / 主要 Evidence</w:t>
            </w:r>
          </w:p>
        </w:tc>
      </w:tr>
      <w:tr>
        <w:trPr>
          <w:cantSplit/>
        </w:trPr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/>
                <w:i w:val="0"/>
                <w:color w:val="222222"/>
                <w:sz w:val="19"/>
              </w:rPr>
              <w:t>WP0</w:t>
            </w:r>
          </w:p>
        </w:tc>
        <w:tc>
          <w:tcPr>
            <w:tcW w:type="dxa" w:w="360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9"/>
              </w:rPr>
              <w:t>Preflight / 安全基線</w:t>
            </w:r>
          </w:p>
        </w:tc>
        <w:tc>
          <w:tcPr>
            <w:tcW w:type="dxa" w:w="5976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9"/>
              </w:rPr>
              <w:t>OS、service、tool、path、authority 檢查。</w:t>
            </w:r>
          </w:p>
        </w:tc>
      </w:tr>
      <w:tr>
        <w:trPr>
          <w:cantSplit/>
        </w:trPr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3F6F8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/>
                <w:i w:val="0"/>
                <w:color w:val="222222"/>
                <w:sz w:val="19"/>
              </w:rPr>
              <w:t>WP1</w:t>
            </w:r>
          </w:p>
        </w:tc>
        <w:tc>
          <w:tcPr>
            <w:tcW w:type="dxa" w:w="360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3F6F8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9"/>
              </w:rPr>
              <w:t>SQL Server + SSAS + Tools</w:t>
            </w:r>
          </w:p>
        </w:tc>
        <w:tc>
          <w:tcPr>
            <w:tcW w:type="dxa" w:w="5976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3F6F8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9"/>
              </w:rPr>
              <w:t>DB Engine / SSAS 可由 SSMS 連線；SSAS=Multidimensional。</w:t>
            </w:r>
          </w:p>
        </w:tc>
      </w:tr>
      <w:tr>
        <w:trPr>
          <w:cantSplit/>
        </w:trPr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/>
                <w:i w:val="0"/>
                <w:color w:val="222222"/>
                <w:sz w:val="19"/>
              </w:rPr>
              <w:t>WP2</w:t>
            </w:r>
          </w:p>
        </w:tc>
        <w:tc>
          <w:tcPr>
            <w:tcW w:type="dxa" w:w="360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9"/>
              </w:rPr>
              <w:t>Microsoft Adventure Works baseline</w:t>
            </w:r>
          </w:p>
        </w:tc>
        <w:tc>
          <w:tcPr>
            <w:tcW w:type="dxa" w:w="5976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9"/>
              </w:rPr>
              <w:t>官方 Cube deploy/process + MDX PASS。</w:t>
            </w:r>
          </w:p>
        </w:tc>
      </w:tr>
      <w:tr>
        <w:trPr>
          <w:cantSplit/>
        </w:trPr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3F6F8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/>
                <w:i w:val="0"/>
                <w:color w:val="222222"/>
                <w:sz w:val="19"/>
              </w:rPr>
              <w:t>WP3</w:t>
            </w:r>
          </w:p>
        </w:tc>
        <w:tc>
          <w:tcPr>
            <w:tcW w:type="dxa" w:w="360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3F6F8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9"/>
              </w:rPr>
              <w:t>Synthetic relational load</w:t>
            </w:r>
          </w:p>
        </w:tc>
        <w:tc>
          <w:tcPr>
            <w:tcW w:type="dxa" w:w="5976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3F6F8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9"/>
              </w:rPr>
              <w:t>row counts + SQL Ground Truth PASS。</w:t>
            </w:r>
          </w:p>
        </w:tc>
      </w:tr>
      <w:tr>
        <w:trPr>
          <w:cantSplit/>
        </w:trPr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/>
                <w:i w:val="0"/>
                <w:color w:val="222222"/>
                <w:sz w:val="19"/>
              </w:rPr>
              <w:t>WP4</w:t>
            </w:r>
          </w:p>
        </w:tc>
        <w:tc>
          <w:tcPr>
            <w:tcW w:type="dxa" w:w="360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9"/>
              </w:rPr>
              <w:t>Synthetic Sales BI Cube Build</w:t>
            </w:r>
          </w:p>
        </w:tc>
        <w:tc>
          <w:tcPr>
            <w:tcW w:type="dxa" w:w="5976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9"/>
              </w:rPr>
              <w:t>dimensions / measure groups / calculations / process PASS。</w:t>
            </w:r>
          </w:p>
        </w:tc>
      </w:tr>
      <w:tr>
        <w:trPr>
          <w:cantSplit/>
        </w:trPr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3F6F8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/>
                <w:i w:val="0"/>
                <w:color w:val="222222"/>
                <w:sz w:val="19"/>
              </w:rPr>
              <w:t>WP5</w:t>
            </w:r>
          </w:p>
        </w:tc>
        <w:tc>
          <w:tcPr>
            <w:tcW w:type="dxa" w:w="360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3F6F8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9"/>
              </w:rPr>
              <w:t>Synthetic MDX Ground Truth</w:t>
            </w:r>
          </w:p>
        </w:tc>
        <w:tc>
          <w:tcPr>
            <w:tcW w:type="dxa" w:w="5976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3F6F8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9"/>
              </w:rPr>
              <w:t>Q01/Q02/Q03/Q05/Q06 等 MDX 對應 expected。</w:t>
            </w:r>
          </w:p>
        </w:tc>
      </w:tr>
      <w:tr>
        <w:trPr>
          <w:cantSplit/>
        </w:trPr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/>
                <w:i w:val="0"/>
                <w:color w:val="222222"/>
                <w:sz w:val="19"/>
              </w:rPr>
              <w:t>WP6</w:t>
            </w:r>
          </w:p>
        </w:tc>
        <w:tc>
          <w:tcPr>
            <w:tcW w:type="dxa" w:w="360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9"/>
              </w:rPr>
              <w:t>.NET Solution + ADOMD.NET</w:t>
            </w:r>
          </w:p>
        </w:tc>
        <w:tc>
          <w:tcPr>
            <w:tcW w:type="dxa" w:w="5976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9"/>
              </w:rPr>
              <w:t>metadata/query smoke tests PASS。</w:t>
            </w:r>
          </w:p>
        </w:tc>
      </w:tr>
      <w:tr>
        <w:trPr>
          <w:cantSplit/>
        </w:trPr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3F6F8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/>
                <w:i w:val="0"/>
                <w:color w:val="222222"/>
                <w:sz w:val="19"/>
              </w:rPr>
              <w:t>WP7</w:t>
            </w:r>
          </w:p>
        </w:tc>
        <w:tc>
          <w:tcPr>
            <w:tcW w:type="dxa" w:w="360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3F6F8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9"/>
              </w:rPr>
              <w:t>Metadata Catalog + Member Resolver</w:t>
            </w:r>
          </w:p>
        </w:tc>
        <w:tc>
          <w:tcPr>
            <w:tcW w:type="dxa" w:w="5976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3F6F8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9"/>
              </w:rPr>
              <w:t>canonical names / unique names 可 deterministic resolve。</w:t>
            </w:r>
          </w:p>
        </w:tc>
      </w:tr>
      <w:tr>
        <w:trPr>
          <w:cantSplit/>
        </w:trPr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/>
                <w:i w:val="0"/>
                <w:color w:val="222222"/>
                <w:sz w:val="19"/>
              </w:rPr>
              <w:t>WP8</w:t>
            </w:r>
          </w:p>
        </w:tc>
        <w:tc>
          <w:tcPr>
            <w:tcW w:type="dxa" w:w="360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9"/>
              </w:rPr>
              <w:t>Semantic Intent + Query IR + Validator + Compiler</w:t>
            </w:r>
          </w:p>
        </w:tc>
        <w:tc>
          <w:tcPr>
            <w:tcW w:type="dxa" w:w="5976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9"/>
              </w:rPr>
              <w:t>無 raw MDX；unit/snapshot tests PASS。</w:t>
            </w:r>
          </w:p>
        </w:tc>
      </w:tr>
      <w:tr>
        <w:trPr>
          <w:cantSplit/>
        </w:trPr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3F6F8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/>
                <w:i w:val="0"/>
                <w:color w:val="222222"/>
                <w:sz w:val="19"/>
              </w:rPr>
              <w:t>WP9</w:t>
            </w:r>
          </w:p>
        </w:tc>
        <w:tc>
          <w:tcPr>
            <w:tcW w:type="dxa" w:w="360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3F6F8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9"/>
              </w:rPr>
              <w:t>Model Gateway Adapter</w:t>
            </w:r>
          </w:p>
        </w:tc>
        <w:tc>
          <w:tcPr>
            <w:tcW w:type="dxa" w:w="5976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3F6F8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9"/>
              </w:rPr>
              <w:t>自然語言 → valid SemanticIntentDraft。</w:t>
            </w:r>
          </w:p>
        </w:tc>
      </w:tr>
      <w:tr>
        <w:trPr>
          <w:cantSplit/>
        </w:trPr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/>
                <w:i w:val="0"/>
                <w:color w:val="222222"/>
                <w:sz w:val="19"/>
              </w:rPr>
              <w:t>WP10</w:t>
            </w:r>
          </w:p>
        </w:tc>
        <w:tc>
          <w:tcPr>
            <w:tcW w:type="dxa" w:w="360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9"/>
              </w:rPr>
              <w:t>End-to-End API</w:t>
            </w:r>
          </w:p>
        </w:tc>
        <w:tc>
          <w:tcPr>
            <w:tcW w:type="dxa" w:w="5976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9"/>
              </w:rPr>
              <w:t>/api/ask 回傳 result + spec + evidence。</w:t>
            </w:r>
          </w:p>
        </w:tc>
      </w:tr>
      <w:tr>
        <w:trPr>
          <w:cantSplit/>
        </w:trPr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3F6F8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/>
                <w:i w:val="0"/>
                <w:color w:val="222222"/>
                <w:sz w:val="19"/>
              </w:rPr>
              <w:t>WP11</w:t>
            </w:r>
          </w:p>
        </w:tc>
        <w:tc>
          <w:tcPr>
            <w:tcW w:type="dxa" w:w="360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3F6F8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9"/>
              </w:rPr>
              <w:t>React + ECharts</w:t>
            </w:r>
          </w:p>
        </w:tc>
        <w:tc>
          <w:tcPr>
            <w:tcW w:type="dxa" w:w="5976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3F6F8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9"/>
              </w:rPr>
              <w:t>17 題 Phase 0 Required Golden Questions（加計 6 題 Deferred 與 2 題 Expected Rejection 共 25 題）可互動展示。</w:t>
            </w:r>
          </w:p>
        </w:tc>
      </w:tr>
      <w:tr>
        <w:trPr>
          <w:cantSplit/>
        </w:trPr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/>
                <w:i w:val="0"/>
                <w:color w:val="222222"/>
                <w:sz w:val="19"/>
              </w:rPr>
              <w:t>WP12</w:t>
            </w:r>
          </w:p>
        </w:tc>
        <w:tc>
          <w:tcPr>
            <w:tcW w:type="dxa" w:w="360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9"/>
              </w:rPr>
              <w:t>Evaluation + Final Gate</w:t>
            </w:r>
          </w:p>
        </w:tc>
        <w:tc>
          <w:tcPr>
            <w:tcW w:type="dxa" w:w="5976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9"/>
              </w:rPr>
              <w:t>Golden runner、report、known limitations、handoff。</w:t>
            </w:r>
          </w:p>
        </w:tc>
      </w:tr>
    </w:tbl>
    <w:p>
      <w:pPr>
        <w:spacing w:after="20"/>
      </w:pPr>
    </w:p>
    <w:p>
      <w:pPr>
        <w:pStyle w:val="Heading1"/>
        <w:spacing w:before="0" w:after="100" w:line="293" w:lineRule="auto"/>
      </w:pPr>
      <w:r>
        <w:rPr>
          <w:rFonts w:ascii="Noto Sans CJK TC" w:hAnsi="Noto Sans CJK TC" w:eastAsia="Noto Sans CJK TC"/>
          <w:b w:val="0"/>
          <w:i w:val="0"/>
          <w:color w:val="222222"/>
          <w:sz w:val="26"/>
        </w:rPr>
        <w:t>5. WP0 — Preflight / 安全與環境確認</w:t>
      </w:r>
    </w:p>
    <w:p>
      <w:pPr>
        <w:pStyle w:val="ListNumber"/>
        <w:spacing w:after="40" w:line="276" w:lineRule="auto"/>
      </w:pPr>
      <w:r>
        <w:rPr>
          <w:rFonts w:ascii="Noto Sans CJK TC" w:hAnsi="Noto Sans CJK TC" w:eastAsia="Noto Sans CJK TC"/>
          <w:b w:val="0"/>
          <w:i w:val="0"/>
          <w:color w:val="222222"/>
          <w:sz w:val="25"/>
        </w:rPr>
        <w:t>建立 C:\AI-BI-Lab 目錄樹，將 Synthetic package 解壓到 benchmark 子目錄。不得直接修改原 ZIP。</w:t>
      </w:r>
    </w:p>
    <w:p>
      <w:pPr>
        <w:pStyle w:val="ListNumber"/>
        <w:spacing w:after="40" w:line="276" w:lineRule="auto"/>
      </w:pPr>
      <w:r>
        <w:rPr>
          <w:rFonts w:ascii="Noto Sans CJK TC" w:hAnsi="Noto Sans CJK TC" w:eastAsia="Noto Sans CJK TC"/>
          <w:b w:val="0"/>
          <w:i w:val="0"/>
          <w:color w:val="222222"/>
          <w:sz w:val="25"/>
        </w:rPr>
        <w:t>執行 support package 的 scripts/verify_prereqs.ps1。若 MSSQLSERVER / MSSQLServerOLAPService 尚未安裝，這一步只記錄缺項，不視為錯誤。</w:t>
      </w:r>
    </w:p>
    <w:p>
      <w:pPr>
        <w:pStyle w:val="ListNumber"/>
        <w:spacing w:after="40" w:line="276" w:lineRule="auto"/>
      </w:pPr>
      <w:r>
        <w:rPr>
          <w:rFonts w:ascii="Noto Sans CJK TC" w:hAnsi="Noto Sans CJK TC" w:eastAsia="Noto Sans CJK TC"/>
          <w:b w:val="0"/>
          <w:i w:val="0"/>
          <w:color w:val="222222"/>
          <w:sz w:val="25"/>
        </w:rPr>
        <w:t>確認 Windows 使用者具有本機 Administrator 權限，可完成 SQL Server / SSAS 安裝。</w:t>
      </w:r>
    </w:p>
    <w:p>
      <w:pPr>
        <w:pStyle w:val="ListNumber"/>
        <w:spacing w:after="40" w:line="276" w:lineRule="auto"/>
      </w:pPr>
      <w:r>
        <w:rPr>
          <w:rFonts w:ascii="Noto Sans CJK TC" w:hAnsi="Noto Sans CJK TC" w:eastAsia="Noto Sans CJK TC"/>
          <w:b w:val="0"/>
          <w:i w:val="0"/>
          <w:color w:val="222222"/>
          <w:sz w:val="25"/>
        </w:rPr>
        <w:t>確認本機沒有需要保護的既有 Production SQL/SSAS instance。若已有同名 default instance，STOP；不得覆蓋，需改採 named lab instance並更新本文件變數。</w:t>
      </w:r>
    </w:p>
    <w:p>
      <w:pPr>
        <w:pStyle w:val="ListNumber"/>
        <w:spacing w:after="40" w:line="276" w:lineRule="auto"/>
      </w:pPr>
      <w:r>
        <w:rPr>
          <w:rFonts w:ascii="Noto Sans CJK TC" w:hAnsi="Noto Sans CJK TC" w:eastAsia="Noto Sans CJK TC"/>
          <w:b w:val="0"/>
          <w:i w:val="0"/>
          <w:color w:val="222222"/>
          <w:sz w:val="25"/>
        </w:rPr>
        <w:t>確認 Git repository 不包含任何公司資料或 credential。建立 .gitignore。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40"/>
      </w:tblGrid>
      <w:tr>
        <w:trPr>
          <w:cantSplit/>
        </w:trPr>
        <w:tc>
          <w:tcPr>
            <w:tcW w:type="dxa" w:w="10340"/>
            <w:shd w:fill="F7F7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222222"/>
                <w:sz w:val="17"/>
              </w:rPr>
              <w:t># Suggested .gitignore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22222"/>
                <w:sz w:val="17"/>
              </w:rPr>
              <w:t>**/bin/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22222"/>
                <w:sz w:val="17"/>
              </w:rPr>
              <w:t>**/obj/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22222"/>
                <w:sz w:val="17"/>
              </w:rPr>
              <w:t>**/.vs/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22222"/>
                <w:sz w:val="17"/>
              </w:rPr>
              <w:t>**/node_modules/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22222"/>
                <w:sz w:val="17"/>
              </w:rPr>
              <w:t>**/.env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22222"/>
                <w:sz w:val="17"/>
              </w:rPr>
              <w:t>**/appsettings.*.local.json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22222"/>
                <w:sz w:val="17"/>
              </w:rPr>
              <w:t>*.user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22222"/>
                <w:sz w:val="17"/>
              </w:rPr>
              <w:t>*.suo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22222"/>
                <w:sz w:val="17"/>
              </w:rPr>
              <w:t>secrets/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22222"/>
                <w:sz w:val="17"/>
              </w:rPr>
              <w:t>logs/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40"/>
      </w:tblGrid>
      <w:tr>
        <w:trPr>
          <w:cantSplit/>
        </w:trPr>
        <w:tc>
          <w:tcPr>
            <w:tcW w:type="dxa" w:w="10340"/>
            <w:shd w:fill="E2F0D9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b/>
                <w:i w:val="0"/>
                <w:color w:val="17365D"/>
                <w:sz w:val="24"/>
              </w:rPr>
              <w:t>WP0 PASS</w:t>
            </w:r>
          </w:p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23"/>
              </w:rPr>
              <w:t>能明確回答：這台機器上的 Database Engine / SSAS instance 名稱是什麼、實際 service account 是什麼、是否為 Multidimensional、所有資料均為 synthetic / Microsoft sample。</w:t>
            </w:r>
          </w:p>
        </w:tc>
      </w:tr>
    </w:tbl>
    <w:p>
      <w:pPr>
        <w:spacing w:after="20"/>
      </w:pPr>
    </w:p>
    <w:p>
      <w:pPr>
        <w:pStyle w:val="Heading1"/>
        <w:spacing w:before="0" w:after="100" w:line="293" w:lineRule="auto"/>
      </w:pPr>
      <w:r>
        <w:rPr>
          <w:rFonts w:ascii="Noto Sans CJK TC" w:hAnsi="Noto Sans CJK TC" w:eastAsia="Noto Sans CJK TC"/>
          <w:b w:val="0"/>
          <w:i w:val="0"/>
          <w:color w:val="222222"/>
          <w:sz w:val="26"/>
        </w:rPr>
        <w:t>6. WP1 — SQL Server 2022 Developer + SSAS Multidimensional</w:t>
      </w:r>
    </w:p>
    <w:p>
      <w:pPr>
        <w:pStyle w:val="Heading2"/>
        <w:spacing w:before="0" w:after="100" w:line="293" w:lineRule="auto"/>
      </w:pPr>
      <w:r>
        <w:rPr>
          <w:rFonts w:ascii="Noto Sans CJK TC" w:hAnsi="Noto Sans CJK TC" w:eastAsia="Noto Sans CJK TC"/>
          <w:b w:val="0"/>
          <w:i w:val="0"/>
          <w:color w:val="222222"/>
          <w:sz w:val="26"/>
        </w:rPr>
        <w:t>6.1 Human-assisted install</w:t>
      </w:r>
    </w:p>
    <w:p>
      <w:pPr>
        <w:pStyle w:val="ListNumber"/>
        <w:spacing w:after="40" w:line="276" w:lineRule="auto"/>
      </w:pPr>
      <w:r>
        <w:rPr>
          <w:rFonts w:ascii="Noto Sans CJK TC" w:hAnsi="Noto Sans CJK TC" w:eastAsia="Noto Sans CJK TC"/>
          <w:b w:val="0"/>
          <w:i w:val="0"/>
          <w:color w:val="222222"/>
          <w:sz w:val="25"/>
        </w:rPr>
        <w:t>從 Microsoft 官方 SQL Server download page 取得 SQL Server 2022 Developer。選 New SQL Server stand-alone installation。</w:t>
      </w:r>
    </w:p>
    <w:p>
      <w:pPr>
        <w:pStyle w:val="ListNumber"/>
        <w:spacing w:after="40" w:line="276" w:lineRule="auto"/>
      </w:pPr>
      <w:r>
        <w:rPr>
          <w:rFonts w:ascii="Noto Sans CJK TC" w:hAnsi="Noto Sans CJK TC" w:eastAsia="Noto Sans CJK TC"/>
          <w:b w:val="0"/>
          <w:i w:val="0"/>
          <w:color w:val="222222"/>
          <w:sz w:val="25"/>
        </w:rPr>
        <w:t>Feature Selection 只需 Database Engine Services + Analysis Services；Phase 0 不先裝 SSIS / SSRS / ML Services。</w:t>
      </w:r>
    </w:p>
    <w:p>
      <w:pPr>
        <w:pStyle w:val="ListNumber"/>
        <w:spacing w:after="40" w:line="276" w:lineRule="auto"/>
      </w:pPr>
      <w:r>
        <w:rPr>
          <w:rFonts w:ascii="Noto Sans CJK TC" w:hAnsi="Noto Sans CJK TC" w:eastAsia="Noto Sans CJK TC"/>
          <w:b w:val="0"/>
          <w:i w:val="0"/>
          <w:color w:val="222222"/>
          <w:sz w:val="25"/>
        </w:rPr>
        <w:t>若無既有 instance，Database Engine 採 default instance MSSQLSERVER；Authentication 使用 Windows Authentication；Add Current User。</w:t>
      </w:r>
    </w:p>
    <w:p>
      <w:pPr>
        <w:pStyle w:val="ListNumber"/>
        <w:spacing w:after="40" w:line="276" w:lineRule="auto"/>
      </w:pPr>
      <w:r>
        <w:rPr>
          <w:rFonts w:ascii="Noto Sans CJK TC" w:hAnsi="Noto Sans CJK TC" w:eastAsia="Noto Sans CJK TC"/>
          <w:b w:val="0"/>
          <w:i w:val="0"/>
          <w:color w:val="222222"/>
          <w:sz w:val="25"/>
        </w:rPr>
        <w:t>Analysis Services Configuration 必須選 Multidimensional and Data Mining Mode；Add Current User 為 SSAS administrator。</w:t>
      </w:r>
    </w:p>
    <w:p>
      <w:pPr>
        <w:pStyle w:val="ListNumber"/>
        <w:spacing w:after="40" w:line="276" w:lineRule="auto"/>
      </w:pPr>
      <w:r>
        <w:rPr>
          <w:rFonts w:ascii="Noto Sans CJK TC" w:hAnsi="Noto Sans CJK TC" w:eastAsia="Noto Sans CJK TC"/>
          <w:b w:val="0"/>
          <w:i w:val="0"/>
          <w:color w:val="222222"/>
          <w:sz w:val="25"/>
        </w:rPr>
        <w:t>安裝 SSMS；分別以 Server type=Database Engine / Analysis Services 連 localhost。</w:t>
      </w:r>
    </w:p>
    <w:p>
      <w:pPr>
        <w:pStyle w:val="ListNumber"/>
        <w:spacing w:after="40" w:line="276" w:lineRule="auto"/>
      </w:pPr>
      <w:r>
        <w:rPr>
          <w:rFonts w:ascii="Noto Sans CJK TC" w:hAnsi="Noto Sans CJK TC" w:eastAsia="Noto Sans CJK TC"/>
          <w:b w:val="0"/>
          <w:i w:val="0"/>
          <w:color w:val="222222"/>
          <w:sz w:val="25"/>
        </w:rPr>
        <w:t>安裝 Visual Studio 2022 與 Analysis Services Projects extension；確認能建立 Analysis Services Multidimensional project。</w:t>
      </w:r>
    </w:p>
    <w:p>
      <w:pPr>
        <w:spacing w:before="0" w:after="40" w:line="293" w:lineRule="auto"/>
      </w:pPr>
      <w:r>
        <w:rPr>
          <w:rFonts w:ascii="Noto Sans CJK TC" w:hAnsi="Noto Sans CJK TC" w:eastAsia="Noto Sans CJK TC"/>
          <w:b/>
          <w:i w:val="0"/>
          <w:color w:val="44546A"/>
          <w:sz w:val="21"/>
        </w:rPr>
        <w:t>PowerShell：記錄實際服務帳號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40"/>
      </w:tblGrid>
      <w:tr>
        <w:trPr>
          <w:cantSplit/>
        </w:trPr>
        <w:tc>
          <w:tcPr>
            <w:tcW w:type="dxa" w:w="10340"/>
            <w:shd w:fill="F7F7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222222"/>
                <w:sz w:val="17"/>
              </w:rPr>
              <w:t>Get-CimInstance Win32_Service |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22222"/>
                <w:sz w:val="17"/>
              </w:rPr>
              <w:t xml:space="preserve">  Where-Object { $_.Name -in @('MSSQLSERVER','MSSQLServerOLAPService') } |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22222"/>
                <w:sz w:val="17"/>
              </w:rPr>
              <w:t xml:space="preserve">  Select-Object Name, State, StartName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40"/>
      </w:tblGrid>
      <w:tr>
        <w:trPr>
          <w:cantSplit/>
        </w:trPr>
        <w:tc>
          <w:tcPr>
            <w:tcW w:type="dxa" w:w="10340"/>
            <w:shd w:fill="FCE4D6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b/>
                <w:i w:val="0"/>
                <w:color w:val="17365D"/>
                <w:sz w:val="24"/>
              </w:rPr>
              <w:t>STOP</w:t>
            </w:r>
          </w:p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23"/>
              </w:rPr>
              <w:t>若 SSAS 是 Tabular mode，不得嘗試用它完成本規格。SSAS instance 的 mode 是安裝級設定；Phase 0 必須使用 Multidimensional instance。</w:t>
            </w:r>
          </w:p>
        </w:tc>
      </w:tr>
    </w:tbl>
    <w:p>
      <w:pPr>
        <w:spacing w:after="20"/>
      </w:pPr>
    </w:p>
    <w:p>
      <w:pPr>
        <w:pStyle w:val="Heading1"/>
        <w:spacing w:before="0" w:after="100" w:line="293" w:lineRule="auto"/>
      </w:pPr>
      <w:r>
        <w:rPr>
          <w:rFonts w:ascii="Noto Sans CJK TC" w:hAnsi="Noto Sans CJK TC" w:eastAsia="Noto Sans CJK TC"/>
          <w:b w:val="0"/>
          <w:i w:val="0"/>
          <w:color w:val="222222"/>
          <w:sz w:val="26"/>
        </w:rPr>
        <w:t>7. WP2 — Microsoft Adventure Works 官方基準（選用參考／可由 SyntheticSalesBI 或 JDE Cube 直接取代）</w:t>
      </w:r>
    </w:p>
    <w:p>
      <w:pPr>
        <w:pStyle w:val="ListNumber"/>
        <w:spacing w:after="40" w:line="276" w:lineRule="auto"/>
      </w:pPr>
      <w:r>
        <w:rPr>
          <w:rFonts w:ascii="Noto Sans CJK TC" w:hAnsi="Noto Sans CJK TC" w:eastAsia="Noto Sans CJK TC"/>
          <w:b w:val="0"/>
          <w:i w:val="0"/>
          <w:color w:val="222222"/>
          <w:sz w:val="25"/>
        </w:rPr>
        <w:t>下載 AdventureWorksDW2019.bak；Restore 成 AdventureWorksDW2019。Microsoft tutorial 以此名稱為基準。</w:t>
      </w:r>
    </w:p>
    <w:p>
      <w:pPr>
        <w:pStyle w:val="ListNumber"/>
        <w:spacing w:after="40" w:line="276" w:lineRule="auto"/>
      </w:pPr>
      <w:r>
        <w:rPr>
          <w:rFonts w:ascii="Noto Sans CJK TC" w:hAnsi="Noto Sans CJK TC" w:eastAsia="Noto Sans CJK TC"/>
          <w:b w:val="0"/>
          <w:i w:val="0"/>
          <w:color w:val="222222"/>
          <w:sz w:val="25"/>
        </w:rPr>
        <w:t>找出 SSAS service account。若為 default virtual account，通常是 NT SERVICE\MSSQLServerOLAPService；但必須以實機查到的 StartName 為準。</w:t>
      </w:r>
    </w:p>
    <w:p>
      <w:pPr>
        <w:pStyle w:val="ListNumber"/>
        <w:spacing w:after="40" w:line="276" w:lineRule="auto"/>
      </w:pPr>
      <w:r>
        <w:rPr>
          <w:rFonts w:ascii="Noto Sans CJK TC" w:hAnsi="Noto Sans CJK TC" w:eastAsia="Noto Sans CJK TC"/>
          <w:b w:val="0"/>
          <w:i w:val="0"/>
          <w:color w:val="222222"/>
          <w:sz w:val="25"/>
        </w:rPr>
        <w:t>在 AdventureWorksDW2019 建立該 service account 的 login/user，授與 db_datareader。</w:t>
      </w:r>
    </w:p>
    <w:p>
      <w:pPr>
        <w:pStyle w:val="ListNumber"/>
        <w:spacing w:after="40" w:line="276" w:lineRule="auto"/>
      </w:pPr>
      <w:r>
        <w:rPr>
          <w:rFonts w:ascii="Noto Sans CJK TC" w:hAnsi="Noto Sans CJK TC" w:eastAsia="Noto Sans CJK TC"/>
          <w:b w:val="0"/>
          <w:i w:val="0"/>
          <w:color w:val="222222"/>
          <w:sz w:val="25"/>
        </w:rPr>
        <w:t>下載並解壓 adventure-works-multidimensional-tutorial-projects.zip 到短路徑，例如 C:\AI-BI-Lab\vendor\adventureworks。</w:t>
      </w:r>
    </w:p>
    <w:p>
      <w:pPr>
        <w:pStyle w:val="ListNumber"/>
        <w:spacing w:after="40" w:line="276" w:lineRule="auto"/>
      </w:pPr>
      <w:r>
        <w:rPr>
          <w:rFonts w:ascii="Noto Sans CJK TC" w:hAnsi="Noto Sans CJK TC" w:eastAsia="Noto Sans CJK TC"/>
          <w:b w:val="0"/>
          <w:i w:val="0"/>
          <w:color w:val="222222"/>
          <w:sz w:val="25"/>
        </w:rPr>
        <w:t>開 Lesson 10 Complete 的 Analysis Services Tutorial.sln；確認 Data Source 指向 localhost / AdventureWorksDW2019，Deployment Server=localhost。</w:t>
      </w:r>
    </w:p>
    <w:p>
      <w:pPr>
        <w:pStyle w:val="ListNumber"/>
        <w:spacing w:after="40" w:line="276" w:lineRule="auto"/>
      </w:pPr>
      <w:r>
        <w:rPr>
          <w:rFonts w:ascii="Noto Sans CJK TC" w:hAnsi="Noto Sans CJK TC" w:eastAsia="Noto Sans CJK TC"/>
          <w:b w:val="0"/>
          <w:i w:val="0"/>
          <w:color w:val="222222"/>
          <w:sz w:val="25"/>
        </w:rPr>
        <w:t>Build + Deploy + Process。SSMS/Analysis Services 應看到 Analysis Services Tutorial。</w:t>
      </w:r>
    </w:p>
    <w:p>
      <w:pPr>
        <w:pStyle w:val="ListNumber"/>
        <w:spacing w:after="40" w:line="276" w:lineRule="auto"/>
      </w:pPr>
      <w:r>
        <w:rPr>
          <w:rFonts w:ascii="Noto Sans CJK TC" w:hAnsi="Noto Sans CJK TC" w:eastAsia="Noto Sans CJK TC"/>
          <w:b w:val="0"/>
          <w:i w:val="0"/>
          <w:color w:val="222222"/>
          <w:sz w:val="25"/>
        </w:rPr>
        <w:t>用 Cube Browser 或 MDX query 取得非空結果；將 screenshot / MDX / result 存入 evidence/WP2。</w:t>
      </w:r>
    </w:p>
    <w:p>
      <w:pPr>
        <w:spacing w:before="0" w:after="40" w:line="293" w:lineRule="auto"/>
      </w:pPr>
      <w:r>
        <w:rPr>
          <w:rFonts w:ascii="Noto Sans CJK TC" w:hAnsi="Noto Sans CJK TC" w:eastAsia="Noto Sans CJK TC"/>
          <w:b/>
          <w:i w:val="0"/>
          <w:color w:val="44546A"/>
          <w:sz w:val="21"/>
        </w:rPr>
        <w:t>官方基準 MDX（若 sample 物件 caption 有版本差異，以實際官方 project 為準）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40"/>
      </w:tblGrid>
      <w:tr>
        <w:trPr>
          <w:cantSplit/>
        </w:trPr>
        <w:tc>
          <w:tcPr>
            <w:tcW w:type="dxa" w:w="10340"/>
            <w:shd w:fill="F7F7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222222"/>
                <w:sz w:val="17"/>
              </w:rPr>
              <w:t>SELECT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22222"/>
                <w:sz w:val="17"/>
              </w:rPr>
              <w:t>{ [Measures].[Internet Sales Count], [Measures].[Internet Sales-Sales Amount] } ON COLUMNS,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22222"/>
                <w:sz w:val="17"/>
              </w:rPr>
              <w:t>{ [Product].[Product Line].[Product Line].MEMBERS } ON ROWS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22222"/>
                <w:sz w:val="17"/>
              </w:rPr>
              <w:t>FROM [Analysis Services Tutorial]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22222"/>
                <w:sz w:val="17"/>
              </w:rPr>
              <w:t>WHERE [Sales Territory].[Sales Territory Country].[Australia]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40"/>
      </w:tblGrid>
      <w:tr>
        <w:trPr>
          <w:cantSplit/>
        </w:trPr>
        <w:tc>
          <w:tcPr>
            <w:tcW w:type="dxa" w:w="10340"/>
            <w:shd w:fill="E2F0D9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b/>
                <w:i w:val="0"/>
                <w:color w:val="17365D"/>
                <w:sz w:val="24"/>
              </w:rPr>
              <w:t>WP2 PASS</w:t>
            </w:r>
          </w:p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23"/>
              </w:rPr>
              <w:t>官方 relational source → SSAS multidimensional project → process → MDX 完整成立。若這一 Gate 未通過，後續不得建立 Synthetic Cube。</w:t>
            </w:r>
          </w:p>
        </w:tc>
      </w:tr>
    </w:tbl>
    <w:p>
      <w:pPr>
        <w:spacing w:after="20"/>
      </w:pPr>
    </w:p>
    <w:p>
      <w:pPr>
        <w:pStyle w:val="Heading1"/>
        <w:spacing w:before="0" w:after="100" w:line="293" w:lineRule="auto"/>
      </w:pPr>
      <w:r>
        <w:rPr>
          <w:rFonts w:ascii="Noto Sans CJK TC" w:hAnsi="Noto Sans CJK TC" w:eastAsia="Noto Sans CJK TC"/>
          <w:b w:val="0"/>
          <w:i w:val="0"/>
          <w:color w:val="222222"/>
          <w:sz w:val="26"/>
        </w:rPr>
        <w:t>8. WP3 — SyntheticSalesBI Relational Database</w:t>
      </w:r>
    </w:p>
    <w:p>
      <w:pPr>
        <w:pStyle w:val="ListNumber"/>
        <w:spacing w:after="40" w:line="276" w:lineRule="auto"/>
      </w:pPr>
      <w:r>
        <w:rPr>
          <w:rFonts w:ascii="Noto Sans CJK TC" w:hAnsi="Noto Sans CJK TC" w:eastAsia="Noto Sans CJK TC"/>
          <w:b w:val="0"/>
          <w:i w:val="0"/>
          <w:color w:val="222222"/>
          <w:sz w:val="25"/>
        </w:rPr>
        <w:t>解壓 Synthetic Sales BI Benchmark Dataset v2.0 到 C:\AI-BI-Lab\benchmark。</w:t>
      </w:r>
    </w:p>
    <w:p>
      <w:pPr>
        <w:pStyle w:val="ListNumber"/>
        <w:spacing w:after="40" w:line="276" w:lineRule="auto"/>
      </w:pPr>
      <w:r>
        <w:rPr>
          <w:rFonts w:ascii="Noto Sans CJK TC" w:hAnsi="Noto Sans CJK TC" w:eastAsia="Noto Sans CJK TC"/>
          <w:b w:val="0"/>
          <w:i w:val="0"/>
          <w:color w:val="222222"/>
          <w:sz w:val="25"/>
        </w:rPr>
        <w:t>執行 sql/01_create_schema.sql。此腳本會建立 SyntheticSalesBI 並重建 benchmark tables；只可對 Home Lab 使用。</w:t>
      </w:r>
    </w:p>
    <w:p>
      <w:pPr>
        <w:pStyle w:val="ListNumber"/>
        <w:spacing w:after="40" w:line="276" w:lineRule="auto"/>
      </w:pPr>
      <w:r>
        <w:rPr>
          <w:rFonts w:ascii="Noto Sans CJK TC" w:hAnsi="Noto Sans CJK TC" w:eastAsia="Noto Sans CJK TC"/>
          <w:b w:val="0"/>
          <w:i w:val="0"/>
          <w:color w:val="222222"/>
          <w:sz w:val="25"/>
        </w:rPr>
        <w:t>Primary load path：修改 sql/03_bulk_load_template.sql 的 @Root 至實際 data 目錄並執行。若 SQL service account 無檔案讀權限，授與該資料夾 read；若仍受限，改用 SSMS Import Flat File / Import Data Wizard。</w:t>
      </w:r>
    </w:p>
    <w:p>
      <w:pPr>
        <w:pStyle w:val="ListNumber"/>
        <w:spacing w:after="40" w:line="276" w:lineRule="auto"/>
      </w:pPr>
      <w:r>
        <w:rPr>
          <w:rFonts w:ascii="Noto Sans CJK TC" w:hAnsi="Noto Sans CJK TC" w:eastAsia="Noto Sans CJK TC"/>
          <w:b w:val="0"/>
          <w:i w:val="0"/>
          <w:color w:val="222222"/>
          <w:sz w:val="25"/>
        </w:rPr>
        <w:t>依 FK 順序載入 DimDate → DimRegion → DimProduct → DimCustomer → DimSalesperson → FactSales → FactBudget。</w:t>
      </w:r>
    </w:p>
    <w:p>
      <w:pPr>
        <w:pStyle w:val="ListNumber"/>
        <w:spacing w:after="40" w:line="276" w:lineRule="auto"/>
      </w:pPr>
      <w:r>
        <w:rPr>
          <w:rFonts w:ascii="Noto Sans CJK TC" w:hAnsi="Noto Sans CJK TC" w:eastAsia="Noto Sans CJK TC"/>
          <w:b w:val="0"/>
          <w:i w:val="0"/>
          <w:color w:val="222222"/>
          <w:sz w:val="25"/>
        </w:rPr>
        <w:t>執行 sql/02_validation_views.sql，再執行 sql/04_ground_truth_checks.sql。</w:t>
      </w:r>
    </w:p>
    <w:p>
      <w:pPr>
        <w:pStyle w:val="ListNumber"/>
        <w:spacing w:after="40" w:line="276" w:lineRule="auto"/>
      </w:pPr>
      <w:r>
        <w:rPr>
          <w:rFonts w:ascii="Noto Sans CJK TC" w:hAnsi="Noto Sans CJK TC" w:eastAsia="Noto Sans CJK TC"/>
          <w:b w:val="0"/>
          <w:i w:val="0"/>
          <w:color w:val="222222"/>
          <w:sz w:val="25"/>
        </w:rPr>
        <w:t>把 row counts 與 event results 匯出到 evidence/WP3。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0"/>
        <w:gridCol w:w="5170"/>
      </w:tblGrid>
      <w:tr>
        <w:trPr>
          <w:tblHeader w:val="true"/>
          <w:cantSplit/>
        </w:trPr>
        <w:tc>
          <w:tcPr>
            <w:tcW w:type="dxa" w:w="5170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i w:val="0"/>
                <w:color w:val="FFFFFF"/>
                <w:sz w:val="21"/>
              </w:rPr>
              <w:t>Table</w:t>
            </w:r>
          </w:p>
        </w:tc>
        <w:tc>
          <w:tcPr>
            <w:tcW w:type="dxa" w:w="5170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i w:val="0"/>
                <w:color w:val="FFFFFF"/>
                <w:sz w:val="21"/>
              </w:rPr>
              <w:t>Expected rows</w:t>
            </w:r>
          </w:p>
        </w:tc>
      </w:tr>
      <w:tr>
        <w:trPr>
          <w:cantSplit/>
        </w:trPr>
        <w:tc>
          <w:tcPr>
            <w:tcW w:type="dxa" w:w="4752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21"/>
              </w:rPr>
              <w:t>DimDate</w:t>
            </w:r>
          </w:p>
        </w:tc>
        <w:tc>
          <w:tcPr>
            <w:tcW w:type="dxa" w:w="4752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21"/>
              </w:rPr>
              <w:t>24</w:t>
            </w:r>
          </w:p>
        </w:tc>
      </w:tr>
      <w:tr>
        <w:trPr>
          <w:cantSplit/>
        </w:trPr>
        <w:tc>
          <w:tcPr>
            <w:tcW w:type="dxa" w:w="4752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3F6F8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21"/>
              </w:rPr>
              <w:t>DimRegion</w:t>
            </w:r>
          </w:p>
        </w:tc>
        <w:tc>
          <w:tcPr>
            <w:tcW w:type="dxa" w:w="4752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3F6F8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21"/>
              </w:rPr>
              <w:t>4</w:t>
            </w:r>
          </w:p>
        </w:tc>
      </w:tr>
      <w:tr>
        <w:trPr>
          <w:cantSplit/>
        </w:trPr>
        <w:tc>
          <w:tcPr>
            <w:tcW w:type="dxa" w:w="4752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21"/>
              </w:rPr>
              <w:t>DimProduct</w:t>
            </w:r>
          </w:p>
        </w:tc>
        <w:tc>
          <w:tcPr>
            <w:tcW w:type="dxa" w:w="4752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21"/>
              </w:rPr>
              <w:t>40</w:t>
            </w:r>
          </w:p>
        </w:tc>
      </w:tr>
      <w:tr>
        <w:trPr>
          <w:cantSplit/>
        </w:trPr>
        <w:tc>
          <w:tcPr>
            <w:tcW w:type="dxa" w:w="4752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3F6F8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21"/>
              </w:rPr>
              <w:t>DimCustomer</w:t>
            </w:r>
          </w:p>
        </w:tc>
        <w:tc>
          <w:tcPr>
            <w:tcW w:type="dxa" w:w="4752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3F6F8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21"/>
              </w:rPr>
              <w:t>160</w:t>
            </w:r>
          </w:p>
        </w:tc>
      </w:tr>
      <w:tr>
        <w:trPr>
          <w:cantSplit/>
        </w:trPr>
        <w:tc>
          <w:tcPr>
            <w:tcW w:type="dxa" w:w="4752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21"/>
              </w:rPr>
              <w:t>DimSalesperson</w:t>
            </w:r>
          </w:p>
        </w:tc>
        <w:tc>
          <w:tcPr>
            <w:tcW w:type="dxa" w:w="4752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21"/>
              </w:rPr>
              <w:t>20</w:t>
            </w:r>
          </w:p>
        </w:tc>
      </w:tr>
      <w:tr>
        <w:trPr>
          <w:cantSplit/>
        </w:trPr>
        <w:tc>
          <w:tcPr>
            <w:tcW w:type="dxa" w:w="4752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3F6F8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21"/>
              </w:rPr>
              <w:t>FactSales</w:t>
            </w:r>
          </w:p>
        </w:tc>
        <w:tc>
          <w:tcPr>
            <w:tcW w:type="dxa" w:w="4752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3F6F8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21"/>
              </w:rPr>
              <w:t>153,600</w:t>
            </w:r>
          </w:p>
        </w:tc>
      </w:tr>
      <w:tr>
        <w:trPr>
          <w:cantSplit/>
        </w:trPr>
        <w:tc>
          <w:tcPr>
            <w:tcW w:type="dxa" w:w="4752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21"/>
              </w:rPr>
              <w:t>FactBudget</w:t>
            </w:r>
          </w:p>
        </w:tc>
        <w:tc>
          <w:tcPr>
            <w:tcW w:type="dxa" w:w="4752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21"/>
              </w:rPr>
              <w:t>3,840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40"/>
      </w:tblGrid>
      <w:tr>
        <w:trPr>
          <w:cantSplit/>
        </w:trPr>
        <w:tc>
          <w:tcPr>
            <w:tcW w:type="dxa" w:w="10340"/>
            <w:shd w:fill="FFF2CC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b/>
                <w:i w:val="0"/>
                <w:color w:val="17365D"/>
                <w:sz w:val="24"/>
              </w:rPr>
              <w:t>Benchmark Freeze</w:t>
            </w:r>
          </w:p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23"/>
              </w:rPr>
              <w:t>Seed=20260814；資料範圍 2024-09～2026-08。不得為了修正程式而改 Seed / Events / Expected Answers。</w:t>
            </w:r>
          </w:p>
        </w:tc>
      </w:tr>
    </w:tbl>
    <w:p>
      <w:pPr>
        <w:spacing w:after="20"/>
      </w:pPr>
    </w:p>
    <w:p>
      <w:pPr>
        <w:pStyle w:val="Heading1"/>
        <w:spacing w:before="0" w:after="100" w:line="293" w:lineRule="auto"/>
      </w:pPr>
      <w:r>
        <w:rPr>
          <w:rFonts w:ascii="Noto Sans CJK TC" w:hAnsi="Noto Sans CJK TC" w:eastAsia="Noto Sans CJK TC"/>
          <w:b w:val="0"/>
          <w:i w:val="0"/>
          <w:color w:val="222222"/>
          <w:sz w:val="26"/>
        </w:rPr>
        <w:t>9. WP4 — Synthetic Sales BI SSAS Multidimensional Cube Build Spec</w:t>
      </w:r>
    </w:p>
    <w:p>
      <w:pPr>
        <w:pStyle w:val="Heading2"/>
        <w:spacing w:before="0" w:after="100" w:line="293" w:lineRule="auto"/>
      </w:pPr>
      <w:r>
        <w:rPr>
          <w:rFonts w:ascii="Noto Sans CJK TC" w:hAnsi="Noto Sans CJK TC" w:eastAsia="Noto Sans CJK TC"/>
          <w:b w:val="0"/>
          <w:i w:val="0"/>
          <w:color w:val="222222"/>
          <w:sz w:val="26"/>
        </w:rPr>
        <w:t>9.1 Project / Data Source / DSV</w:t>
      </w:r>
    </w:p>
    <w:p>
      <w:pPr>
        <w:pStyle w:val="ListNumber"/>
        <w:spacing w:after="40" w:line="276" w:lineRule="auto"/>
      </w:pPr>
      <w:r>
        <w:rPr>
          <w:rFonts w:ascii="Noto Sans CJK TC" w:hAnsi="Noto Sans CJK TC" w:eastAsia="Noto Sans CJK TC"/>
          <w:b w:val="0"/>
          <w:i w:val="0"/>
          <w:color w:val="222222"/>
          <w:sz w:val="25"/>
        </w:rPr>
        <w:t>建立 Analysis Services Multidimensional project：SyntheticSalesBI.Ssas；Deployment Database Name 固定為 Synthetic Sales BI；Server=localhost。</w:t>
      </w:r>
    </w:p>
    <w:p>
      <w:pPr>
        <w:pStyle w:val="ListNumber"/>
        <w:spacing w:after="40" w:line="276" w:lineRule="auto"/>
      </w:pPr>
      <w:r>
        <w:rPr>
          <w:rFonts w:ascii="Noto Sans CJK TC" w:hAnsi="Noto Sans CJK TC" w:eastAsia="Noto Sans CJK TC"/>
          <w:b w:val="0"/>
          <w:i w:val="0"/>
          <w:color w:val="222222"/>
          <w:sz w:val="25"/>
        </w:rPr>
        <w:t>建立 Data Source：SyntheticSalesBI。Impersonation 使用 SSAS service account；因此該 service account 必須在 SyntheticSalesBI 具 db_datareader。</w:t>
      </w:r>
    </w:p>
    <w:p>
      <w:pPr>
        <w:pStyle w:val="ListNumber"/>
        <w:spacing w:after="40" w:line="276" w:lineRule="auto"/>
      </w:pPr>
      <w:r>
        <w:rPr>
          <w:rFonts w:ascii="Noto Sans CJK TC" w:hAnsi="Noto Sans CJK TC" w:eastAsia="Noto Sans CJK TC"/>
          <w:b w:val="0"/>
          <w:i w:val="0"/>
          <w:color w:val="222222"/>
          <w:sz w:val="25"/>
        </w:rPr>
        <w:t>建立 Data Source View：加入 5 dimension tables + FactSales + FactBudget。驗證 FK / logical relationships 與 SQL schema 一致。</w:t>
      </w:r>
    </w:p>
    <w:p>
      <w:pPr>
        <w:pStyle w:val="Heading2"/>
        <w:spacing w:before="0" w:after="100" w:line="293" w:lineRule="auto"/>
      </w:pPr>
      <w:r>
        <w:rPr>
          <w:rFonts w:ascii="Noto Sans CJK TC" w:hAnsi="Noto Sans CJK TC" w:eastAsia="Noto Sans CJK TC"/>
          <w:b w:val="0"/>
          <w:i w:val="0"/>
          <w:color w:val="222222"/>
          <w:sz w:val="26"/>
        </w:rPr>
        <w:t>9.2 Dimensions — object names are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47"/>
        <w:gridCol w:w="3447"/>
        <w:gridCol w:w="3447"/>
      </w:tblGrid>
      <w:tr>
        <w:trPr>
          <w:tblHeader w:val="true"/>
          <w:cantSplit/>
        </w:trPr>
        <w:tc>
          <w:tcPr>
            <w:tcW w:type="dxa" w:w="3447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i w:val="0"/>
                <w:color w:val="FFFFFF"/>
                <w:sz w:val="18"/>
              </w:rPr>
              <w:t>Dimension</w:t>
            </w:r>
          </w:p>
        </w:tc>
        <w:tc>
          <w:tcPr>
            <w:tcW w:type="dxa" w:w="3447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i w:val="0"/>
                <w:color w:val="FFFFFF"/>
                <w:sz w:val="18"/>
              </w:rPr>
              <w:t>Attributes / Key / Name</w:t>
            </w:r>
          </w:p>
        </w:tc>
        <w:tc>
          <w:tcPr>
            <w:tcW w:type="dxa" w:w="3447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i w:val="0"/>
                <w:color w:val="FFFFFF"/>
                <w:sz w:val="18"/>
              </w:rPr>
              <w:t>User Hierarchy / Relationship</w:t>
            </w:r>
          </w:p>
        </w:tc>
      </w:tr>
      <w:tr>
        <w:trPr>
          <w:cantSplit/>
        </w:trPr>
        <w:tc>
          <w:tcPr>
            <w:tcW w:type="dxa" w:w="144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/>
                <w:i w:val="0"/>
                <w:color w:val="222222"/>
                <w:sz w:val="18"/>
              </w:rPr>
              <w:t>Time</w:t>
            </w:r>
          </w:p>
        </w:tc>
        <w:tc>
          <w:tcPr>
            <w:tcW w:type="dxa" w:w="482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8"/>
              </w:rPr>
              <w:t>Year: key Year；Quarter: composite key (Year, Quarter)，name Quarter；Month: key DateKey，name MonthName</w:t>
            </w:r>
          </w:p>
        </w:tc>
        <w:tc>
          <w:tcPr>
            <w:tcW w:type="dxa" w:w="410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8"/>
              </w:rPr>
              <w:t>Calendar = Year → Quarter → Month；Month → Quarter → Year attribute relationships。</w:t>
            </w:r>
          </w:p>
        </w:tc>
      </w:tr>
      <w:tr>
        <w:trPr>
          <w:cantSplit/>
        </w:trPr>
        <w:tc>
          <w:tcPr>
            <w:tcW w:type="dxa" w:w="144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3F6F8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/>
                <w:i w:val="0"/>
                <w:color w:val="222222"/>
                <w:sz w:val="18"/>
              </w:rPr>
              <w:t>Region</w:t>
            </w:r>
          </w:p>
        </w:tc>
        <w:tc>
          <w:tcPr>
            <w:tcW w:type="dxa" w:w="482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3F6F8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8"/>
              </w:rPr>
              <w:t>Region: key RegionKey，name RegionName</w:t>
            </w:r>
          </w:p>
        </w:tc>
        <w:tc>
          <w:tcPr>
            <w:tcW w:type="dxa" w:w="410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3F6F8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8"/>
              </w:rPr>
              <w:t>使用 attribute hierarchy [Region].[Region]；不要另外造第二套 Geography。</w:t>
            </w:r>
          </w:p>
        </w:tc>
      </w:tr>
      <w:tr>
        <w:trPr>
          <w:cantSplit/>
        </w:trPr>
        <w:tc>
          <w:tcPr>
            <w:tcW w:type="dxa" w:w="144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/>
                <w:i w:val="0"/>
                <w:color w:val="222222"/>
                <w:sz w:val="18"/>
              </w:rPr>
              <w:t>Product</w:t>
            </w:r>
          </w:p>
        </w:tc>
        <w:tc>
          <w:tcPr>
            <w:tcW w:type="dxa" w:w="482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8"/>
              </w:rPr>
              <w:t>Product Group: key ProductGroupKey/name ProductGroupName；Product: key ProductKey/name ProductName</w:t>
            </w:r>
          </w:p>
        </w:tc>
        <w:tc>
          <w:tcPr>
            <w:tcW w:type="dxa" w:w="410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8"/>
              </w:rPr>
              <w:t>Product = Product Group → Product；Product → Product Group relationship。</w:t>
            </w:r>
          </w:p>
        </w:tc>
      </w:tr>
      <w:tr>
        <w:trPr>
          <w:cantSplit/>
        </w:trPr>
        <w:tc>
          <w:tcPr>
            <w:tcW w:type="dxa" w:w="144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3F6F8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/>
                <w:i w:val="0"/>
                <w:color w:val="222222"/>
                <w:sz w:val="18"/>
              </w:rPr>
              <w:t>Customer</w:t>
            </w:r>
          </w:p>
        </w:tc>
        <w:tc>
          <w:tcPr>
            <w:tcW w:type="dxa" w:w="482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3F6F8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8"/>
              </w:rPr>
              <w:t>Segment: key SegmentCode/name SegmentName；Customer Group: key CustomerGroup；Customer: key CustomerKey/name CustomerName</w:t>
            </w:r>
          </w:p>
        </w:tc>
        <w:tc>
          <w:tcPr>
            <w:tcW w:type="dxa" w:w="410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3F6F8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8"/>
              </w:rPr>
              <w:t>Customer = Segment → Customer Group → Customer；Customer → Group → Segment relationships。</w:t>
            </w:r>
          </w:p>
        </w:tc>
      </w:tr>
      <w:tr>
        <w:trPr>
          <w:cantSplit/>
        </w:trPr>
        <w:tc>
          <w:tcPr>
            <w:tcW w:type="dxa" w:w="144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/>
                <w:i w:val="0"/>
                <w:color w:val="222222"/>
                <w:sz w:val="18"/>
              </w:rPr>
              <w:t>Salesperson</w:t>
            </w:r>
          </w:p>
        </w:tc>
        <w:tc>
          <w:tcPr>
            <w:tcW w:type="dxa" w:w="482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8"/>
              </w:rPr>
              <w:t>Salesperson: key SalespersonKey/name SalespersonName</w:t>
            </w:r>
          </w:p>
        </w:tc>
        <w:tc>
          <w:tcPr>
            <w:tcW w:type="dxa" w:w="410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8"/>
              </w:rPr>
              <w:t>Phase 0 使用單層 Salesperson attribute hierarchy。Region 維度維持獨立 conformed dimension，避免重複 Region semantic path。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40"/>
      </w:tblGrid>
      <w:tr>
        <w:trPr>
          <w:cantSplit/>
        </w:trPr>
        <w:tc>
          <w:tcPr>
            <w:tcW w:type="dxa" w:w="10340"/>
            <w:shd w:fill="FCE4D6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b/>
                <w:i w:val="0"/>
                <w:color w:val="17365D"/>
                <w:sz w:val="24"/>
              </w:rPr>
              <w:t>Time Key 重要</w:t>
            </w:r>
          </w:p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23"/>
              </w:rPr>
              <w:t>Quarter 不能只用 Q1/Q2/Q3/Q4 當 global key，否則跨年會碰撞。Quarter 使用 composite key (Year, Quarter)；Month 使用唯一 DateKey。</w:t>
            </w:r>
          </w:p>
        </w:tc>
      </w:tr>
    </w:tbl>
    <w:p>
      <w:pPr>
        <w:spacing w:after="20"/>
      </w:pPr>
    </w:p>
    <w:p>
      <w:pPr>
        <w:pStyle w:val="Heading2"/>
        <w:spacing w:before="0" w:after="100" w:line="293" w:lineRule="auto"/>
      </w:pPr>
      <w:r>
        <w:rPr>
          <w:rFonts w:ascii="Noto Sans CJK TC" w:hAnsi="Noto Sans CJK TC" w:eastAsia="Noto Sans CJK TC"/>
          <w:b w:val="0"/>
          <w:i w:val="0"/>
          <w:color w:val="222222"/>
          <w:sz w:val="26"/>
        </w:rPr>
        <w:t>9.3 Measure Groups / Dimensions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85"/>
        <w:gridCol w:w="2585"/>
        <w:gridCol w:w="2585"/>
        <w:gridCol w:w="2585"/>
      </w:tblGrid>
      <w:tr>
        <w:trPr>
          <w:tblHeader w:val="true"/>
          <w:cantSplit/>
        </w:trPr>
        <w:tc>
          <w:tcPr>
            <w:tcW w:type="dxa" w:w="2585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i w:val="0"/>
                <w:color w:val="FFFFFF"/>
                <w:sz w:val="19"/>
              </w:rPr>
              <w:t>Measure Group</w:t>
            </w:r>
          </w:p>
        </w:tc>
        <w:tc>
          <w:tcPr>
            <w:tcW w:type="dxa" w:w="2585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i w:val="0"/>
                <w:color w:val="FFFFFF"/>
                <w:sz w:val="19"/>
              </w:rPr>
              <w:t>Source</w:t>
            </w:r>
          </w:p>
        </w:tc>
        <w:tc>
          <w:tcPr>
            <w:tcW w:type="dxa" w:w="2585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i w:val="0"/>
                <w:color w:val="FFFFFF"/>
                <w:sz w:val="19"/>
              </w:rPr>
              <w:t>Regular dimensions</w:t>
            </w:r>
          </w:p>
        </w:tc>
        <w:tc>
          <w:tcPr>
            <w:tcW w:type="dxa" w:w="2585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i w:val="0"/>
                <w:color w:val="FFFFFF"/>
                <w:sz w:val="19"/>
              </w:rPr>
              <w:t>禁止／限制</w:t>
            </w:r>
          </w:p>
        </w:tc>
      </w:tr>
      <w:tr>
        <w:trPr>
          <w:cantSplit/>
        </w:trPr>
        <w:tc>
          <w:tcPr>
            <w:tcW w:type="dxa" w:w="158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9"/>
              </w:rPr>
              <w:t>Sales</w:t>
            </w:r>
          </w:p>
        </w:tc>
        <w:tc>
          <w:tcPr>
            <w:tcW w:type="dxa" w:w="180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9"/>
              </w:rPr>
              <w:t>FactSales</w:t>
            </w:r>
          </w:p>
        </w:tc>
        <w:tc>
          <w:tcPr>
            <w:tcW w:type="dxa" w:w="360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9"/>
              </w:rPr>
              <w:t>Time, Region, Product, Customer, Salesperson</w:t>
            </w:r>
          </w:p>
        </w:tc>
        <w:tc>
          <w:tcPr>
            <w:tcW w:type="dxa" w:w="338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9"/>
              </w:rPr>
              <w:t>None。</w:t>
            </w:r>
          </w:p>
        </w:tc>
      </w:tr>
      <w:tr>
        <w:trPr>
          <w:cantSplit/>
        </w:trPr>
        <w:tc>
          <w:tcPr>
            <w:tcW w:type="dxa" w:w="158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3F6F8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9"/>
              </w:rPr>
              <w:t>Budget</w:t>
            </w:r>
          </w:p>
        </w:tc>
        <w:tc>
          <w:tcPr>
            <w:tcW w:type="dxa" w:w="180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3F6F8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9"/>
              </w:rPr>
              <w:t>FactBudget</w:t>
            </w:r>
          </w:p>
        </w:tc>
        <w:tc>
          <w:tcPr>
            <w:tcW w:type="dxa" w:w="360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3F6F8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9"/>
              </w:rPr>
              <w:t>Time, Region, Product</w:t>
            </w:r>
          </w:p>
        </w:tc>
        <w:tc>
          <w:tcPr>
            <w:tcW w:type="dxa" w:w="338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3F6F8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9"/>
              </w:rPr>
              <w:t>Customer / Salesperson 無 relationship；Query Validator 不允許 Budget measures 與這兩者交叉。</w:t>
            </w:r>
          </w:p>
        </w:tc>
      </w:tr>
    </w:tbl>
    <w:p>
      <w:pPr>
        <w:spacing w:after="20"/>
      </w:pPr>
    </w:p>
    <w:p>
      <w:pPr>
        <w:pStyle w:val="Heading2"/>
        <w:spacing w:before="0" w:after="100" w:line="293" w:lineRule="auto"/>
      </w:pPr>
      <w:r>
        <w:rPr>
          <w:rFonts w:ascii="Noto Sans CJK TC" w:hAnsi="Noto Sans CJK TC" w:eastAsia="Noto Sans CJK TC"/>
          <w:b w:val="0"/>
          <w:i w:val="0"/>
          <w:color w:val="222222"/>
          <w:sz w:val="26"/>
        </w:rPr>
        <w:t>9.4 Measures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85"/>
        <w:gridCol w:w="2585"/>
        <w:gridCol w:w="2585"/>
        <w:gridCol w:w="2585"/>
      </w:tblGrid>
      <w:tr>
        <w:trPr>
          <w:tblHeader w:val="true"/>
          <w:cantSplit/>
        </w:trPr>
        <w:tc>
          <w:tcPr>
            <w:tcW w:type="dxa" w:w="2585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i w:val="0"/>
                <w:color w:val="FFFFFF"/>
                <w:sz w:val="19"/>
              </w:rPr>
              <w:t>Measure</w:t>
            </w:r>
          </w:p>
        </w:tc>
        <w:tc>
          <w:tcPr>
            <w:tcW w:type="dxa" w:w="2585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i w:val="0"/>
                <w:color w:val="FFFFFF"/>
                <w:sz w:val="19"/>
              </w:rPr>
              <w:t>Type</w:t>
            </w:r>
          </w:p>
        </w:tc>
        <w:tc>
          <w:tcPr>
            <w:tcW w:type="dxa" w:w="2585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i w:val="0"/>
                <w:color w:val="FFFFFF"/>
                <w:sz w:val="19"/>
              </w:rPr>
              <w:t>Source / Formula</w:t>
            </w:r>
          </w:p>
        </w:tc>
        <w:tc>
          <w:tcPr>
            <w:tcW w:type="dxa" w:w="2585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i w:val="0"/>
                <w:color w:val="FFFFFF"/>
                <w:sz w:val="19"/>
              </w:rPr>
              <w:t>Visibility</w:t>
            </w:r>
          </w:p>
        </w:tc>
      </w:tr>
      <w:tr>
        <w:trPr>
          <w:cantSplit/>
        </w:trPr>
        <w:tc>
          <w:tcPr>
            <w:tcW w:type="dxa" w:w="2376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9"/>
              </w:rPr>
              <w:t>Net Sales</w:t>
            </w:r>
          </w:p>
        </w:tc>
        <w:tc>
          <w:tcPr>
            <w:tcW w:type="dxa" w:w="1656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9"/>
              </w:rPr>
              <w:t>Base SUM</w:t>
            </w:r>
          </w:p>
        </w:tc>
        <w:tc>
          <w:tcPr>
            <w:tcW w:type="dxa" w:w="432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9"/>
              </w:rPr>
              <w:t>FactSales.NetSales</w:t>
            </w:r>
          </w:p>
        </w:tc>
        <w:tc>
          <w:tcPr>
            <w:tcW w:type="dxa" w:w="2016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9"/>
              </w:rPr>
              <w:t>Visible</w:t>
            </w:r>
          </w:p>
        </w:tc>
      </w:tr>
      <w:tr>
        <w:trPr>
          <w:cantSplit/>
        </w:trPr>
        <w:tc>
          <w:tcPr>
            <w:tcW w:type="dxa" w:w="2376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3F6F8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9"/>
              </w:rPr>
              <w:t>Gross Profit</w:t>
            </w:r>
          </w:p>
        </w:tc>
        <w:tc>
          <w:tcPr>
            <w:tcW w:type="dxa" w:w="1656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3F6F8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9"/>
              </w:rPr>
              <w:t>Base SUM</w:t>
            </w:r>
          </w:p>
        </w:tc>
        <w:tc>
          <w:tcPr>
            <w:tcW w:type="dxa" w:w="432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3F6F8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9"/>
              </w:rPr>
              <w:t>FactSales.GrossProfit</w:t>
            </w:r>
          </w:p>
        </w:tc>
        <w:tc>
          <w:tcPr>
            <w:tcW w:type="dxa" w:w="2016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3F6F8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9"/>
              </w:rPr>
              <w:t>Visible</w:t>
            </w:r>
          </w:p>
        </w:tc>
      </w:tr>
      <w:tr>
        <w:trPr>
          <w:cantSplit/>
        </w:trPr>
        <w:tc>
          <w:tcPr>
            <w:tcW w:type="dxa" w:w="2376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9"/>
              </w:rPr>
              <w:t>Sales Quantity</w:t>
            </w:r>
          </w:p>
        </w:tc>
        <w:tc>
          <w:tcPr>
            <w:tcW w:type="dxa" w:w="1656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9"/>
              </w:rPr>
              <w:t>Base SUM</w:t>
            </w:r>
          </w:p>
        </w:tc>
        <w:tc>
          <w:tcPr>
            <w:tcW w:type="dxa" w:w="432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9"/>
              </w:rPr>
              <w:t>FactSales.Quantity</w:t>
            </w:r>
          </w:p>
        </w:tc>
        <w:tc>
          <w:tcPr>
            <w:tcW w:type="dxa" w:w="2016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9"/>
              </w:rPr>
              <w:t>Visible</w:t>
            </w:r>
          </w:p>
        </w:tc>
      </w:tr>
      <w:tr>
        <w:trPr>
          <w:cantSplit/>
        </w:trPr>
        <w:tc>
          <w:tcPr>
            <w:tcW w:type="dxa" w:w="2376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3F6F8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9"/>
              </w:rPr>
              <w:t>Internal Cost</w:t>
            </w:r>
          </w:p>
        </w:tc>
        <w:tc>
          <w:tcPr>
            <w:tcW w:type="dxa" w:w="1656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3F6F8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9"/>
              </w:rPr>
              <w:t>Base SUM</w:t>
            </w:r>
          </w:p>
        </w:tc>
        <w:tc>
          <w:tcPr>
            <w:tcW w:type="dxa" w:w="432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3F6F8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9"/>
              </w:rPr>
              <w:t>FactSales.Cost</w:t>
            </w:r>
          </w:p>
        </w:tc>
        <w:tc>
          <w:tcPr>
            <w:tcW w:type="dxa" w:w="2016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3F6F8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9"/>
              </w:rPr>
              <w:t>Hidden / internal analytical support</w:t>
            </w:r>
          </w:p>
        </w:tc>
      </w:tr>
      <w:tr>
        <w:trPr>
          <w:cantSplit/>
        </w:trPr>
        <w:tc>
          <w:tcPr>
            <w:tcW w:type="dxa" w:w="2376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9"/>
              </w:rPr>
              <w:t>Budget Sales</w:t>
            </w:r>
          </w:p>
        </w:tc>
        <w:tc>
          <w:tcPr>
            <w:tcW w:type="dxa" w:w="1656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9"/>
              </w:rPr>
              <w:t>Base SUM</w:t>
            </w:r>
          </w:p>
        </w:tc>
        <w:tc>
          <w:tcPr>
            <w:tcW w:type="dxa" w:w="432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9"/>
              </w:rPr>
              <w:t>FactBudget.BudgetSales</w:t>
            </w:r>
          </w:p>
        </w:tc>
        <w:tc>
          <w:tcPr>
            <w:tcW w:type="dxa" w:w="2016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9"/>
              </w:rPr>
              <w:t>Visible</w:t>
            </w:r>
          </w:p>
        </w:tc>
      </w:tr>
      <w:tr>
        <w:trPr>
          <w:cantSplit/>
        </w:trPr>
        <w:tc>
          <w:tcPr>
            <w:tcW w:type="dxa" w:w="2376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3F6F8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9"/>
              </w:rPr>
              <w:t>Internal Budget Gross Profit</w:t>
            </w:r>
          </w:p>
        </w:tc>
        <w:tc>
          <w:tcPr>
            <w:tcW w:type="dxa" w:w="1656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3F6F8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9"/>
              </w:rPr>
              <w:t>Base SUM</w:t>
            </w:r>
          </w:p>
        </w:tc>
        <w:tc>
          <w:tcPr>
            <w:tcW w:type="dxa" w:w="432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3F6F8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9"/>
              </w:rPr>
              <w:t>FactBudget.BudgetGrossProfit</w:t>
            </w:r>
          </w:p>
        </w:tc>
        <w:tc>
          <w:tcPr>
            <w:tcW w:type="dxa" w:w="2016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3F6F8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9"/>
              </w:rPr>
              <w:t>Hidden</w:t>
            </w:r>
          </w:p>
        </w:tc>
      </w:tr>
      <w:tr>
        <w:trPr>
          <w:cantSplit/>
        </w:trPr>
        <w:tc>
          <w:tcPr>
            <w:tcW w:type="dxa" w:w="2376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9"/>
              </w:rPr>
              <w:t>Gross Margin %</w:t>
            </w:r>
          </w:p>
        </w:tc>
        <w:tc>
          <w:tcPr>
            <w:tcW w:type="dxa" w:w="1656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9"/>
              </w:rPr>
              <w:t>Calculated</w:t>
            </w:r>
          </w:p>
        </w:tc>
        <w:tc>
          <w:tcPr>
            <w:tcW w:type="dxa" w:w="432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9"/>
              </w:rPr>
              <w:t>Gross Profit / Net Sales</w:t>
            </w:r>
          </w:p>
        </w:tc>
        <w:tc>
          <w:tcPr>
            <w:tcW w:type="dxa" w:w="2016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9"/>
              </w:rPr>
              <w:t>Visible</w:t>
            </w:r>
          </w:p>
        </w:tc>
      </w:tr>
      <w:tr>
        <w:trPr>
          <w:cantSplit/>
        </w:trPr>
        <w:tc>
          <w:tcPr>
            <w:tcW w:type="dxa" w:w="2376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3F6F8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9"/>
              </w:rPr>
              <w:t>Budget Achievement %</w:t>
            </w:r>
          </w:p>
        </w:tc>
        <w:tc>
          <w:tcPr>
            <w:tcW w:type="dxa" w:w="1656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3F6F8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9"/>
              </w:rPr>
              <w:t>Calculated</w:t>
            </w:r>
          </w:p>
        </w:tc>
        <w:tc>
          <w:tcPr>
            <w:tcW w:type="dxa" w:w="432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3F6F8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9"/>
              </w:rPr>
              <w:t>Net Sales / Budget Sales</w:t>
            </w:r>
          </w:p>
        </w:tc>
        <w:tc>
          <w:tcPr>
            <w:tcW w:type="dxa" w:w="2016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3F6F8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9"/>
              </w:rPr>
              <w:t>Visible</w:t>
            </w:r>
          </w:p>
        </w:tc>
      </w:tr>
      <w:tr>
        <w:trPr>
          <w:cantSplit/>
        </w:trPr>
        <w:tc>
          <w:tcPr>
            <w:tcW w:type="dxa" w:w="2376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9"/>
              </w:rPr>
              <w:t>YoY Growth %</w:t>
            </w:r>
          </w:p>
        </w:tc>
        <w:tc>
          <w:tcPr>
            <w:tcW w:type="dxa" w:w="1656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9"/>
              </w:rPr>
              <w:t>Calculated</w:t>
            </w:r>
          </w:p>
        </w:tc>
        <w:tc>
          <w:tcPr>
            <w:tcW w:type="dxa" w:w="432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9"/>
              </w:rPr>
              <w:t>Current Net Sales / prior-year same-period Net Sales - 1</w:t>
            </w:r>
          </w:p>
        </w:tc>
        <w:tc>
          <w:tcPr>
            <w:tcW w:type="dxa" w:w="2016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9"/>
              </w:rPr>
              <w:t>Visible</w:t>
            </w:r>
          </w:p>
        </w:tc>
      </w:tr>
    </w:tbl>
    <w:p>
      <w:pPr>
        <w:spacing w:after="20"/>
      </w:pPr>
    </w:p>
    <w:p>
      <w:pPr>
        <w:spacing w:before="0" w:after="40" w:line="293" w:lineRule="auto"/>
      </w:pPr>
      <w:r>
        <w:rPr>
          <w:rFonts w:ascii="Noto Sans CJK TC" w:hAnsi="Noto Sans CJK TC" w:eastAsia="Noto Sans CJK TC"/>
          <w:b/>
          <w:i w:val="0"/>
          <w:color w:val="44546A"/>
          <w:sz w:val="21"/>
        </w:rPr>
        <w:t>Cube Calculations — baseline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40"/>
      </w:tblGrid>
      <w:tr>
        <w:trPr>
          <w:cantSplit/>
        </w:trPr>
        <w:tc>
          <w:tcPr>
            <w:tcW w:type="dxa" w:w="10340"/>
            <w:shd w:fill="F7F7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222222"/>
                <w:sz w:val="17"/>
              </w:rPr>
              <w:t>CREATE MEMBER CURRENTCUBE.[Measures].[Gross Margin %]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22222"/>
                <w:sz w:val="17"/>
              </w:rPr>
              <w:t xml:space="preserve"> AS IIF(IsEmpty([Measures].[Net Sales]) OR [Measures].[Net Sales] = 0,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22222"/>
                <w:sz w:val="17"/>
              </w:rPr>
              <w:t xml:space="preserve">        NULL,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22222"/>
                <w:sz w:val="17"/>
              </w:rPr>
              <w:t xml:space="preserve">        [Measures].[Gross Profit] / [Measures].[Net Sales]),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22222"/>
                <w:sz w:val="17"/>
              </w:rPr>
              <w:t xml:space="preserve"> FORMAT_STRING = "0.00%",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22222"/>
                <w:sz w:val="17"/>
              </w:rPr>
              <w:t xml:space="preserve"> VISIBLE = 1;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22222"/>
                <w:sz w:val="17"/>
              </w:rPr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22222"/>
                <w:sz w:val="17"/>
              </w:rPr>
              <w:t>CREATE MEMBER CURRENTCUBE.[Measures].[Budget Achievement %]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22222"/>
                <w:sz w:val="17"/>
              </w:rPr>
              <w:t xml:space="preserve"> AS IIF(IsEmpty([Measures].[Budget Sales]) OR [Measures].[Budget Sales] = 0,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22222"/>
                <w:sz w:val="17"/>
              </w:rPr>
              <w:t xml:space="preserve">        NULL,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22222"/>
                <w:sz w:val="17"/>
              </w:rPr>
              <w:t xml:space="preserve">        [Measures].[Net Sales] / [Measures].[Budget Sales]),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22222"/>
                <w:sz w:val="17"/>
              </w:rPr>
              <w:t xml:space="preserve"> FORMAT_STRING = "0.00%",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22222"/>
                <w:sz w:val="17"/>
              </w:rPr>
              <w:t xml:space="preserve"> VISIBLE = 1;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22222"/>
                <w:sz w:val="17"/>
              </w:rPr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22222"/>
                <w:sz w:val="17"/>
              </w:rPr>
              <w:t>CREATE MEMBER CURRENTCUBE.[Measures].[YoY Growth %]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22222"/>
                <w:sz w:val="17"/>
              </w:rPr>
              <w:t xml:space="preserve"> AS IIF(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22222"/>
                <w:sz w:val="17"/>
              </w:rPr>
              <w:t xml:space="preserve">      IsEmpty(([Measures].[Net Sales], ParallelPeriod([Time].[Calendar].[Year], 1, [Time].[Calendar].CurrentMember)))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22222"/>
                <w:sz w:val="17"/>
              </w:rPr>
              <w:t xml:space="preserve">      OR ([Measures].[Net Sales], ParallelPeriod([Time].[Calendar].[Year], 1, [Time].[Calendar].CurrentMember)) = 0,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22222"/>
                <w:sz w:val="17"/>
              </w:rPr>
              <w:t xml:space="preserve">      NULL,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22222"/>
                <w:sz w:val="17"/>
              </w:rPr>
              <w:t xml:space="preserve">      [Measures].[Net Sales] /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22222"/>
                <w:sz w:val="17"/>
              </w:rPr>
              <w:t xml:space="preserve">      ([Measures].[Net Sales], ParallelPeriod([Time].[Calendar].[Year], 1, [Time].[Calendar].CurrentMember)) - 1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22222"/>
                <w:sz w:val="17"/>
              </w:rPr>
              <w:t xml:space="preserve">    ),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22222"/>
                <w:sz w:val="17"/>
              </w:rPr>
              <w:t xml:space="preserve"> FORMAT_STRING = "0.00%",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22222"/>
                <w:sz w:val="17"/>
              </w:rPr>
              <w:t xml:space="preserve"> VISIBLE = 1;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40"/>
      </w:tblGrid>
      <w:tr>
        <w:trPr>
          <w:cantSplit/>
        </w:trPr>
        <w:tc>
          <w:tcPr>
            <w:tcW w:type="dxa" w:w="10340"/>
            <w:shd w:fill="FFF2CC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b/>
                <w:i w:val="0"/>
                <w:color w:val="17365D"/>
                <w:sz w:val="24"/>
              </w:rPr>
              <w:t>Calculated Measure QA</w:t>
            </w:r>
          </w:p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23"/>
              </w:rPr>
              <w:t>若 YoY calculation 在 All / set slicer 情境表現不符合預期，不修改 Ground Truth；Phase 0 compiler 對 comparison query 可直接查 current/prior period 後由 deterministic code 算 delta。Cube YoY measure仍保留做簡單 single-period benchmark。</w:t>
            </w:r>
          </w:p>
        </w:tc>
      </w:tr>
    </w:tbl>
    <w:p>
      <w:pPr>
        <w:spacing w:after="20"/>
      </w:pPr>
    </w:p>
    <w:p>
      <w:pPr>
        <w:pStyle w:val="Heading2"/>
        <w:spacing w:before="0" w:after="100" w:line="293" w:lineRule="auto"/>
      </w:pPr>
      <w:r>
        <w:rPr>
          <w:rFonts w:ascii="Noto Sans CJK TC" w:hAnsi="Noto Sans CJK TC" w:eastAsia="Noto Sans CJK TC"/>
          <w:b w:val="0"/>
          <w:i w:val="0"/>
          <w:color w:val="222222"/>
          <w:sz w:val="26"/>
        </w:rPr>
        <w:t>9.5 Budget semantic guard</w:t>
      </w:r>
    </w:p>
    <w:p>
      <w:pPr>
        <w:spacing w:before="0" w:after="100" w:line="293" w:lineRule="auto"/>
      </w:pPr>
      <w:r>
        <w:rPr>
          <w:rFonts w:ascii="Noto Sans CJK TC" w:hAnsi="Noto Sans CJK TC" w:eastAsia="Noto Sans CJK TC"/>
          <w:b w:val="0"/>
          <w:i w:val="0"/>
          <w:color w:val="222222"/>
          <w:sz w:val="26"/>
        </w:rPr>
        <w:t>FactBudget grain 為 Month × Region × Product。Budget measures 不具 Customer / Salesperson dimensionality。SSAS 對 unrelated dimensions 的預設行為可能把 unrelated dimension 強制到 top level，導致 client 看到重複值。因此 Phase 0 不依賴這個預設；QueryPolicyValidator 必須明確阻擋下列組合：</w:t>
      </w:r>
    </w:p>
    <w:p>
      <w:pPr>
        <w:pStyle w:val="ListBullet"/>
        <w:spacing w:after="40" w:line="276" w:lineRule="auto"/>
      </w:pPr>
      <w:r>
        <w:rPr>
          <w:rFonts w:ascii="Noto Sans CJK TC" w:hAnsi="Noto Sans CJK TC" w:eastAsia="Noto Sans CJK TC"/>
          <w:b w:val="0"/>
          <w:i w:val="0"/>
          <w:color w:val="222222"/>
          <w:sz w:val="25"/>
        </w:rPr>
        <w:t>Budget Sales × Customer</w:t>
      </w:r>
    </w:p>
    <w:p>
      <w:pPr>
        <w:pStyle w:val="ListBullet"/>
        <w:spacing w:after="40" w:line="276" w:lineRule="auto"/>
      </w:pPr>
      <w:r>
        <w:rPr>
          <w:rFonts w:ascii="Noto Sans CJK TC" w:hAnsi="Noto Sans CJK TC" w:eastAsia="Noto Sans CJK TC"/>
          <w:b w:val="0"/>
          <w:i w:val="0"/>
          <w:color w:val="222222"/>
          <w:sz w:val="25"/>
        </w:rPr>
        <w:t>Budget Sales × Salesperson</w:t>
      </w:r>
    </w:p>
    <w:p>
      <w:pPr>
        <w:pStyle w:val="ListBullet"/>
        <w:spacing w:after="40" w:line="276" w:lineRule="auto"/>
      </w:pPr>
      <w:r>
        <w:rPr>
          <w:rFonts w:ascii="Noto Sans CJK TC" w:hAnsi="Noto Sans CJK TC" w:eastAsia="Noto Sans CJK TC"/>
          <w:b w:val="0"/>
          <w:i w:val="0"/>
          <w:color w:val="222222"/>
          <w:sz w:val="25"/>
        </w:rPr>
        <w:t>Budget Achievement % × Customer</w:t>
      </w:r>
    </w:p>
    <w:p>
      <w:pPr>
        <w:pStyle w:val="ListBullet"/>
        <w:spacing w:after="40" w:line="276" w:lineRule="auto"/>
      </w:pPr>
      <w:r>
        <w:rPr>
          <w:rFonts w:ascii="Noto Sans CJK TC" w:hAnsi="Noto Sans CJK TC" w:eastAsia="Noto Sans CJK TC"/>
          <w:b w:val="0"/>
          <w:i w:val="0"/>
          <w:color w:val="222222"/>
          <w:sz w:val="25"/>
        </w:rPr>
        <w:t>Budget Achievement % × Salesperson</w:t>
      </w:r>
    </w:p>
    <w:p>
      <w:pPr>
        <w:pStyle w:val="ListBullet"/>
        <w:spacing w:after="40" w:line="276" w:lineRule="auto"/>
      </w:pPr>
      <w:r>
        <w:rPr>
          <w:rFonts w:ascii="Noto Sans CJK TC" w:hAnsi="Noto Sans CJK TC" w:eastAsia="Noto Sans CJK TC"/>
          <w:b w:val="0"/>
          <w:i w:val="0"/>
          <w:color w:val="222222"/>
          <w:sz w:val="25"/>
        </w:rPr>
        <w:t>任何未經定義的 Budget drill path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40"/>
      </w:tblGrid>
      <w:tr>
        <w:trPr>
          <w:cantSplit/>
        </w:trPr>
        <w:tc>
          <w:tcPr>
            <w:tcW w:type="dxa" w:w="10340"/>
            <w:shd w:fill="E2F0D9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b/>
                <w:i w:val="0"/>
                <w:color w:val="17365D"/>
                <w:sz w:val="24"/>
              </w:rPr>
              <w:t>WP4 PASS</w:t>
            </w:r>
          </w:p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23"/>
              </w:rPr>
              <w:t>Cube fully processed；Cube Browser 可看到 5 dimensions、7 user-facing measures、2 hidden support measures；Time / Product / Customer hierarchies 可 drill；Budget measure group 只與 Time/Region/Product 建 regular relationship。</w:t>
            </w:r>
          </w:p>
        </w:tc>
      </w:tr>
    </w:tbl>
    <w:p>
      <w:pPr>
        <w:spacing w:after="20"/>
      </w:pPr>
    </w:p>
    <w:p>
      <w:pPr>
        <w:pStyle w:val="Heading2"/>
        <w:widowControl/>
        <w:spacing w:before="0" w:after="120" w:line="300" w:lineRule="auto"/>
      </w:pPr>
      <w:r>
        <w:rPr>
          <w:rFonts w:ascii="Noto Sans CJK TC" w:hAnsi="Noto Sans CJK TC" w:eastAsia="Noto Sans CJK TC"/>
          <w:b w:val="0"/>
          <w:color w:val="222222"/>
          <w:sz w:val="28"/>
        </w:rPr>
        <w:t>9.6 實務擴充基線：JDE ERP 銷售多維度模型（JDE_SALES_CUBE_20261020）</w:t>
      </w:r>
    </w:p>
    <w:p>
      <w:pPr>
        <w:widowControl/>
        <w:spacing w:before="0" w:after="120" w:line="300" w:lineRule="auto"/>
      </w:pPr>
      <w:r>
        <w:rPr>
          <w:rFonts w:ascii="Noto Sans CJK TC" w:hAnsi="Noto Sans CJK TC" w:eastAsia="Noto Sans CJK TC"/>
          <w:b w:val="0"/>
          <w:color w:val="222222"/>
          <w:sz w:val="28"/>
        </w:rPr>
        <w:t>除標準 `SyntheticSalesBI` 外，本專案已建立對應企業真實 JDE ERP 結構之第二套實證基線（SIP2），供開發貼近實際 ERP 欄位與多維度分析之決策視圖使用：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00"/>
        <w:gridCol w:w="4566"/>
        <w:gridCol w:w="3300"/>
      </w:tblGrid>
      <w:tr>
        <w:trPr>
          <w:tblHeader w:val="true"/>
          <w:cantSplit/>
        </w:trPr>
        <w:tc>
          <w:tcPr>
            <w:tcW w:type="dxa" w:w="2300"/>
            <w:shd w:fill="17365D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23"/>
              </w:rPr>
              <w:t>項目</w:t>
            </w:r>
          </w:p>
        </w:tc>
        <w:tc>
          <w:tcPr>
            <w:tcW w:type="dxa" w:w="4566"/>
            <w:shd w:fill="17365D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23"/>
              </w:rPr>
              <w:t>JDE ERP 實證基線規格（SIP2）</w:t>
            </w:r>
          </w:p>
        </w:tc>
        <w:tc>
          <w:tcPr>
            <w:tcW w:type="dxa" w:w="3300"/>
            <w:shd w:fill="17365D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23"/>
              </w:rPr>
              <w:t>驗證狀態與 Ground Truth 總計</w:t>
            </w:r>
          </w:p>
        </w:tc>
      </w:tr>
      <w:tr>
        <w:trPr>
          <w:cantSplit/>
        </w:trPr>
        <w:tc>
          <w:tcPr>
            <w:tcW w:type="dxa" w:w="23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Noto Sans CJK TC" w:hAnsi="Noto Sans CJK TC" w:eastAsia="Noto Sans CJK TC"/>
                <w:b/>
                <w:color w:val="222222"/>
                <w:sz w:val="22"/>
              </w:rPr>
              <w:t>SQL Server 資料庫</w:t>
            </w:r>
          </w:p>
        </w:tc>
        <w:tc>
          <w:tcPr>
            <w:tcW w:type="dxa" w:w="456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Noto Sans CJK TC" w:hAnsi="Noto Sans CJK TC" w:eastAsia="Noto Sans CJK TC"/>
                <w:color w:val="222222"/>
                <w:sz w:val="22"/>
              </w:rPr>
              <w:t>`JDE_CUBE_SYNTHETIC_20261020`（定錨種子 `20261020`，涵蓋 `202401..202609` 共 33 個月）</w:t>
            </w:r>
          </w:p>
        </w:tc>
        <w:tc>
          <w:tcPr>
            <w:tcW w:type="dxa" w:w="33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Noto Sans CJK TC" w:hAnsi="Noto Sans CJK TC" w:eastAsia="Noto Sans CJK TC"/>
                <w:color w:val="222222"/>
                <w:sz w:val="22"/>
              </w:rPr>
              <w:t>42/42 SQL ↔ SSAS MDX 自動化對帳全數 PASS</w:t>
            </w:r>
          </w:p>
        </w:tc>
      </w:tr>
      <w:tr>
        <w:trPr>
          <w:cantSplit/>
        </w:trPr>
        <w:tc>
          <w:tcPr>
            <w:tcW w:type="dxa" w:w="2300"/>
            <w:shd w:fill="F3F6F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Noto Sans CJK TC" w:hAnsi="Noto Sans CJK TC" w:eastAsia="Noto Sans CJK TC"/>
                <w:b/>
                <w:color w:val="222222"/>
                <w:sz w:val="22"/>
              </w:rPr>
              <w:t>核心來源表與資料量</w:t>
            </w:r>
          </w:p>
        </w:tc>
        <w:tc>
          <w:tcPr>
            <w:tcW w:type="dxa" w:w="4566"/>
            <w:shd w:fill="F3F6F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widowControl/>
              <w:spacing w:after="40"/>
            </w:pPr>
            <w:r>
              <w:rPr>
                <w:rFonts w:ascii="Noto Sans CJK TC" w:hAnsi="Noto Sans CJK TC" w:eastAsia="Noto Sans CJK TC"/>
                <w:color w:val="222222"/>
                <w:sz w:val="22"/>
              </w:rPr>
              <w:t>• `SPKPRDDTA.F5530Z20`：60,000 筆銷售明細（對應 20,111 張不重複訂單）</w:t>
            </w:r>
          </w:p>
          <w:p>
            <w:pPr>
              <w:widowControl/>
              <w:spacing w:after="0"/>
            </w:pPr>
            <w:r>
              <w:rPr>
                <w:rFonts w:ascii="Noto Sans CJK TC" w:hAnsi="Noto Sans CJK TC" w:eastAsia="Noto Sans CJK TC"/>
                <w:color w:val="222222"/>
                <w:sz w:val="22"/>
              </w:rPr>
              <w:t>• `CGPRDDTA.F0006`：30 個事業部／成本中心主檔</w:t>
            </w:r>
          </w:p>
        </w:tc>
        <w:tc>
          <w:tcPr>
            <w:tcW w:type="dxa" w:w="3300"/>
            <w:shd w:fill="F3F6F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Noto Sans CJK TC" w:hAnsi="Noto Sans CJK TC" w:eastAsia="Noto Sans CJK TC"/>
                <w:color w:val="222222"/>
                <w:sz w:val="22"/>
              </w:rPr>
              <w:t>資料完整性與外鍵參照 100% 吻合</w:t>
            </w:r>
          </w:p>
        </w:tc>
      </w:tr>
      <w:tr>
        <w:trPr>
          <w:cantSplit/>
        </w:trPr>
        <w:tc>
          <w:tcPr>
            <w:tcW w:type="dxa" w:w="23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Noto Sans CJK TC" w:hAnsi="Noto Sans CJK TC" w:eastAsia="Noto Sans CJK TC"/>
                <w:b/>
                <w:color w:val="222222"/>
                <w:sz w:val="22"/>
              </w:rPr>
              <w:t>SSAS DB / Cube 名稱</w:t>
            </w:r>
          </w:p>
        </w:tc>
        <w:tc>
          <w:tcPr>
            <w:tcW w:type="dxa" w:w="456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Noto Sans CJK TC" w:hAnsi="Noto Sans CJK TC" w:eastAsia="Noto Sans CJK TC"/>
                <w:color w:val="222222"/>
                <w:sz w:val="22"/>
              </w:rPr>
              <w:t>SSAS 實例：`localhost:25000`｜Database：`JDE_SALES_CUBE_20261020`｜Cube：`JDE Sales`</w:t>
            </w:r>
          </w:p>
        </w:tc>
        <w:tc>
          <w:tcPr>
            <w:tcW w:type="dxa" w:w="33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Noto Sans CJK TC" w:hAnsi="Noto Sans CJK TC" w:eastAsia="Noto Sans CJK TC"/>
                <w:color w:val="222222"/>
                <w:sz w:val="22"/>
              </w:rPr>
              <w:t>Multidimensional 模式，已完成 ProcessFull</w:t>
            </w:r>
          </w:p>
        </w:tc>
      </w:tr>
      <w:tr>
        <w:trPr>
          <w:cantSplit/>
        </w:trPr>
        <w:tc>
          <w:tcPr>
            <w:tcW w:type="dxa" w:w="2300"/>
            <w:shd w:fill="F3F6F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Noto Sans CJK TC" w:hAnsi="Noto Sans CJK TC" w:eastAsia="Noto Sans CJK TC"/>
                <w:b/>
                <w:color w:val="222222"/>
                <w:sz w:val="22"/>
              </w:rPr>
              <w:t>7 大受治理維度与群組</w:t>
            </w:r>
          </w:p>
        </w:tc>
        <w:tc>
          <w:tcPr>
            <w:tcW w:type="dxa" w:w="4566"/>
            <w:shd w:fill="F3F6F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Noto Sans CJK TC" w:hAnsi="Noto Sans CJK TC" w:eastAsia="Noto Sans CJK TC"/>
                <w:color w:val="222222"/>
                <w:sz w:val="22"/>
              </w:rPr>
              <w:t>`month`（發票月份 `202401..202609`）、`company`（營運公司 5 家）、`product`（產品）與 `category`（產品類別）、`customer`（客戶）、`salesperson`（業務員）、`plant`（廠區）、`costCenter`（成本中心）</w:t>
            </w:r>
          </w:p>
        </w:tc>
        <w:tc>
          <w:tcPr>
            <w:tcW w:type="dxa" w:w="3300"/>
            <w:shd w:fill="F3F6F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Noto Sans CJK TC" w:hAnsi="Noto Sans CJK TC" w:eastAsia="Noto Sans CJK TC"/>
                <w:color w:val="222222"/>
                <w:sz w:val="22"/>
              </w:rPr>
              <w:t>不具備預算配額（Budget/Quota）、通路（Channel）、退貨原因碼、報價轉訂單或庫存/帳款風險欄位（對應視圖 D03, D05, D09, D10, D12, D17 嚴格隱藏）</w:t>
            </w:r>
          </w:p>
        </w:tc>
      </w:tr>
      <w:tr>
        <w:trPr>
          <w:cantSplit/>
        </w:trPr>
        <w:tc>
          <w:tcPr>
            <w:tcW w:type="dxa" w:w="23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Noto Sans CJK TC" w:hAnsi="Noto Sans CJK TC" w:eastAsia="Noto Sans CJK TC"/>
                <w:b/>
                <w:color w:val="222222"/>
                <w:sz w:val="22"/>
              </w:rPr>
              <w:t>12 大公開量值 (Public Measures)</w:t>
            </w:r>
          </w:p>
        </w:tc>
        <w:tc>
          <w:tcPr>
            <w:tcW w:type="dxa" w:w="456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widowControl/>
              <w:spacing w:after="40"/>
            </w:pPr>
            <w:r>
              <w:rPr>
                <w:rFonts w:ascii="Noto Sans CJK TC" w:hAnsi="Noto Sans CJK TC" w:eastAsia="Noto Sans CJK TC"/>
                <w:color w:val="222222"/>
                <w:sz w:val="22"/>
              </w:rPr>
              <w:t>• 金額與成本：`Net Sales USD`、`Net Cost USD`、`Gross Profit USD`</w:t>
            </w:r>
          </w:p>
          <w:p>
            <w:pPr>
              <w:widowControl/>
              <w:spacing w:after="40"/>
            </w:pPr>
            <w:r>
              <w:rPr>
                <w:rFonts w:ascii="Noto Sans CJK TC" w:hAnsi="Noto Sans CJK TC" w:eastAsia="Noto Sans CJK TC"/>
                <w:color w:val="222222"/>
                <w:sz w:val="22"/>
              </w:rPr>
              <w:t>• 數量（KG）：`Net Quantity KG`、`Sales Quantity KG`、`Return Quantity KG`</w:t>
            </w:r>
          </w:p>
          <w:p>
            <w:pPr>
              <w:widowControl/>
              <w:spacing w:after="40"/>
            </w:pPr>
            <w:r>
              <w:rPr>
                <w:rFonts w:ascii="Noto Sans CJK TC" w:hAnsi="Noto Sans CJK TC" w:eastAsia="Noto Sans CJK TC"/>
                <w:color w:val="222222"/>
                <w:sz w:val="22"/>
              </w:rPr>
              <w:t>• 計數與異常行數：`Order Count`（DISTINCTCOUNT 不重複訂單）、`Sales Line Count`、`Full Return Line Count`、`Partial Return Line Count`、`Allowance Line Count`、`Negative Margin Line Count`</w:t>
            </w:r>
          </w:p>
          <w:p>
            <w:pPr>
              <w:widowControl/>
              <w:spacing w:after="0"/>
            </w:pPr>
            <w:r>
              <w:rPr>
                <w:rFonts w:ascii="Noto Sans CJK TC" w:hAnsi="Noto Sans CJK TC" w:eastAsia="Noto Sans CJK TC"/>
                <w:color w:val="222222"/>
                <w:sz w:val="22"/>
              </w:rPr>
              <w:t>• 衍生加權比率：`grossMarginPercent`、`returnRatePercent`、`averageSellingPriceUSD`</w:t>
            </w:r>
          </w:p>
        </w:tc>
        <w:tc>
          <w:tcPr>
            <w:tcW w:type="dxa" w:w="33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Noto Sans CJK TC" w:hAnsi="Noto Sans CJK TC" w:eastAsia="Noto Sans CJK TC"/>
                <w:color w:val="222222"/>
                <w:sz w:val="22"/>
              </w:rPr>
              <w:t>`Order Count` 具非加總性（Non-additive），跨維度小計必須由 SSAS Cube 直接計算，嚴禁前端把各列訂單數相加；所有比率均由 Cube 彙總分子除以分母計算。</w:t>
            </w:r>
          </w:p>
        </w:tc>
      </w:tr>
    </w:tbl>
    <w:p>
      <w:pPr>
        <w:widowControl/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EAF2F8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widowControl/>
              <w:spacing w:after="40"/>
            </w:pPr>
            <w:r>
              <w:rPr>
                <w:rFonts w:ascii="Noto Sans CJK TC" w:hAnsi="Noto Sans CJK TC" w:eastAsia="Noto Sans CJK TC"/>
                <w:b/>
                <w:color w:val="17365D"/>
                <w:sz w:val="25"/>
              </w:rPr>
              <w:t>Windows Home Lab 網路、埠號與 PowerShell ADOMD.NET 實務鐵律</w:t>
            </w:r>
          </w:p>
          <w:p>
            <w:pPr>
              <w:widowControl/>
              <w:spacing w:after="20"/>
            </w:pPr>
            <w:r>
              <w:rPr>
                <w:rFonts w:ascii="Noto Sans CJK TC" w:hAnsi="Noto Sans CJK TC" w:eastAsia="Noto Sans CJK TC"/>
                <w:sz w:val="24"/>
              </w:rPr>
              <w:t>1. 避開 Windows 保留埠：Windows WinNAT 常鎖定 5141–5240 區間（含 5150），開發環境請使用 5080/5173 或 55150（API）/ 55154（Preview）。</w:t>
            </w:r>
          </w:p>
          <w:p>
            <w:pPr>
              <w:widowControl/>
              <w:spacing w:after="20"/>
            </w:pPr>
            <w:r>
              <w:rPr>
                <w:rFonts w:ascii="Noto Sans CJK TC" w:hAnsi="Noto Sans CJK TC" w:eastAsia="Noto Sans CJK TC"/>
                <w:sz w:val="24"/>
              </w:rPr>
              <w:t>2. 防火牆與 NVM 符號連結：在 nvm-windows 環境下開啟區網（LAN）存取時，Windows 防火牆規則若綁定 C:\nvm4w\nodejs\node.exe（Symlink）會失效，必須綁定解析後之真實路徑（如 C:\Program Files\nodejs\node.exe）。</w:t>
            </w:r>
          </w:p>
          <w:p>
            <w:pPr>
              <w:widowControl/>
              <w:spacing w:after="20"/>
            </w:pPr>
            <w:r>
              <w:rPr>
                <w:rFonts w:ascii="Noto Sans CJK TC" w:hAnsi="Noto Sans CJK TC" w:eastAsia="Noto Sans CJK TC"/>
                <w:sz w:val="24"/>
              </w:rPr>
              <w:t>3. PowerShell MSOLAP 呼叫方式：由 Node.js 或外部程序呼叫 PowerShell 載入 Microsoft.AnalysisServices.AdomdClient 時，嚴禁使用 inline -Command 拼接腳本（易受 $ 變數展開與引號截斷影響），必須一律使用 powershell.exe -NoProfile -NonInteractive -ExecutionPolicy Bypass -File &lt;script.ps1&gt;。</w:t>
            </w:r>
          </w:p>
        </w:tc>
      </w:tr>
    </w:tbl>
    <w:p>
      <w:pPr>
        <w:widowControl/>
        <w:spacing w:after="20"/>
      </w:pPr>
    </w:p>
    <w:p>
      <w:pPr>
        <w:pStyle w:val="Heading1"/>
        <w:spacing w:before="0" w:after="100" w:line="293" w:lineRule="auto"/>
      </w:pPr>
      <w:r>
        <w:rPr>
          <w:rFonts w:ascii="Noto Sans CJK TC" w:hAnsi="Noto Sans CJK TC" w:eastAsia="Noto Sans CJK TC"/>
          <w:b w:val="0"/>
          <w:i w:val="0"/>
          <w:color w:val="222222"/>
          <w:sz w:val="26"/>
        </w:rPr>
        <w:t>10. WP5 — MDX Ground Truth Gate</w:t>
      </w:r>
    </w:p>
    <w:p>
      <w:pPr>
        <w:spacing w:before="0" w:after="100" w:line="293" w:lineRule="auto"/>
      </w:pPr>
      <w:r>
        <w:rPr>
          <w:rFonts w:ascii="Noto Sans CJK TC" w:hAnsi="Noto Sans CJK TC" w:eastAsia="Noto Sans CJK TC"/>
          <w:b w:val="0"/>
          <w:i w:val="0"/>
          <w:color w:val="222222"/>
          <w:sz w:val="26"/>
        </w:rPr>
        <w:t>使用 support package 的 mdx/synthetic_ground_truth_examples.md 及下列 expected values。所有數值都必須以 SSAS 結果對照 evaluation/golden_questions.json，不以 Web UI 顯示為準。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0"/>
        <w:gridCol w:w="5170"/>
      </w:tblGrid>
      <w:tr>
        <w:trPr>
          <w:tblHeader w:val="true"/>
          <w:cantSplit/>
        </w:trPr>
        <w:tc>
          <w:tcPr>
            <w:tcW w:type="dxa" w:w="5170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i w:val="0"/>
                <w:color w:val="FFFFFF"/>
                <w:sz w:val="20"/>
              </w:rPr>
              <w:t>Case</w:t>
            </w:r>
          </w:p>
        </w:tc>
        <w:tc>
          <w:tcPr>
            <w:tcW w:type="dxa" w:w="5170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i w:val="0"/>
                <w:color w:val="FFFFFF"/>
                <w:sz w:val="20"/>
              </w:rPr>
              <w:t>Expected</w:t>
            </w:r>
          </w:p>
        </w:tc>
      </w:tr>
      <w:tr>
        <w:trPr>
          <w:cantSplit/>
        </w:trPr>
        <w:tc>
          <w:tcPr>
            <w:tcW w:type="dxa" w:w="460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20"/>
              </w:rPr>
              <w:t>Q01 2026-07 Net Sales</w:t>
            </w:r>
          </w:p>
        </w:tc>
        <w:tc>
          <w:tcPr>
            <w:tcW w:type="dxa" w:w="4896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20"/>
              </w:rPr>
              <w:t>446,356,775.81</w:t>
            </w:r>
          </w:p>
        </w:tc>
      </w:tr>
      <w:tr>
        <w:trPr>
          <w:cantSplit/>
        </w:trPr>
        <w:tc>
          <w:tcPr>
            <w:tcW w:type="dxa" w:w="460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3F6F8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20"/>
              </w:rPr>
              <w:t>Q03 South 2026-07</w:t>
            </w:r>
          </w:p>
        </w:tc>
        <w:tc>
          <w:tcPr>
            <w:tcW w:type="dxa" w:w="4896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3F6F8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20"/>
              </w:rPr>
              <w:t>92,073,823.48；2025-07=113,303,893.53；YoY=-18.74%</w:t>
            </w:r>
          </w:p>
        </w:tc>
      </w:tr>
      <w:tr>
        <w:trPr>
          <w:cantSplit/>
        </w:trPr>
        <w:tc>
          <w:tcPr>
            <w:tcW w:type="dxa" w:w="460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20"/>
              </w:rPr>
              <w:t>Q05 North 2026-08 Budget Achievement</w:t>
            </w:r>
          </w:p>
        </w:tc>
        <w:tc>
          <w:tcPr>
            <w:tcW w:type="dxa" w:w="4896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20"/>
              </w:rPr>
              <w:t>109.04%</w:t>
            </w:r>
          </w:p>
        </w:tc>
      </w:tr>
      <w:tr>
        <w:trPr>
          <w:cantSplit/>
        </w:trPr>
        <w:tc>
          <w:tcPr>
            <w:tcW w:type="dxa" w:w="460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3F6F8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20"/>
              </w:rPr>
              <w:t>Q06 Q2 Gross Margin</w:t>
            </w:r>
          </w:p>
        </w:tc>
        <w:tc>
          <w:tcPr>
            <w:tcW w:type="dxa" w:w="4896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3F6F8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20"/>
              </w:rPr>
              <w:t>2025=27.71%；2026=24.25%；delta≈-3.45 pt</w:t>
            </w:r>
          </w:p>
        </w:tc>
      </w:tr>
      <w:tr>
        <w:trPr>
          <w:cantSplit/>
        </w:trPr>
        <w:tc>
          <w:tcPr>
            <w:tcW w:type="dxa" w:w="460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20"/>
              </w:rPr>
              <w:t>Q09 Central 2026-03 Top Customer</w:t>
            </w:r>
          </w:p>
        </w:tc>
        <w:tc>
          <w:tcPr>
            <w:tcW w:type="dxa" w:w="4896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20"/>
              </w:rPr>
              <w:t>C055 / 6,801,559.58</w:t>
            </w:r>
          </w:p>
        </w:tc>
      </w:tr>
      <w:tr>
        <w:trPr>
          <w:cantSplit/>
        </w:trPr>
        <w:tc>
          <w:tcPr>
            <w:tcW w:type="dxa" w:w="460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3F6F8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20"/>
              </w:rPr>
              <w:t>Q10 East Jun Margin</w:t>
            </w:r>
          </w:p>
        </w:tc>
        <w:tc>
          <w:tcPr>
            <w:tcW w:type="dxa" w:w="4896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3F6F8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20"/>
              </w:rPr>
              <w:t>Jun=22.67%；May=24.39%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40"/>
      </w:tblGrid>
      <w:tr>
        <w:trPr>
          <w:cantSplit/>
        </w:trPr>
        <w:tc>
          <w:tcPr>
            <w:tcW w:type="dxa" w:w="10340"/>
            <w:shd w:fill="E2F0D9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b/>
                <w:i w:val="0"/>
                <w:color w:val="17365D"/>
                <w:sz w:val="24"/>
              </w:rPr>
              <w:t>Numerical tolerance</w:t>
            </w:r>
          </w:p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23"/>
              </w:rPr>
              <w:t>Currency absolute tolerance = 0.01；Percent comparison tolerance = 0.01 percentage point。超出即 FAIL；不可用「LLM 說差不多」視為通過。</w:t>
            </w:r>
          </w:p>
        </w:tc>
      </w:tr>
    </w:tbl>
    <w:p>
      <w:pPr>
        <w:spacing w:after="20"/>
      </w:pPr>
    </w:p>
    <w:p>
      <w:pPr>
        <w:pStyle w:val="Heading1"/>
        <w:spacing w:before="0" w:after="100" w:line="293" w:lineRule="auto"/>
      </w:pPr>
      <w:r>
        <w:rPr>
          <w:rFonts w:ascii="Noto Sans CJK TC" w:hAnsi="Noto Sans CJK TC" w:eastAsia="Noto Sans CJK TC"/>
          <w:b w:val="0"/>
          <w:i w:val="0"/>
          <w:color w:val="222222"/>
          <w:sz w:val="26"/>
        </w:rPr>
        <w:t>11. WP6 — .NET 8 Backend / ADOMD.NET</w:t>
      </w:r>
    </w:p>
    <w:p>
      <w:pPr>
        <w:pStyle w:val="Heading2"/>
        <w:spacing w:before="0" w:after="100" w:line="293" w:lineRule="auto"/>
      </w:pPr>
      <w:r>
        <w:rPr>
          <w:rFonts w:ascii="Noto Sans CJK TC" w:hAnsi="Noto Sans CJK TC" w:eastAsia="Noto Sans CJK TC"/>
          <w:b w:val="0"/>
          <w:i w:val="0"/>
          <w:color w:val="222222"/>
          <w:sz w:val="26"/>
        </w:rPr>
        <w:t>11.1 Solution layout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40"/>
      </w:tblGrid>
      <w:tr>
        <w:trPr>
          <w:cantSplit/>
        </w:trPr>
        <w:tc>
          <w:tcPr>
            <w:tcW w:type="dxa" w:w="10340"/>
            <w:shd w:fill="F7F7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222222"/>
                <w:sz w:val="17"/>
              </w:rPr>
              <w:t>C:\AI-BI-Lab\src\backend\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22222"/>
                <w:sz w:val="17"/>
              </w:rPr>
              <w:t>├─ AIPoweredBI.sln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22222"/>
                <w:sz w:val="17"/>
              </w:rPr>
              <w:t>├─ AIPoweredBI.Api\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22222"/>
                <w:sz w:val="17"/>
              </w:rPr>
              <w:t>├─ AIPoweredBI.Core\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22222"/>
                <w:sz w:val="17"/>
              </w:rPr>
              <w:t>├─ AIPoweredBI.Ssas\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22222"/>
                <w:sz w:val="17"/>
              </w:rPr>
              <w:t>├─ AIPoweredBI.Ai\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22222"/>
                <w:sz w:val="17"/>
              </w:rPr>
              <w:t>└─ AIPoweredBI.Tests</w:t>
            </w:r>
          </w:p>
        </w:tc>
      </w:tr>
    </w:tbl>
    <w:p>
      <w:pPr>
        <w:spacing w:after="20"/>
      </w:pPr>
    </w:p>
    <w:p>
      <w:pPr>
        <w:spacing w:before="0" w:after="40" w:line="293" w:lineRule="auto"/>
      </w:pPr>
      <w:r>
        <w:rPr>
          <w:rFonts w:ascii="Noto Sans CJK TC" w:hAnsi="Noto Sans CJK TC" w:eastAsia="Noto Sans CJK TC"/>
          <w:b/>
          <w:i w:val="0"/>
          <w:color w:val="44546A"/>
          <w:sz w:val="21"/>
        </w:rPr>
        <w:t>Baseline commands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40"/>
      </w:tblGrid>
      <w:tr>
        <w:trPr>
          <w:cantSplit/>
        </w:trPr>
        <w:tc>
          <w:tcPr>
            <w:tcW w:type="dxa" w:w="10340"/>
            <w:shd w:fill="F7F7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222222"/>
                <w:sz w:val="17"/>
              </w:rPr>
              <w:t>dotnet new sln -n AIPoweredBI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22222"/>
                <w:sz w:val="17"/>
              </w:rPr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22222"/>
                <w:sz w:val="17"/>
              </w:rPr>
              <w:t>dotnet new webapi -n AIPoweredBI.Api -f net8.0 --use-controllers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22222"/>
                <w:sz w:val="17"/>
              </w:rPr>
              <w:t>dotnet new classlib -n AIPoweredBI.Core -f net8.0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22222"/>
                <w:sz w:val="17"/>
              </w:rPr>
              <w:t>dotnet new classlib -n AIPoweredBI.Ssas -f net8.0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22222"/>
                <w:sz w:val="17"/>
              </w:rPr>
              <w:t>dotnet new classlib -n AIPoweredBI.Ai -f net8.0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22222"/>
                <w:sz w:val="17"/>
              </w:rPr>
              <w:t>dotnet new xunit -n AIPoweredBI.Tests -f net8.0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22222"/>
                <w:sz w:val="17"/>
              </w:rPr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22222"/>
                <w:sz w:val="17"/>
              </w:rPr>
              <w:t>dotnet sln add AIPoweredBI.Api AIPoweredBI.Core AIPoweredBI.Ssas AIPoweredBI.Ai AIPoweredBI.Tests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22222"/>
                <w:sz w:val="17"/>
              </w:rPr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22222"/>
                <w:sz w:val="17"/>
              </w:rPr>
              <w:t>dotnet add AIPoweredBI.Ssas reference AIPoweredBI.Core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22222"/>
                <w:sz w:val="17"/>
              </w:rPr>
              <w:t>dotnet add AIPoweredBI.Ai reference AIPoweredBI.Core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22222"/>
                <w:sz w:val="17"/>
              </w:rPr>
              <w:t>dotnet add AIPoweredBI.Api reference AIPoweredBI.Core AIPoweredBI.Ssas AIPoweredBI.Ai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22222"/>
                <w:sz w:val="17"/>
              </w:rPr>
              <w:t>dotnet add AIPoweredBI.Tests reference AIPoweredBI.Core AIPoweredBI.Ssas AIPoweredBI.Ai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22222"/>
                <w:sz w:val="17"/>
              </w:rPr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22222"/>
                <w:sz w:val="17"/>
              </w:rPr>
              <w:t>dotnet add AIPoweredBI.Ssas package Microsoft.AnalysisServices.AdomdClient --version 19.114.8</w:t>
            </w:r>
          </w:p>
        </w:tc>
      </w:tr>
    </w:tbl>
    <w:p>
      <w:pPr>
        <w:spacing w:after="20"/>
      </w:pPr>
    </w:p>
    <w:p>
      <w:pPr>
        <w:spacing w:before="0" w:after="100" w:line="293" w:lineRule="auto"/>
      </w:pPr>
      <w:r>
        <w:rPr>
          <w:rFonts w:ascii="Noto Sans CJK TC" w:hAnsi="Noto Sans CJK TC" w:eastAsia="Noto Sans CJK TC"/>
          <w:b w:val="0"/>
          <w:i w:val="0"/>
          <w:color w:val="222222"/>
          <w:sz w:val="26"/>
        </w:rPr>
        <w:t>啟用 NuGet lock file：在 Directory.Build.props 或各 csproj 設 RestorePackagesWithLockFile=true，第一次 restore 後 commit packages.lock.json。</w:t>
      </w:r>
    </w:p>
    <w:p>
      <w:pPr>
        <w:pStyle w:val="Heading2"/>
        <w:spacing w:before="0" w:after="100" w:line="293" w:lineRule="auto"/>
      </w:pPr>
      <w:r>
        <w:rPr>
          <w:rFonts w:ascii="Noto Sans CJK TC" w:hAnsi="Noto Sans CJK TC" w:eastAsia="Noto Sans CJK TC"/>
          <w:b w:val="0"/>
          <w:i w:val="0"/>
          <w:color w:val="222222"/>
          <w:sz w:val="26"/>
        </w:rPr>
        <w:t>11.2 Required interfaces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0"/>
        <w:gridCol w:w="5170"/>
      </w:tblGrid>
      <w:tr>
        <w:trPr>
          <w:tblHeader w:val="true"/>
          <w:cantSplit/>
        </w:trPr>
        <w:tc>
          <w:tcPr>
            <w:tcW w:type="dxa" w:w="5170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i w:val="0"/>
                <w:color w:val="FFFFFF"/>
                <w:sz w:val="19"/>
              </w:rPr>
              <w:t>Interface</w:t>
            </w:r>
          </w:p>
        </w:tc>
        <w:tc>
          <w:tcPr>
            <w:tcW w:type="dxa" w:w="5170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i w:val="0"/>
                <w:color w:val="FFFFFF"/>
                <w:sz w:val="19"/>
              </w:rPr>
              <w:t>責任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/>
                <w:i w:val="0"/>
                <w:color w:val="222222"/>
                <w:sz w:val="19"/>
              </w:rPr>
              <w:t>ISsasConnectionFactory</w:t>
            </w:r>
          </w:p>
        </w:tc>
        <w:tc>
          <w:tcPr>
            <w:tcW w:type="dxa" w:w="734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9"/>
              </w:rPr>
              <w:t>只建立受設定控制的 AdomdConnection；不接受使用者自帶 connection string。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3F6F8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/>
                <w:i w:val="0"/>
                <w:color w:val="222222"/>
                <w:sz w:val="19"/>
              </w:rPr>
              <w:t>ISsasMetadataService</w:t>
            </w:r>
          </w:p>
        </w:tc>
        <w:tc>
          <w:tcPr>
            <w:tcW w:type="dxa" w:w="734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3F6F8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9"/>
              </w:rPr>
              <w:t>讀 Cube / Measures / Dimensions / Hierarchies / Levels；產生 normalized catalog。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/>
                <w:i w:val="0"/>
                <w:color w:val="222222"/>
                <w:sz w:val="19"/>
              </w:rPr>
              <w:t>IMemberResolver</w:t>
            </w:r>
          </w:p>
        </w:tc>
        <w:tc>
          <w:tcPr>
            <w:tcW w:type="dxa" w:w="734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9"/>
              </w:rPr>
              <w:t>caption / alias / period → canonical member unique name。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3F6F8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/>
                <w:i w:val="0"/>
                <w:color w:val="222222"/>
                <w:sz w:val="19"/>
              </w:rPr>
              <w:t>ISsasQueryExecutor</w:t>
            </w:r>
          </w:p>
        </w:tc>
        <w:tc>
          <w:tcPr>
            <w:tcW w:type="dxa" w:w="734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3F6F8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9"/>
              </w:rPr>
              <w:t>執行 compiler 產生的 MDX；timeout=30s；轉 flat result。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/>
                <w:i w:val="0"/>
                <w:color w:val="222222"/>
                <w:sz w:val="19"/>
              </w:rPr>
              <w:t>ISemanticOverlayStore</w:t>
            </w:r>
          </w:p>
        </w:tc>
        <w:tc>
          <w:tcPr>
            <w:tcW w:type="dxa" w:w="734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9"/>
              </w:rPr>
              <w:t>讀 semantic config；不計算 KPI。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3F6F8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/>
                <w:i w:val="0"/>
                <w:color w:val="222222"/>
                <w:sz w:val="19"/>
              </w:rPr>
              <w:t>IQueryPolicyValidator</w:t>
            </w:r>
          </w:p>
        </w:tc>
        <w:tc>
          <w:tcPr>
            <w:tcW w:type="dxa" w:w="734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3F6F8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9"/>
              </w:rPr>
              <w:t>合法 measure/dimension、budget grain、row limit、supported analysis type。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/>
                <w:i w:val="0"/>
                <w:color w:val="222222"/>
                <w:sz w:val="19"/>
              </w:rPr>
              <w:t>IMdxCompiler</w:t>
            </w:r>
          </w:p>
        </w:tc>
        <w:tc>
          <w:tcPr>
            <w:tcW w:type="dxa" w:w="734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9"/>
              </w:rPr>
              <w:t>ResolvedQueryPlan → MDX；唯一 MDX 產生來源。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3F6F8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/>
                <w:i w:val="0"/>
                <w:color w:val="222222"/>
                <w:sz w:val="19"/>
              </w:rPr>
              <w:t>IModelGateway</w:t>
            </w:r>
          </w:p>
        </w:tc>
        <w:tc>
          <w:tcPr>
            <w:tcW w:type="dxa" w:w="734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3F6F8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9"/>
              </w:rPr>
              <w:t>GenerateStructured&lt;T&gt; abstraction。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/>
                <w:i w:val="0"/>
                <w:color w:val="222222"/>
                <w:sz w:val="19"/>
              </w:rPr>
              <w:t>IVisualizationSpecBuilder</w:t>
            </w:r>
          </w:p>
        </w:tc>
        <w:tc>
          <w:tcPr>
            <w:tcW w:type="dxa" w:w="734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9"/>
              </w:rPr>
              <w:t>Semantic/result → validated VisualizationSpec。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3F6F8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/>
                <w:i w:val="0"/>
                <w:color w:val="222222"/>
                <w:sz w:val="19"/>
              </w:rPr>
              <w:t>IAnalysisFacade</w:t>
            </w:r>
          </w:p>
        </w:tc>
        <w:tc>
          <w:tcPr>
            <w:tcW w:type="dxa" w:w="734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3F6F8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9"/>
              </w:rPr>
              <w:t>串起 intent → resolve → validate → compile → query → result/evidence。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40"/>
      </w:tblGrid>
      <w:tr>
        <w:trPr>
          <w:cantSplit/>
        </w:trPr>
        <w:tc>
          <w:tcPr>
            <w:tcW w:type="dxa" w:w="10340"/>
            <w:shd w:fill="FCE4D6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b/>
                <w:i w:val="0"/>
                <w:color w:val="17365D"/>
                <w:sz w:val="24"/>
              </w:rPr>
              <w:t>No Raw MDX API</w:t>
            </w:r>
          </w:p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23"/>
              </w:rPr>
              <w:t>Production-shaped endpoints 不得接受 raw MDX。若為 debug 建立 /api/dev/mdx，只能在 ASPNETCORE_ENVIRONMENT=Development 存在，且不得由 frontend 呼叫。</w:t>
            </w:r>
          </w:p>
        </w:tc>
      </w:tr>
    </w:tbl>
    <w:p>
      <w:pPr>
        <w:spacing w:after="20"/>
      </w:pPr>
    </w:p>
    <w:p>
      <w:pPr>
        <w:pStyle w:val="Heading1"/>
        <w:spacing w:before="0" w:after="100" w:line="293" w:lineRule="auto"/>
      </w:pPr>
      <w:r>
        <w:rPr>
          <w:rFonts w:ascii="Noto Sans CJK TC" w:hAnsi="Noto Sans CJK TC" w:eastAsia="Noto Sans CJK TC"/>
          <w:b w:val="0"/>
          <w:i w:val="0"/>
          <w:color w:val="222222"/>
          <w:sz w:val="26"/>
        </w:rPr>
        <w:t>12. WP7 — Metadata Catalog / Member Resolver</w:t>
      </w:r>
    </w:p>
    <w:p>
      <w:pPr>
        <w:pStyle w:val="Heading2"/>
        <w:spacing w:before="0" w:after="100" w:line="293" w:lineRule="auto"/>
      </w:pPr>
      <w:r>
        <w:rPr>
          <w:rFonts w:ascii="Noto Sans CJK TC" w:hAnsi="Noto Sans CJK TC" w:eastAsia="Noto Sans CJK TC"/>
          <w:b w:val="0"/>
          <w:i w:val="0"/>
          <w:color w:val="222222"/>
          <w:sz w:val="26"/>
        </w:rPr>
        <w:t>12.1 Metadata Catalog</w:t>
      </w:r>
    </w:p>
    <w:p>
      <w:pPr>
        <w:pStyle w:val="ListBullet"/>
        <w:spacing w:after="40" w:line="276" w:lineRule="auto"/>
      </w:pPr>
      <w:r>
        <w:rPr>
          <w:rFonts w:ascii="Noto Sans CJK TC" w:hAnsi="Noto Sans CJK TC" w:eastAsia="Noto Sans CJK TC"/>
          <w:b w:val="0"/>
          <w:i w:val="0"/>
          <w:color w:val="222222"/>
          <w:sz w:val="25"/>
        </w:rPr>
        <w:t>使用 AdomdConnection / CubeDef 取得 Cube metadata。</w:t>
      </w:r>
    </w:p>
    <w:p>
      <w:pPr>
        <w:pStyle w:val="ListBullet"/>
        <w:spacing w:after="40" w:line="276" w:lineRule="auto"/>
      </w:pPr>
      <w:r>
        <w:rPr>
          <w:rFonts w:ascii="Noto Sans CJK TC" w:hAnsi="Noto Sans CJK TC" w:eastAsia="Noto Sans CJK TC"/>
          <w:b w:val="0"/>
          <w:i w:val="0"/>
          <w:color w:val="222222"/>
          <w:sz w:val="25"/>
        </w:rPr>
        <w:t>Normalize 後只保留：caption、uniqueName、dimension、hierarchy、level、visible、format、measure group。</w:t>
      </w:r>
    </w:p>
    <w:p>
      <w:pPr>
        <w:pStyle w:val="ListBullet"/>
        <w:spacing w:after="40" w:line="276" w:lineRule="auto"/>
      </w:pPr>
      <w:r>
        <w:rPr>
          <w:rFonts w:ascii="Noto Sans CJK TC" w:hAnsi="Noto Sans CJK TC" w:eastAsia="Noto Sans CJK TC"/>
          <w:b w:val="0"/>
          <w:i w:val="0"/>
          <w:color w:val="222222"/>
          <w:sz w:val="25"/>
        </w:rPr>
        <w:t>LLM prompt 使用 compact AI-facing catalog，不把全部 ASSL / raw XML metadata 塞進 context。</w:t>
      </w:r>
    </w:p>
    <w:p>
      <w:pPr>
        <w:pStyle w:val="ListBullet"/>
        <w:spacing w:after="40" w:line="276" w:lineRule="auto"/>
      </w:pPr>
      <w:r>
        <w:rPr>
          <w:rFonts w:ascii="Noto Sans CJK TC" w:hAnsi="Noto Sans CJK TC" w:eastAsia="Noto Sans CJK TC"/>
          <w:b w:val="0"/>
          <w:i w:val="0"/>
          <w:color w:val="222222"/>
          <w:sz w:val="25"/>
        </w:rPr>
        <w:t>不要啟動時 enumerate 所有 Customer/Product members；MemberResolver 只在需要時解析指定 level/value。</w:t>
      </w:r>
    </w:p>
    <w:p>
      <w:pPr>
        <w:pStyle w:val="Heading2"/>
        <w:spacing w:before="0" w:after="100" w:line="293" w:lineRule="auto"/>
      </w:pPr>
      <w:r>
        <w:rPr>
          <w:rFonts w:ascii="Noto Sans CJK TC" w:hAnsi="Noto Sans CJK TC" w:eastAsia="Noto Sans CJK TC"/>
          <w:b w:val="0"/>
          <w:i w:val="0"/>
          <w:color w:val="222222"/>
          <w:sz w:val="26"/>
        </w:rPr>
        <w:t>12.2 Canonical member aliases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0"/>
        <w:gridCol w:w="5170"/>
      </w:tblGrid>
      <w:tr>
        <w:trPr>
          <w:tblHeader w:val="true"/>
          <w:cantSplit/>
        </w:trPr>
        <w:tc>
          <w:tcPr>
            <w:tcW w:type="dxa" w:w="5170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i w:val="0"/>
                <w:color w:val="FFFFFF"/>
                <w:sz w:val="20"/>
              </w:rPr>
              <w:t>User term</w:t>
            </w:r>
          </w:p>
        </w:tc>
        <w:tc>
          <w:tcPr>
            <w:tcW w:type="dxa" w:w="5170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i w:val="0"/>
                <w:color w:val="FFFFFF"/>
                <w:sz w:val="20"/>
              </w:rPr>
              <w:t>Canonical</w:t>
            </w:r>
          </w:p>
        </w:tc>
      </w:tr>
      <w:tr>
        <w:trPr>
          <w:cantSplit/>
        </w:trPr>
        <w:tc>
          <w:tcPr>
            <w:tcW w:type="dxa" w:w="518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20"/>
              </w:rPr>
              <w:t>北區 / North</w:t>
            </w:r>
          </w:p>
        </w:tc>
        <w:tc>
          <w:tcPr>
            <w:tcW w:type="dxa" w:w="432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20"/>
              </w:rPr>
              <w:t>Region R01</w:t>
            </w:r>
          </w:p>
        </w:tc>
      </w:tr>
      <w:tr>
        <w:trPr>
          <w:cantSplit/>
        </w:trPr>
        <w:tc>
          <w:tcPr>
            <w:tcW w:type="dxa" w:w="518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3F6F8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20"/>
              </w:rPr>
              <w:t>中區 / Central</w:t>
            </w:r>
          </w:p>
        </w:tc>
        <w:tc>
          <w:tcPr>
            <w:tcW w:type="dxa" w:w="432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3F6F8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20"/>
              </w:rPr>
              <w:t>R02</w:t>
            </w:r>
          </w:p>
        </w:tc>
      </w:tr>
      <w:tr>
        <w:trPr>
          <w:cantSplit/>
        </w:trPr>
        <w:tc>
          <w:tcPr>
            <w:tcW w:type="dxa" w:w="518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20"/>
              </w:rPr>
              <w:t>南區 / South</w:t>
            </w:r>
          </w:p>
        </w:tc>
        <w:tc>
          <w:tcPr>
            <w:tcW w:type="dxa" w:w="432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20"/>
              </w:rPr>
              <w:t>R03</w:t>
            </w:r>
          </w:p>
        </w:tc>
      </w:tr>
      <w:tr>
        <w:trPr>
          <w:cantSplit/>
        </w:trPr>
        <w:tc>
          <w:tcPr>
            <w:tcW w:type="dxa" w:w="518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3F6F8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20"/>
              </w:rPr>
              <w:t>東區 / East</w:t>
            </w:r>
          </w:p>
        </w:tc>
        <w:tc>
          <w:tcPr>
            <w:tcW w:type="dxa" w:w="432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3F6F8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20"/>
              </w:rPr>
              <w:t>R04</w:t>
            </w:r>
          </w:p>
        </w:tc>
      </w:tr>
      <w:tr>
        <w:trPr>
          <w:cantSplit/>
        </w:trPr>
        <w:tc>
          <w:tcPr>
            <w:tcW w:type="dxa" w:w="518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20"/>
              </w:rPr>
              <w:t>業績 / 營收 / 銷售額 / Revenue</w:t>
            </w:r>
          </w:p>
        </w:tc>
        <w:tc>
          <w:tcPr>
            <w:tcW w:type="dxa" w:w="432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20"/>
              </w:rPr>
              <w:t>Net Sales</w:t>
            </w:r>
          </w:p>
        </w:tc>
      </w:tr>
      <w:tr>
        <w:trPr>
          <w:cantSplit/>
        </w:trPr>
        <w:tc>
          <w:tcPr>
            <w:tcW w:type="dxa" w:w="518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3F6F8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20"/>
              </w:rPr>
              <w:t>毛利</w:t>
            </w:r>
          </w:p>
        </w:tc>
        <w:tc>
          <w:tcPr>
            <w:tcW w:type="dxa" w:w="432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3F6F8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20"/>
              </w:rPr>
              <w:t>Gross Profit</w:t>
            </w:r>
          </w:p>
        </w:tc>
      </w:tr>
      <w:tr>
        <w:trPr>
          <w:cantSplit/>
        </w:trPr>
        <w:tc>
          <w:tcPr>
            <w:tcW w:type="dxa" w:w="518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20"/>
              </w:rPr>
              <w:t>毛率 / 毛利率 / GM%</w:t>
            </w:r>
          </w:p>
        </w:tc>
        <w:tc>
          <w:tcPr>
            <w:tcW w:type="dxa" w:w="432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20"/>
              </w:rPr>
              <w:t>Gross Margin %</w:t>
            </w:r>
          </w:p>
        </w:tc>
      </w:tr>
      <w:tr>
        <w:trPr>
          <w:cantSplit/>
        </w:trPr>
        <w:tc>
          <w:tcPr>
            <w:tcW w:type="dxa" w:w="518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3F6F8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20"/>
              </w:rPr>
              <w:t>達成 / 預算達成</w:t>
            </w:r>
          </w:p>
        </w:tc>
        <w:tc>
          <w:tcPr>
            <w:tcW w:type="dxa" w:w="432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3F6F8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20"/>
              </w:rPr>
              <w:t>Budget Achievement %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40"/>
      </w:tblGrid>
      <w:tr>
        <w:trPr>
          <w:cantSplit/>
        </w:trPr>
        <w:tc>
          <w:tcPr>
            <w:tcW w:type="dxa" w:w="10340"/>
            <w:shd w:fill="FFF2CC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b/>
                <w:i w:val="0"/>
                <w:color w:val="17365D"/>
                <w:sz w:val="24"/>
              </w:rPr>
              <w:t>Benchmark temporal rule</w:t>
            </w:r>
          </w:p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23"/>
              </w:rPr>
              <w:t>Q11/Q12/Q13 的「七月／八月」沒有年份。Phase 0 benchmark 固定以 Dataset DataAsOf=2026-08 判定未指定年份的月份為 latest available year（2026）。這只是 benchmark default，不升格為企業正式時間政策。</w:t>
            </w:r>
          </w:p>
        </w:tc>
      </w:tr>
    </w:tbl>
    <w:p>
      <w:pPr>
        <w:spacing w:after="20"/>
      </w:pPr>
    </w:p>
    <w:p>
      <w:pPr>
        <w:pStyle w:val="Heading2"/>
        <w:spacing w:before="0" w:after="100" w:line="293" w:lineRule="auto"/>
      </w:pPr>
      <w:r>
        <w:rPr>
          <w:rFonts w:ascii="Noto Sans CJK TC" w:hAnsi="Noto Sans CJK TC" w:eastAsia="Noto Sans CJK TC"/>
          <w:b w:val="0"/>
          <w:i w:val="0"/>
          <w:color w:val="222222"/>
          <w:sz w:val="26"/>
        </w:rPr>
        <w:t>12.3 No-data / material entity rule</w:t>
      </w:r>
    </w:p>
    <w:p>
      <w:pPr>
        <w:pStyle w:val="ListBullet"/>
        <w:spacing w:after="40" w:line="276" w:lineRule="auto"/>
      </w:pPr>
      <w:r>
        <w:rPr>
          <w:rFonts w:ascii="Noto Sans CJK TC" w:hAnsi="Noto Sans CJK TC" w:eastAsia="Noto Sans CJK TC"/>
          <w:b w:val="0"/>
          <w:i w:val="0"/>
          <w:color w:val="222222"/>
          <w:sz w:val="25"/>
        </w:rPr>
        <w:t>2027-01 不存在：MemberResolver 回 NO_DATA_PERIOD，不可編一個不存在 member unique name。</w:t>
      </w:r>
    </w:p>
    <w:p>
      <w:pPr>
        <w:pStyle w:val="ListBullet"/>
        <w:spacing w:after="40" w:line="276" w:lineRule="auto"/>
      </w:pPr>
      <w:r>
        <w:rPr>
          <w:rFonts w:ascii="Noto Sans CJK TC" w:hAnsi="Noto Sans CJK TC" w:eastAsia="Noto Sans CJK TC"/>
          <w:b w:val="0"/>
          <w:i w:val="0"/>
          <w:color w:val="222222"/>
          <w:sz w:val="25"/>
        </w:rPr>
        <w:t>Product / Customer ID 找不到：回 MEMBER_NOT_FOUND；不得 fuzzy 猜另一個 material member。</w:t>
      </w:r>
    </w:p>
    <w:p>
      <w:pPr>
        <w:pStyle w:val="ListBullet"/>
        <w:spacing w:after="40" w:line="276" w:lineRule="auto"/>
      </w:pPr>
      <w:r>
        <w:rPr>
          <w:rFonts w:ascii="Noto Sans CJK TC" w:hAnsi="Noto Sans CJK TC" w:eastAsia="Noto Sans CJK TC"/>
          <w:b w:val="0"/>
          <w:i w:val="0"/>
          <w:color w:val="222222"/>
          <w:sz w:val="25"/>
        </w:rPr>
        <w:t>毛利與毛利率必須分開；同義詞 resolution 不可合併。</w:t>
      </w:r>
    </w:p>
    <w:p>
      <w:pPr>
        <w:pStyle w:val="Heading1"/>
        <w:spacing w:before="0" w:after="100" w:line="293" w:lineRule="auto"/>
      </w:pPr>
      <w:r>
        <w:rPr>
          <w:rFonts w:ascii="Noto Sans CJK TC" w:hAnsi="Noto Sans CJK TC" w:eastAsia="Noto Sans CJK TC"/>
          <w:b w:val="0"/>
          <w:i w:val="0"/>
          <w:color w:val="222222"/>
          <w:sz w:val="26"/>
        </w:rPr>
        <w:t>13. WP8 — SemanticIntentDraft → ResolvedQueryPlan → MDX</w:t>
      </w:r>
    </w:p>
    <w:p>
      <w:pPr>
        <w:pStyle w:val="Heading2"/>
        <w:spacing w:before="0" w:after="100" w:line="293" w:lineRule="auto"/>
      </w:pPr>
      <w:r>
        <w:rPr>
          <w:rFonts w:ascii="Noto Sans CJK TC" w:hAnsi="Noto Sans CJK TC" w:eastAsia="Noto Sans CJK TC"/>
          <w:b w:val="0"/>
          <w:i w:val="0"/>
          <w:color w:val="222222"/>
          <w:sz w:val="26"/>
        </w:rPr>
        <w:t>13.1 Two-stage contract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40"/>
      </w:tblGrid>
      <w:tr>
        <w:trPr>
          <w:cantSplit/>
        </w:trPr>
        <w:tc>
          <w:tcPr>
            <w:tcW w:type="dxa" w:w="10340"/>
            <w:shd w:fill="F7F7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222222"/>
                <w:sz w:val="17"/>
              </w:rPr>
              <w:t>User Question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22222"/>
                <w:sz w:val="17"/>
              </w:rPr>
              <w:t xml:space="preserve">    ↓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22222"/>
                <w:sz w:val="17"/>
              </w:rPr>
              <w:t>LLM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22222"/>
                <w:sz w:val="17"/>
              </w:rPr>
              <w:t xml:space="preserve">    ↓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22222"/>
                <w:sz w:val="17"/>
              </w:rPr>
              <w:t>SemanticIntentDraft       ← business words only; NO unique-name / NO MDX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22222"/>
                <w:sz w:val="17"/>
              </w:rPr>
              <w:t xml:space="preserve">    ↓ schema validation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22222"/>
                <w:sz w:val="17"/>
              </w:rPr>
              <w:t>SemanticResolver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22222"/>
                <w:sz w:val="17"/>
              </w:rPr>
              <w:t xml:space="preserve">    ↓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22222"/>
                <w:sz w:val="17"/>
              </w:rPr>
              <w:t>ResolvedQueryPlan         ← canonical measure/member unique names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22222"/>
                <w:sz w:val="17"/>
              </w:rPr>
              <w:t xml:space="preserve">    ↓ policy validation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22222"/>
                <w:sz w:val="17"/>
              </w:rPr>
              <w:t>MdxCompiler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22222"/>
                <w:sz w:val="17"/>
              </w:rPr>
              <w:t xml:space="preserve">    ↓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22222"/>
                <w:sz w:val="17"/>
              </w:rPr>
              <w:t>MDX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22222"/>
                <w:sz w:val="17"/>
              </w:rPr>
              <w:t xml:space="preserve">    ↓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22222"/>
                <w:sz w:val="17"/>
              </w:rPr>
              <w:t>SSAS</w:t>
            </w:r>
          </w:p>
        </w:tc>
      </w:tr>
    </w:tbl>
    <w:p>
      <w:pPr>
        <w:spacing w:after="20"/>
      </w:pPr>
    </w:p>
    <w:p>
      <w:pPr>
        <w:spacing w:before="0" w:after="100" w:line="293" w:lineRule="auto"/>
      </w:pPr>
      <w:r>
        <w:rPr>
          <w:rFonts w:ascii="Noto Sans CJK TC" w:hAnsi="Noto Sans CJK TC" w:eastAsia="Noto Sans CJK TC"/>
          <w:b w:val="0"/>
          <w:i w:val="0"/>
          <w:color w:val="222222"/>
          <w:sz w:val="26"/>
        </w:rPr>
        <w:t>support package 已附 semantic_intent_draft.schema.json / resolved_query_plan.schema.json；實作 DTO 必須與 schema 對齊。</w:t>
      </w:r>
    </w:p>
    <w:p>
      <w:pPr>
        <w:pStyle w:val="Heading2"/>
        <w:spacing w:before="0" w:after="100" w:line="293" w:lineRule="auto"/>
      </w:pPr>
      <w:r>
        <w:rPr>
          <w:rFonts w:ascii="Noto Sans CJK TC" w:hAnsi="Noto Sans CJK TC" w:eastAsia="Noto Sans CJK TC"/>
          <w:b w:val="0"/>
          <w:i w:val="0"/>
          <w:color w:val="222222"/>
          <w:sz w:val="26"/>
        </w:rPr>
        <w:t>13.2 Phase 0 supported analysis types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0"/>
        <w:gridCol w:w="5170"/>
      </w:tblGrid>
      <w:tr>
        <w:trPr>
          <w:tblHeader w:val="true"/>
          <w:cantSplit/>
        </w:trPr>
        <w:tc>
          <w:tcPr>
            <w:tcW w:type="dxa" w:w="5170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i w:val="0"/>
                <w:color w:val="FFFFFF"/>
                <w:sz w:val="20"/>
              </w:rPr>
              <w:t>Type</w:t>
            </w:r>
          </w:p>
        </w:tc>
        <w:tc>
          <w:tcPr>
            <w:tcW w:type="dxa" w:w="5170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i w:val="0"/>
                <w:color w:val="FFFFFF"/>
                <w:sz w:val="20"/>
              </w:rPr>
              <w:t>Compiler behavior</w:t>
            </w:r>
          </w:p>
        </w:tc>
      </w:tr>
      <w:tr>
        <w:trPr>
          <w:cantSplit/>
        </w:trPr>
        <w:tc>
          <w:tcPr>
            <w:tcW w:type="dxa" w:w="2016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20"/>
              </w:rPr>
              <w:t>lookup</w:t>
            </w:r>
          </w:p>
        </w:tc>
        <w:tc>
          <w:tcPr>
            <w:tcW w:type="dxa" w:w="8352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20"/>
              </w:rPr>
              <w:t>單一／少量 measures + slicers；無 row axis。</w:t>
            </w:r>
          </w:p>
        </w:tc>
      </w:tr>
      <w:tr>
        <w:trPr>
          <w:cantSplit/>
        </w:trPr>
        <w:tc>
          <w:tcPr>
            <w:tcW w:type="dxa" w:w="2016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3F6F8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20"/>
              </w:rPr>
              <w:t>breakdown</w:t>
            </w:r>
          </w:p>
        </w:tc>
        <w:tc>
          <w:tcPr>
            <w:tcW w:type="dxa" w:w="8352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3F6F8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20"/>
              </w:rPr>
              <w:t>NON EMPTY level members；可 ORDER；maxRows。</w:t>
            </w:r>
          </w:p>
        </w:tc>
      </w:tr>
      <w:tr>
        <w:trPr>
          <w:cantSplit/>
        </w:trPr>
        <w:tc>
          <w:tcPr>
            <w:tcW w:type="dxa" w:w="2016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20"/>
              </w:rPr>
              <w:t>ranking</w:t>
            </w:r>
          </w:p>
        </w:tc>
        <w:tc>
          <w:tcPr>
            <w:tcW w:type="dxa" w:w="8352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20"/>
              </w:rPr>
              <w:t>TOPCOUNT / BOTTOMCOUNT（Phase0 only top DESC）+ limit &lt;=100。</w:t>
            </w:r>
          </w:p>
        </w:tc>
      </w:tr>
      <w:tr>
        <w:trPr>
          <w:cantSplit/>
        </w:trPr>
        <w:tc>
          <w:tcPr>
            <w:tcW w:type="dxa" w:w="2016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3F6F8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20"/>
              </w:rPr>
              <w:t>comparison</w:t>
            </w:r>
          </w:p>
        </w:tc>
        <w:tc>
          <w:tcPr>
            <w:tcW w:type="dxa" w:w="8352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3F6F8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20"/>
              </w:rPr>
              <w:t>current/prior explicit members；回傳兩期並由 deterministic code 計算 delta。</w:t>
            </w:r>
          </w:p>
        </w:tc>
      </w:tr>
    </w:tbl>
    <w:p>
      <w:pPr>
        <w:spacing w:after="20"/>
      </w:pPr>
    </w:p>
    <w:p>
      <w:pPr>
        <w:spacing w:before="0" w:after="100" w:line="293" w:lineRule="auto"/>
      </w:pPr>
      <w:r>
        <w:rPr>
          <w:rFonts w:ascii="Noto Sans CJK TC" w:hAnsi="Noto Sans CJK TC" w:eastAsia="Noto Sans CJK TC"/>
          <w:b w:val="0"/>
          <w:i w:val="0"/>
          <w:color w:val="222222"/>
          <w:sz w:val="26"/>
        </w:rPr>
        <w:t>Phase 0 不把 contribution / diagnostic / mix analysis 偽裝成通用 query type；Q07/Q08/Q19/Q21-Q23 延至 Phase 3 Certified Analytical Agent。</w:t>
      </w:r>
    </w:p>
    <w:p>
      <w:pPr>
        <w:pStyle w:val="Heading2"/>
        <w:spacing w:before="0" w:after="100" w:line="293" w:lineRule="auto"/>
      </w:pPr>
      <w:r>
        <w:rPr>
          <w:rFonts w:ascii="Noto Sans CJK TC" w:hAnsi="Noto Sans CJK TC" w:eastAsia="Noto Sans CJK TC"/>
          <w:b w:val="0"/>
          <w:i w:val="0"/>
          <w:color w:val="222222"/>
          <w:sz w:val="26"/>
        </w:rPr>
        <w:t>13.3 Period compilation</w:t>
      </w:r>
    </w:p>
    <w:p>
      <w:pPr>
        <w:pStyle w:val="ListBullet"/>
        <w:spacing w:after="40" w:line="276" w:lineRule="auto"/>
      </w:pPr>
      <w:r>
        <w:rPr>
          <w:rFonts w:ascii="Noto Sans CJK TC" w:hAnsi="Noto Sans CJK TC" w:eastAsia="Noto Sans CJK TC"/>
          <w:b w:val="0"/>
          <w:i w:val="0"/>
          <w:color w:val="222222"/>
          <w:sz w:val="25"/>
        </w:rPr>
        <w:t>YYYY-MM → Time.Month DateKey YYYYMM01。</w:t>
      </w:r>
    </w:p>
    <w:p>
      <w:pPr>
        <w:pStyle w:val="ListBullet"/>
        <w:spacing w:after="40" w:line="276" w:lineRule="auto"/>
      </w:pPr>
      <w:r>
        <w:rPr>
          <w:rFonts w:ascii="Noto Sans CJK TC" w:hAnsi="Noto Sans CJK TC" w:eastAsia="Noto Sans CJK TC"/>
          <w:b w:val="0"/>
          <w:i w:val="0"/>
          <w:color w:val="222222"/>
          <w:sz w:val="25"/>
        </w:rPr>
        <w:t>YYYY-Qn → Time.Calendar.Quarter composite key [Year]&amp;[Qn]。</w:t>
      </w:r>
    </w:p>
    <w:p>
      <w:pPr>
        <w:pStyle w:val="ListBullet"/>
        <w:spacing w:after="40" w:line="276" w:lineRule="auto"/>
      </w:pPr>
      <w:r>
        <w:rPr>
          <w:rFonts w:ascii="Noto Sans CJK TC" w:hAnsi="Noto Sans CJK TC" w:eastAsia="Noto Sans CJK TC"/>
          <w:b w:val="0"/>
          <w:i w:val="0"/>
          <w:color w:val="222222"/>
          <w:sz w:val="25"/>
        </w:rPr>
        <w:t>2026 YTD through Aug → Jan–Aug month set；使用 subselect/set strategy，不依賴 LLM 生成 MDX。</w:t>
      </w:r>
    </w:p>
    <w:p>
      <w:pPr>
        <w:pStyle w:val="ListBullet"/>
        <w:spacing w:after="40" w:line="276" w:lineRule="auto"/>
      </w:pPr>
      <w:r>
        <w:rPr>
          <w:rFonts w:ascii="Noto Sans CJK TC" w:hAnsi="Noto Sans CJK TC" w:eastAsia="Noto Sans CJK TC"/>
          <w:b w:val="0"/>
          <w:i w:val="0"/>
          <w:color w:val="222222"/>
          <w:sz w:val="25"/>
        </w:rPr>
        <w:t>previous_year_same_period / previous_month → Resolver 先產 current/prior canonical periods。</w:t>
      </w:r>
    </w:p>
    <w:p>
      <w:pPr>
        <w:pStyle w:val="Heading2"/>
        <w:spacing w:before="0" w:after="100" w:line="293" w:lineRule="auto"/>
      </w:pPr>
      <w:r>
        <w:rPr>
          <w:rFonts w:ascii="Noto Sans CJK TC" w:hAnsi="Noto Sans CJK TC" w:eastAsia="Noto Sans CJK TC"/>
          <w:b w:val="0"/>
          <w:i w:val="0"/>
          <w:color w:val="222222"/>
          <w:sz w:val="26"/>
        </w:rPr>
        <w:t>13.4 Query policy</w:t>
      </w:r>
    </w:p>
    <w:p>
      <w:pPr>
        <w:pStyle w:val="ListBullet"/>
        <w:spacing w:after="40" w:line="276" w:lineRule="auto"/>
      </w:pPr>
      <w:r>
        <w:rPr>
          <w:rFonts w:ascii="Noto Sans CJK TC" w:hAnsi="Noto Sans CJK TC" w:eastAsia="Noto Sans CJK TC"/>
          <w:b w:val="0"/>
          <w:i w:val="0"/>
          <w:color w:val="222222"/>
          <w:sz w:val="25"/>
        </w:rPr>
        <w:t>只允許 whitelist 7 user-facing measures。Internal Cost 只由 later analytical code 使用。</w:t>
      </w:r>
    </w:p>
    <w:p>
      <w:pPr>
        <w:pStyle w:val="ListBullet"/>
        <w:spacing w:after="40" w:line="276" w:lineRule="auto"/>
      </w:pPr>
      <w:r>
        <w:rPr>
          <w:rFonts w:ascii="Noto Sans CJK TC" w:hAnsi="Noto Sans CJK TC" w:eastAsia="Noto Sans CJK TC"/>
          <w:b w:val="0"/>
          <w:i w:val="0"/>
          <w:color w:val="222222"/>
          <w:sz w:val="25"/>
        </w:rPr>
        <w:t>Max rows=1000；ranking limit&lt;=100；metadata member query 也必須有上限。</w:t>
      </w:r>
    </w:p>
    <w:p>
      <w:pPr>
        <w:pStyle w:val="ListBullet"/>
        <w:spacing w:after="40" w:line="276" w:lineRule="auto"/>
      </w:pPr>
      <w:r>
        <w:rPr>
          <w:rFonts w:ascii="Noto Sans CJK TC" w:hAnsi="Noto Sans CJK TC" w:eastAsia="Noto Sans CJK TC"/>
          <w:b w:val="0"/>
          <w:i w:val="0"/>
          <w:color w:val="222222"/>
          <w:sz w:val="25"/>
        </w:rPr>
        <w:t>Budget measures only with Time/Region/Product。</w:t>
      </w:r>
    </w:p>
    <w:p>
      <w:pPr>
        <w:pStyle w:val="ListBullet"/>
        <w:spacing w:after="40" w:line="276" w:lineRule="auto"/>
      </w:pPr>
      <w:r>
        <w:rPr>
          <w:rFonts w:ascii="Noto Sans CJK TC" w:hAnsi="Noto Sans CJK TC" w:eastAsia="Noto Sans CJK TC"/>
          <w:b w:val="0"/>
          <w:i w:val="0"/>
          <w:color w:val="222222"/>
          <w:sz w:val="25"/>
        </w:rPr>
        <w:t>不允許 arbitrary calculated member / arbitrary function / arbitrary MDX fragment 從 LLM 進入。</w:t>
      </w:r>
    </w:p>
    <w:p>
      <w:pPr>
        <w:pStyle w:val="ListBullet"/>
        <w:spacing w:after="40" w:line="276" w:lineRule="auto"/>
      </w:pPr>
      <w:r>
        <w:rPr>
          <w:rFonts w:ascii="Noto Sans CJK TC" w:hAnsi="Noto Sans CJK TC" w:eastAsia="Noto Sans CJK TC"/>
          <w:b w:val="0"/>
          <w:i w:val="0"/>
          <w:color w:val="222222"/>
          <w:sz w:val="25"/>
        </w:rPr>
        <w:t>Command timeout=30 seconds；timeout 回 QUERY_TIMEOUT，不自動無限 retry。</w:t>
      </w:r>
    </w:p>
    <w:p>
      <w:pPr>
        <w:pStyle w:val="Heading1"/>
        <w:spacing w:before="0" w:after="100" w:line="293" w:lineRule="auto"/>
      </w:pPr>
      <w:r>
        <w:rPr>
          <w:rFonts w:ascii="Noto Sans CJK TC" w:hAnsi="Noto Sans CJK TC" w:eastAsia="Noto Sans CJK TC"/>
          <w:b w:val="0"/>
          <w:i w:val="0"/>
          <w:color w:val="222222"/>
          <w:sz w:val="26"/>
        </w:rPr>
        <w:t>14. WP9 — Model Gateway / 第一個 LLM Adapter</w:t>
      </w:r>
    </w:p>
    <w:p>
      <w:pPr>
        <w:spacing w:before="0" w:after="100" w:line="293" w:lineRule="auto"/>
      </w:pPr>
      <w:r>
        <w:rPr>
          <w:rFonts w:ascii="Noto Sans CJK TC" w:hAnsi="Noto Sans CJK TC" w:eastAsia="Noto Sans CJK TC"/>
          <w:b w:val="0"/>
          <w:i w:val="0"/>
          <w:color w:val="222222"/>
          <w:sz w:val="26"/>
        </w:rPr>
        <w:t>Phase 0 只實作 IModelGateway 與一個 OpenAI-compatible HTTP adapter。這不是把平台綁在某 vendor；上層只依賴 IModelGateway。不得把 vendor SDK DTO 滲透到 Core。</w:t>
      </w:r>
    </w:p>
    <w:p>
      <w:pPr>
        <w:pStyle w:val="Heading2"/>
        <w:spacing w:before="0" w:after="100" w:line="293" w:lineRule="auto"/>
      </w:pPr>
      <w:r>
        <w:rPr>
          <w:rFonts w:ascii="Noto Sans CJK TC" w:hAnsi="Noto Sans CJK TC" w:eastAsia="Noto Sans CJK TC"/>
          <w:b w:val="0"/>
          <w:i w:val="0"/>
          <w:color w:val="222222"/>
          <w:sz w:val="26"/>
        </w:rPr>
        <w:t>14.1 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40"/>
      </w:tblGrid>
      <w:tr>
        <w:trPr>
          <w:cantSplit/>
        </w:trPr>
        <w:tc>
          <w:tcPr>
            <w:tcW w:type="dxa" w:w="10340"/>
            <w:shd w:fill="F7F7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222222"/>
                <w:sz w:val="17"/>
              </w:rPr>
              <w:t>Model__Provider=OpenAICompatible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22222"/>
                <w:sz w:val="17"/>
              </w:rPr>
              <w:t>Model__BaseUrl=https://&lt;provider-base-url&gt;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22222"/>
                <w:sz w:val="17"/>
              </w:rPr>
              <w:t>Model__Model=&lt;model-name&gt;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22222"/>
                <w:sz w:val="17"/>
              </w:rPr>
              <w:t>Model__ApiKey=&lt;secret&gt;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22222"/>
                <w:sz w:val="17"/>
              </w:rPr>
              <w:t>Model__TimeoutSeconds=60</w:t>
            </w:r>
          </w:p>
        </w:tc>
      </w:tr>
    </w:tbl>
    <w:p>
      <w:pPr>
        <w:spacing w:after="20"/>
      </w:pPr>
    </w:p>
    <w:p>
      <w:pPr>
        <w:spacing w:before="0" w:after="100" w:line="293" w:lineRule="auto"/>
      </w:pPr>
      <w:r>
        <w:rPr>
          <w:rFonts w:ascii="Noto Sans CJK TC" w:hAnsi="Noto Sans CJK TC" w:eastAsia="Noto Sans CJK TC"/>
          <w:b w:val="0"/>
          <w:i w:val="0"/>
          <w:color w:val="222222"/>
          <w:sz w:val="26"/>
        </w:rPr>
        <w:t>ApiKey 存 User Secrets / environment variable；example config 只能放 placeholder。</w:t>
      </w:r>
    </w:p>
    <w:p>
      <w:pPr>
        <w:pStyle w:val="Heading2"/>
        <w:spacing w:before="0" w:after="100" w:line="293" w:lineRule="auto"/>
      </w:pPr>
      <w:r>
        <w:rPr>
          <w:rFonts w:ascii="Noto Sans CJK TC" w:hAnsi="Noto Sans CJK TC" w:eastAsia="Noto Sans CJK TC"/>
          <w:b w:val="0"/>
          <w:i w:val="0"/>
          <w:color w:val="222222"/>
          <w:sz w:val="26"/>
        </w:rPr>
        <w:t>14.2 Prompt hard rules</w:t>
      </w:r>
    </w:p>
    <w:p>
      <w:pPr>
        <w:pStyle w:val="ListBullet"/>
        <w:spacing w:after="40" w:line="276" w:lineRule="auto"/>
      </w:pPr>
      <w:r>
        <w:rPr>
          <w:rFonts w:ascii="Noto Sans CJK TC" w:hAnsi="Noto Sans CJK TC" w:eastAsia="Noto Sans CJK TC"/>
          <w:b w:val="0"/>
          <w:i w:val="0"/>
          <w:color w:val="222222"/>
          <w:sz w:val="25"/>
        </w:rPr>
        <w:t>只可從提供的 measures / dimensions / levels / aliases 選擇。</w:t>
      </w:r>
    </w:p>
    <w:p>
      <w:pPr>
        <w:pStyle w:val="ListBullet"/>
        <w:spacing w:after="40" w:line="276" w:lineRule="auto"/>
      </w:pPr>
      <w:r>
        <w:rPr>
          <w:rFonts w:ascii="Noto Sans CJK TC" w:hAnsi="Noto Sans CJK TC" w:eastAsia="Noto Sans CJK TC"/>
          <w:b w:val="0"/>
          <w:i w:val="0"/>
          <w:color w:val="222222"/>
          <w:sz w:val="25"/>
        </w:rPr>
        <w:t>輸出必須符合 SemanticIntentDraft schema；status 只能 ready / clarify / unsupported。</w:t>
      </w:r>
    </w:p>
    <w:p>
      <w:pPr>
        <w:pStyle w:val="ListBullet"/>
        <w:spacing w:after="40" w:line="276" w:lineRule="auto"/>
      </w:pPr>
      <w:r>
        <w:rPr>
          <w:rFonts w:ascii="Noto Sans CJK TC" w:hAnsi="Noto Sans CJK TC" w:eastAsia="Noto Sans CJK TC"/>
          <w:b w:val="0"/>
          <w:i w:val="0"/>
          <w:color w:val="222222"/>
          <w:sz w:val="25"/>
        </w:rPr>
        <w:t>禁止輸出 MDX、SQL、ECharts Option、KPI formula。</w:t>
      </w:r>
    </w:p>
    <w:p>
      <w:pPr>
        <w:pStyle w:val="ListBullet"/>
        <w:spacing w:after="40" w:line="276" w:lineRule="auto"/>
      </w:pPr>
      <w:r>
        <w:rPr>
          <w:rFonts w:ascii="Noto Sans CJK TC" w:hAnsi="Noto Sans CJK TC" w:eastAsia="Noto Sans CJK TC"/>
          <w:b w:val="0"/>
          <w:i w:val="0"/>
          <w:color w:val="222222"/>
          <w:sz w:val="25"/>
        </w:rPr>
        <w:t>不存在的 KPI（例：Inventory Turnover）→ unsupported。</w:t>
      </w:r>
    </w:p>
    <w:p>
      <w:pPr>
        <w:pStyle w:val="ListBullet"/>
        <w:spacing w:after="40" w:line="276" w:lineRule="auto"/>
      </w:pPr>
      <w:r>
        <w:rPr>
          <w:rFonts w:ascii="Noto Sans CJK TC" w:hAnsi="Noto Sans CJK TC" w:eastAsia="Noto Sans CJK TC"/>
          <w:b w:val="0"/>
          <w:i w:val="0"/>
          <w:color w:val="222222"/>
          <w:sz w:val="25"/>
        </w:rPr>
        <w:t>模糊問題「七月表現怎麼樣？」Phase 0 採 clarify；Verified Pattern 後續再加入。</w:t>
      </w:r>
    </w:p>
    <w:p>
      <w:pPr>
        <w:pStyle w:val="ListBullet"/>
        <w:spacing w:after="40" w:line="276" w:lineRule="auto"/>
      </w:pPr>
      <w:r>
        <w:rPr>
          <w:rFonts w:ascii="Noto Sans CJK TC" w:hAnsi="Noto Sans CJK TC" w:eastAsia="Noto Sans CJK TC"/>
          <w:b w:val="0"/>
          <w:i w:val="0"/>
          <w:color w:val="222222"/>
          <w:sz w:val="25"/>
        </w:rPr>
        <w:t>temperature 優先設 0 / deterministic-like；若 provider 不支援該參數，adapter 層處理差異。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40"/>
      </w:tblGrid>
      <w:tr>
        <w:trPr>
          <w:cantSplit/>
        </w:trPr>
        <w:tc>
          <w:tcPr>
            <w:tcW w:type="dxa" w:w="10340"/>
            <w:shd w:fill="E2F0D9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b/>
                <w:i w:val="0"/>
                <w:color w:val="17365D"/>
                <w:sz w:val="24"/>
              </w:rPr>
              <w:t>Vendor-neutral test</w:t>
            </w:r>
          </w:p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23"/>
              </w:rPr>
              <w:t>Core / tests 中不得出現 OpenAI / Gemini / Claude 等 vendor class。只有 AIPoweredBI.Ai adapter project 可以含 provider-specific transport。</w:t>
            </w:r>
          </w:p>
        </w:tc>
      </w:tr>
    </w:tbl>
    <w:p>
      <w:pPr>
        <w:spacing w:after="20"/>
      </w:pPr>
    </w:p>
    <w:p>
      <w:pPr>
        <w:pStyle w:val="Heading1"/>
        <w:spacing w:before="0" w:after="100" w:line="293" w:lineRule="auto"/>
      </w:pPr>
      <w:r>
        <w:rPr>
          <w:rFonts w:ascii="Noto Sans CJK TC" w:hAnsi="Noto Sans CJK TC" w:eastAsia="Noto Sans CJK TC"/>
          <w:b w:val="0"/>
          <w:i w:val="0"/>
          <w:color w:val="222222"/>
          <w:sz w:val="26"/>
        </w:rPr>
        <w:t>15. WP10 — End-to-End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47"/>
        <w:gridCol w:w="3447"/>
        <w:gridCol w:w="3447"/>
      </w:tblGrid>
      <w:tr>
        <w:trPr>
          <w:tblHeader w:val="true"/>
          <w:cantSplit/>
        </w:trPr>
        <w:tc>
          <w:tcPr>
            <w:tcW w:type="dxa" w:w="3447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i w:val="0"/>
                <w:color w:val="FFFFFF"/>
                <w:sz w:val="19"/>
              </w:rPr>
              <w:t>Endpoint</w:t>
            </w:r>
          </w:p>
        </w:tc>
        <w:tc>
          <w:tcPr>
            <w:tcW w:type="dxa" w:w="3447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i w:val="0"/>
                <w:color w:val="FFFFFF"/>
                <w:sz w:val="19"/>
              </w:rPr>
              <w:t>目的</w:t>
            </w:r>
          </w:p>
        </w:tc>
        <w:tc>
          <w:tcPr>
            <w:tcW w:type="dxa" w:w="3447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i w:val="0"/>
                <w:color w:val="FFFFFF"/>
                <w:sz w:val="19"/>
              </w:rPr>
              <w:t>Acceptance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9"/>
              </w:rPr>
              <w:t>GET /api/health</w:t>
            </w:r>
          </w:p>
        </w:tc>
        <w:tc>
          <w:tcPr>
            <w:tcW w:type="dxa" w:w="388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9"/>
              </w:rPr>
              <w:t>Backend health + optional SSAS ping</w:t>
            </w:r>
          </w:p>
        </w:tc>
        <w:tc>
          <w:tcPr>
            <w:tcW w:type="dxa" w:w="360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9"/>
              </w:rPr>
              <w:t>不呼叫 LLM。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3F6F8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9"/>
              </w:rPr>
              <w:t>GET /api/metadata</w:t>
            </w:r>
          </w:p>
        </w:tc>
        <w:tc>
          <w:tcPr>
            <w:tcW w:type="dxa" w:w="388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3F6F8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9"/>
              </w:rPr>
              <w:t>Normalized AI-facing catalog</w:t>
            </w:r>
          </w:p>
        </w:tc>
        <w:tc>
          <w:tcPr>
            <w:tcW w:type="dxa" w:w="360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3F6F8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9"/>
              </w:rPr>
              <w:t>不回 raw ASSL；不 dump all members。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9"/>
              </w:rPr>
              <w:t>POST /api/analysis/plan</w:t>
            </w:r>
          </w:p>
        </w:tc>
        <w:tc>
          <w:tcPr>
            <w:tcW w:type="dxa" w:w="388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9"/>
              </w:rPr>
              <w:t>Question → SemanticIntentDraft</w:t>
            </w:r>
          </w:p>
        </w:tc>
        <w:tc>
          <w:tcPr>
            <w:tcW w:type="dxa" w:w="360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9"/>
              </w:rPr>
              <w:t>只做 LLM/schema。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3F6F8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9"/>
              </w:rPr>
              <w:t>POST /api/analysis/resolve</w:t>
            </w:r>
          </w:p>
        </w:tc>
        <w:tc>
          <w:tcPr>
            <w:tcW w:type="dxa" w:w="388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3F6F8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9"/>
              </w:rPr>
              <w:t>Draft → ResolvedQueryPlan</w:t>
            </w:r>
          </w:p>
        </w:tc>
        <w:tc>
          <w:tcPr>
            <w:tcW w:type="dxa" w:w="360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3F6F8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9"/>
              </w:rPr>
              <w:t>deterministic。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9"/>
              </w:rPr>
              <w:t>POST /api/analysis/execute</w:t>
            </w:r>
          </w:p>
        </w:tc>
        <w:tc>
          <w:tcPr>
            <w:tcW w:type="dxa" w:w="388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9"/>
              </w:rPr>
              <w:t>ResolvedQueryPlan → validate/compile/query</w:t>
            </w:r>
          </w:p>
        </w:tc>
        <w:tc>
          <w:tcPr>
            <w:tcW w:type="dxa" w:w="360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9"/>
              </w:rPr>
              <w:t>不接受 raw MDX。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3F6F8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9"/>
              </w:rPr>
              <w:t>POST /api/ask</w:t>
            </w:r>
          </w:p>
        </w:tc>
        <w:tc>
          <w:tcPr>
            <w:tcW w:type="dxa" w:w="388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3F6F8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9"/>
              </w:rPr>
              <w:t>end-to-end convenience API</w:t>
            </w:r>
          </w:p>
        </w:tc>
        <w:tc>
          <w:tcPr>
            <w:tcW w:type="dxa" w:w="360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3F6F8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9"/>
              </w:rPr>
              <w:t>回 answer/result/viz/evidence。</w:t>
            </w:r>
          </w:p>
        </w:tc>
      </w:tr>
    </w:tbl>
    <w:p>
      <w:pPr>
        <w:spacing w:after="20"/>
      </w:pPr>
    </w:p>
    <w:p>
      <w:pPr>
        <w:pStyle w:val="Heading2"/>
        <w:spacing w:before="0" w:after="100" w:line="293" w:lineRule="auto"/>
      </w:pPr>
      <w:r>
        <w:rPr>
          <w:rFonts w:ascii="Noto Sans CJK TC" w:hAnsi="Noto Sans CJK TC" w:eastAsia="Noto Sans CJK TC"/>
          <w:b w:val="0"/>
          <w:i w:val="0"/>
          <w:color w:val="222222"/>
          <w:sz w:val="26"/>
        </w:rPr>
        <w:t>15.1 /api/ask response minimum contract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40"/>
      </w:tblGrid>
      <w:tr>
        <w:trPr>
          <w:cantSplit/>
        </w:trPr>
        <w:tc>
          <w:tcPr>
            <w:tcW w:type="dxa" w:w="10340"/>
            <w:shd w:fill="F7F7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222222"/>
                <w:sz w:val="17"/>
              </w:rPr>
              <w:t>{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22222"/>
                <w:sz w:val="17"/>
              </w:rPr>
              <w:t xml:space="preserve">  "question": "2026 年 7 月各區營收如何？",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22222"/>
                <w:sz w:val="17"/>
              </w:rPr>
              <w:t xml:space="preserve">  "intent": { ...SemanticIntentDraft... },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22222"/>
                <w:sz w:val="17"/>
              </w:rPr>
              <w:t xml:space="preserve">  "plan": { ...ResolvedQueryPlan... },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22222"/>
                <w:sz w:val="17"/>
              </w:rPr>
              <w:t xml:space="preserve">  "result": {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22222"/>
                <w:sz w:val="17"/>
              </w:rPr>
              <w:t xml:space="preserve">    "columns": ["Region", "Net Sales"],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22222"/>
                <w:sz w:val="17"/>
              </w:rPr>
              <w:t xml:space="preserve">    "rows": [ ... ]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22222"/>
                <w:sz w:val="17"/>
              </w:rPr>
              <w:t xml:space="preserve">  },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22222"/>
                <w:sz w:val="17"/>
              </w:rPr>
              <w:t xml:space="preserve">  "visualization": { ...VisualizationSpec... },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22222"/>
                <w:sz w:val="17"/>
              </w:rPr>
              <w:t xml:space="preserve">  "evidence": {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22222"/>
                <w:sz w:val="17"/>
              </w:rPr>
              <w:t xml:space="preserve">    "cube": "Synthetic Sales BI",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22222"/>
                <w:sz w:val="17"/>
              </w:rPr>
              <w:t xml:space="preserve">    "dataAsOf": "2026-08-01",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22222"/>
                <w:sz w:val="17"/>
              </w:rPr>
              <w:t xml:space="preserve">    "measure": ["Net Sales"],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22222"/>
                <w:sz w:val="17"/>
              </w:rPr>
              <w:t xml:space="preserve">    "filters": ["2026-07"],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22222"/>
                <w:sz w:val="17"/>
              </w:rPr>
              <w:t xml:space="preserve">    "mdx": "&lt;compiled server-side MDX&gt;",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22222"/>
                <w:sz w:val="17"/>
              </w:rPr>
              <w:t xml:space="preserve">    "executionMs": 123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22222"/>
                <w:sz w:val="17"/>
              </w:rPr>
              <w:t xml:space="preserve">  },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22222"/>
                <w:sz w:val="17"/>
              </w:rPr>
              <w:t xml:space="preserve">  "trace": ["intent", "resolve", "validate", "compile", "query", "render-spec"]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22222"/>
                <w:sz w:val="17"/>
              </w:rPr>
              <w:t>}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40"/>
      </w:tblGrid>
      <w:tr>
        <w:trPr>
          <w:cantSplit/>
        </w:trPr>
        <w:tc>
          <w:tcPr>
            <w:tcW w:type="dxa" w:w="10340"/>
            <w:shd w:fill="D9EAF7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b/>
                <w:i w:val="0"/>
                <w:color w:val="17365D"/>
                <w:sz w:val="24"/>
              </w:rPr>
              <w:t>Trace ≠ Chain-of-Thought</w:t>
            </w:r>
          </w:p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23"/>
              </w:rPr>
              <w:t>trace 只記錄可稽核 execution steps / inputs / outputs / timing，不保存或顯示模型私有思考過程。</w:t>
            </w:r>
          </w:p>
        </w:tc>
      </w:tr>
    </w:tbl>
    <w:p>
      <w:pPr>
        <w:spacing w:after="20"/>
      </w:pPr>
    </w:p>
    <w:p>
      <w:pPr>
        <w:pStyle w:val="Heading1"/>
        <w:spacing w:before="0" w:after="100" w:line="293" w:lineRule="auto"/>
      </w:pPr>
      <w:r>
        <w:rPr>
          <w:rFonts w:ascii="Noto Sans CJK TC" w:hAnsi="Noto Sans CJK TC" w:eastAsia="Noto Sans CJK TC"/>
          <w:b w:val="0"/>
          <w:i w:val="0"/>
          <w:color w:val="222222"/>
          <w:sz w:val="26"/>
        </w:rPr>
        <w:t>16. WP11 — React + TypeScript + ECharts</w:t>
      </w:r>
    </w:p>
    <w:p>
      <w:pPr>
        <w:pStyle w:val="Heading2"/>
        <w:spacing w:before="0" w:after="100" w:line="293" w:lineRule="auto"/>
      </w:pPr>
      <w:r>
        <w:rPr>
          <w:rFonts w:ascii="Noto Sans CJK TC" w:hAnsi="Noto Sans CJK TC" w:eastAsia="Noto Sans CJK TC"/>
          <w:b w:val="0"/>
          <w:i w:val="0"/>
          <w:color w:val="222222"/>
          <w:sz w:val="26"/>
        </w:rPr>
        <w:t>16.1 Phase 0 UI only</w:t>
      </w:r>
    </w:p>
    <w:p>
      <w:pPr>
        <w:pStyle w:val="ListBullet"/>
        <w:spacing w:after="40" w:line="276" w:lineRule="auto"/>
      </w:pPr>
      <w:r>
        <w:rPr>
          <w:rFonts w:ascii="Noto Sans CJK TC" w:hAnsi="Noto Sans CJK TC" w:eastAsia="Noto Sans CJK TC"/>
          <w:b w:val="0"/>
          <w:i w:val="0"/>
          <w:color w:val="222222"/>
          <w:sz w:val="25"/>
        </w:rPr>
        <w:t>Question input + Submit。</w:t>
      </w:r>
    </w:p>
    <w:p>
      <w:pPr>
        <w:pStyle w:val="ListBullet"/>
        <w:spacing w:after="40" w:line="276" w:lineRule="auto"/>
      </w:pPr>
      <w:r>
        <w:rPr>
          <w:rFonts w:ascii="Noto Sans CJK TC" w:hAnsi="Noto Sans CJK TC" w:eastAsia="Noto Sans CJK TC"/>
          <w:b w:val="0"/>
          <w:i w:val="0"/>
          <w:color w:val="222222"/>
          <w:sz w:val="25"/>
        </w:rPr>
        <w:t>4–6 個 Golden example buttons。</w:t>
      </w:r>
    </w:p>
    <w:p>
      <w:pPr>
        <w:pStyle w:val="ListBullet"/>
        <w:spacing w:after="40" w:line="276" w:lineRule="auto"/>
      </w:pPr>
      <w:r>
        <w:rPr>
          <w:rFonts w:ascii="Noto Sans CJK TC" w:hAnsi="Noto Sans CJK TC" w:eastAsia="Noto Sans CJK TC"/>
          <w:b w:val="0"/>
          <w:i w:val="0"/>
          <w:color w:val="222222"/>
          <w:sz w:val="25"/>
        </w:rPr>
        <w:t>Status / clarify / unsupported message。</w:t>
      </w:r>
    </w:p>
    <w:p>
      <w:pPr>
        <w:pStyle w:val="ListBullet"/>
        <w:spacing w:after="40" w:line="276" w:lineRule="auto"/>
      </w:pPr>
      <w:r>
        <w:rPr>
          <w:rFonts w:ascii="Noto Sans CJK TC" w:hAnsi="Noto Sans CJK TC" w:eastAsia="Noto Sans CJK TC"/>
          <w:b w:val="0"/>
          <w:i w:val="0"/>
          <w:color w:val="222222"/>
          <w:sz w:val="25"/>
        </w:rPr>
        <w:t>KPI / bar / line / table renderer。</w:t>
      </w:r>
    </w:p>
    <w:p>
      <w:pPr>
        <w:pStyle w:val="ListBullet"/>
        <w:spacing w:after="40" w:line="276" w:lineRule="auto"/>
      </w:pPr>
      <w:r>
        <w:rPr>
          <w:rFonts w:ascii="Noto Sans CJK TC" w:hAnsi="Noto Sans CJK TC" w:eastAsia="Noto Sans CJK TC"/>
          <w:b w:val="0"/>
          <w:i w:val="0"/>
          <w:color w:val="222222"/>
          <w:sz w:val="25"/>
        </w:rPr>
        <w:t>Evidence drawer/panel：Metric、Period、Filters、DataAsOf、compiled MDX、execution time。</w:t>
      </w:r>
    </w:p>
    <w:p>
      <w:pPr>
        <w:pStyle w:val="ListBullet"/>
        <w:spacing w:after="40" w:line="276" w:lineRule="auto"/>
      </w:pPr>
      <w:r>
        <w:rPr>
          <w:rFonts w:ascii="Noto Sans CJK TC" w:hAnsi="Noto Sans CJK TC" w:eastAsia="Noto Sans CJK TC"/>
          <w:b w:val="0"/>
          <w:i w:val="0"/>
          <w:color w:val="222222"/>
          <w:sz w:val="25"/>
        </w:rPr>
        <w:t>不做 Voice、不做 drag dashboard、不做 full design system。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40"/>
      </w:tblGrid>
      <w:tr>
        <w:trPr>
          <w:cantSplit/>
        </w:trPr>
        <w:tc>
          <w:tcPr>
            <w:tcW w:type="dxa" w:w="10340"/>
            <w:shd w:fill="F7F7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222222"/>
                <w:sz w:val="17"/>
              </w:rPr>
              <w:t>npm create vite@latest frontend -- --template react-ts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22222"/>
                <w:sz w:val="17"/>
              </w:rPr>
              <w:t>cd frontend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22222"/>
                <w:sz w:val="17"/>
              </w:rPr>
              <w:t>npm install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22222"/>
                <w:sz w:val="17"/>
              </w:rPr>
              <w:t>npm install echarts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22222"/>
                <w:sz w:val="17"/>
              </w:rPr>
              <w:t>npm run build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22222"/>
                <w:sz w:val="17"/>
              </w:rPr>
              <w:t># first successful install: commit package-lock.json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22222"/>
                <w:sz w:val="17"/>
              </w:rPr>
              <w:t># subsequent reproducible installs: npm ci</w:t>
            </w:r>
          </w:p>
        </w:tc>
      </w:tr>
    </w:tbl>
    <w:p>
      <w:pPr>
        <w:spacing w:after="20"/>
      </w:pPr>
    </w:p>
    <w:p>
      <w:pPr>
        <w:pStyle w:val="Heading2"/>
        <w:spacing w:before="0" w:after="100" w:line="293" w:lineRule="auto"/>
      </w:pPr>
      <w:r>
        <w:rPr>
          <w:rFonts w:ascii="Noto Sans CJK TC" w:hAnsi="Noto Sans CJK TC" w:eastAsia="Noto Sans CJK TC"/>
          <w:b w:val="0"/>
          <w:i w:val="0"/>
          <w:color w:val="222222"/>
          <w:sz w:val="26"/>
        </w:rPr>
        <w:t>16.2 Visualization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0"/>
        <w:gridCol w:w="5170"/>
      </w:tblGrid>
      <w:tr>
        <w:trPr>
          <w:tblHeader w:val="true"/>
          <w:cantSplit/>
        </w:trPr>
        <w:tc>
          <w:tcPr>
            <w:tcW w:type="dxa" w:w="5170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i w:val="0"/>
                <w:color w:val="FFFFFF"/>
                <w:sz w:val="20"/>
              </w:rPr>
              <w:t>Semantic shape</w:t>
            </w:r>
          </w:p>
        </w:tc>
        <w:tc>
          <w:tcPr>
            <w:tcW w:type="dxa" w:w="5170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i w:val="0"/>
                <w:color w:val="FFFFFF"/>
                <w:sz w:val="20"/>
              </w:rPr>
              <w:t>Visualization</w:t>
            </w:r>
          </w:p>
        </w:tc>
      </w:tr>
      <w:tr>
        <w:trPr>
          <w:cantSplit/>
        </w:trPr>
        <w:tc>
          <w:tcPr>
            <w:tcW w:type="dxa" w:w="4896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20"/>
              </w:rPr>
              <w:t>single scalar</w:t>
            </w:r>
          </w:p>
        </w:tc>
        <w:tc>
          <w:tcPr>
            <w:tcW w:type="dxa" w:w="460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20"/>
              </w:rPr>
              <w:t>KPI</w:t>
            </w:r>
          </w:p>
        </w:tc>
      </w:tr>
      <w:tr>
        <w:trPr>
          <w:cantSplit/>
        </w:trPr>
        <w:tc>
          <w:tcPr>
            <w:tcW w:type="dxa" w:w="4896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3F6F8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20"/>
              </w:rPr>
              <w:t>category breakdown / ranking</w:t>
            </w:r>
          </w:p>
        </w:tc>
        <w:tc>
          <w:tcPr>
            <w:tcW w:type="dxa" w:w="460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3F6F8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20"/>
              </w:rPr>
              <w:t>Bar</w:t>
            </w:r>
          </w:p>
        </w:tc>
      </w:tr>
      <w:tr>
        <w:trPr>
          <w:cantSplit/>
        </w:trPr>
        <w:tc>
          <w:tcPr>
            <w:tcW w:type="dxa" w:w="4896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20"/>
              </w:rPr>
              <w:t>time ordered series</w:t>
            </w:r>
          </w:p>
        </w:tc>
        <w:tc>
          <w:tcPr>
            <w:tcW w:type="dxa" w:w="460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20"/>
              </w:rPr>
              <w:t>Line</w:t>
            </w:r>
          </w:p>
        </w:tc>
      </w:tr>
      <w:tr>
        <w:trPr>
          <w:cantSplit/>
        </w:trPr>
        <w:tc>
          <w:tcPr>
            <w:tcW w:type="dxa" w:w="4896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3F6F8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20"/>
              </w:rPr>
              <w:t>unsupported / dense raw evidence</w:t>
            </w:r>
          </w:p>
        </w:tc>
        <w:tc>
          <w:tcPr>
            <w:tcW w:type="dxa" w:w="460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3F6F8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20"/>
              </w:rPr>
              <w:t>Table</w:t>
            </w:r>
          </w:p>
        </w:tc>
      </w:tr>
    </w:tbl>
    <w:p>
      <w:pPr>
        <w:spacing w:after="20"/>
      </w:pPr>
    </w:p>
    <w:p>
      <w:pPr>
        <w:spacing w:before="0" w:after="100" w:line="293" w:lineRule="auto"/>
      </w:pPr>
      <w:r>
        <w:rPr>
          <w:rFonts w:ascii="Noto Sans CJK TC" w:hAnsi="Noto Sans CJK TC" w:eastAsia="Noto Sans CJK TC"/>
          <w:b w:val="0"/>
          <w:i w:val="0"/>
          <w:color w:val="222222"/>
          <w:sz w:val="26"/>
        </w:rPr>
        <w:t>Frontend 不得接受任意 ECharts JS code；只接受 backend validated VisualizationSpec，再由 EChartsAdapter 轉成 ECharts option。</w:t>
      </w:r>
    </w:p>
    <w:p>
      <w:pPr>
        <w:pStyle w:val="Heading1"/>
        <w:spacing w:before="0" w:after="100" w:line="293" w:lineRule="auto"/>
      </w:pPr>
      <w:r>
        <w:rPr>
          <w:rFonts w:ascii="Noto Sans CJK TC" w:hAnsi="Noto Sans CJK TC" w:eastAsia="Noto Sans CJK TC"/>
          <w:b w:val="0"/>
          <w:i w:val="0"/>
          <w:color w:val="222222"/>
          <w:sz w:val="26"/>
        </w:rPr>
        <w:t>17. WP12 — Golden Evaluation / Final Gate</w:t>
      </w:r>
    </w:p>
    <w:p>
      <w:pPr>
        <w:pStyle w:val="Heading2"/>
        <w:spacing w:before="0" w:after="100" w:line="293" w:lineRule="auto"/>
      </w:pPr>
      <w:r>
        <w:rPr>
          <w:rFonts w:ascii="Noto Sans CJK TC" w:hAnsi="Noto Sans CJK TC" w:eastAsia="Noto Sans CJK TC"/>
          <w:b w:val="0"/>
          <w:i w:val="0"/>
          <w:color w:val="222222"/>
          <w:sz w:val="26"/>
        </w:rPr>
        <w:t>17.1 Phase 0 required Golden IDs</w:t>
      </w:r>
    </w:p>
    <w:p>
      <w:pPr>
        <w:spacing w:before="0" w:after="100" w:line="293" w:lineRule="auto"/>
      </w:pPr>
      <w:r>
        <w:rPr>
          <w:rFonts w:ascii="Noto Sans CJK TC" w:hAnsi="Noto Sans CJK TC" w:eastAsia="Noto Sans CJK TC"/>
          <w:b w:val="0"/>
          <w:i w:val="0"/>
          <w:color w:val="222222"/>
          <w:sz w:val="26"/>
        </w:rPr>
        <w:t>Q01, Q02, Q03, Q04, Q05, Q06, Q09, Q10, Q11, Q12, Q13, Q15, Q17, Q18, Q20, Q24, Q25。</w:t>
      </w:r>
    </w:p>
    <w:p>
      <w:pPr>
        <w:spacing w:before="0" w:after="100" w:line="293" w:lineRule="auto"/>
      </w:pPr>
      <w:r>
        <w:rPr>
          <w:rFonts w:ascii="Noto Sans CJK TC" w:hAnsi="Noto Sans CJK TC" w:eastAsia="Noto Sans CJK TC"/>
          <w:b w:val="0"/>
          <w:i w:val="0"/>
          <w:color w:val="222222"/>
          <w:sz w:val="26"/>
        </w:rPr>
        <w:t>Deferred by design：Q16 → Phase 1 security；Q14 → Phase 2 context follow-up；Q07/Q08/Q19/Q21/Q22/Q23 → Phase 3 analytical agent。</w:t>
      </w:r>
    </w:p>
    <w:p>
      <w:pPr>
        <w:pStyle w:val="Heading2"/>
        <w:spacing w:before="0" w:after="100" w:line="293" w:lineRule="auto"/>
      </w:pPr>
      <w:r>
        <w:rPr>
          <w:rFonts w:ascii="Noto Sans CJK TC" w:hAnsi="Noto Sans CJK TC" w:eastAsia="Noto Sans CJK TC"/>
          <w:b w:val="0"/>
          <w:i w:val="0"/>
          <w:color w:val="222222"/>
          <w:sz w:val="26"/>
        </w:rPr>
        <w:t>17.2 Acceptance dimensions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0"/>
        <w:gridCol w:w="5170"/>
      </w:tblGrid>
      <w:tr>
        <w:trPr>
          <w:tblHeader w:val="true"/>
          <w:cantSplit/>
        </w:trPr>
        <w:tc>
          <w:tcPr>
            <w:tcW w:type="dxa" w:w="5170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i w:val="0"/>
                <w:color w:val="FFFFFF"/>
                <w:sz w:val="19"/>
              </w:rPr>
              <w:t>Dimension</w:t>
            </w:r>
          </w:p>
        </w:tc>
        <w:tc>
          <w:tcPr>
            <w:tcW w:type="dxa" w:w="5170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i w:val="0"/>
                <w:color w:val="FFFFFF"/>
                <w:sz w:val="19"/>
              </w:rPr>
              <w:t>Rule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9"/>
              </w:rPr>
              <w:t>Semantic metric</w:t>
            </w:r>
          </w:p>
        </w:tc>
        <w:tc>
          <w:tcPr>
            <w:tcW w:type="dxa" w:w="734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9"/>
              </w:rPr>
              <w:t>exact canonical metric match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3F6F8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9"/>
              </w:rPr>
              <w:t>Dimension / breakdown</w:t>
            </w:r>
          </w:p>
        </w:tc>
        <w:tc>
          <w:tcPr>
            <w:tcW w:type="dxa" w:w="734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3F6F8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9"/>
              </w:rPr>
              <w:t>exact match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9"/>
              </w:rPr>
              <w:t>Time</w:t>
            </w:r>
          </w:p>
        </w:tc>
        <w:tc>
          <w:tcPr>
            <w:tcW w:type="dxa" w:w="734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9"/>
              </w:rPr>
              <w:t>exact normalized period / prior period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3F6F8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9"/>
              </w:rPr>
              <w:t>Result currency</w:t>
            </w:r>
          </w:p>
        </w:tc>
        <w:tc>
          <w:tcPr>
            <w:tcW w:type="dxa" w:w="734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3F6F8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9"/>
              </w:rPr>
              <w:t>±0.01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9"/>
              </w:rPr>
              <w:t>Percent</w:t>
            </w:r>
          </w:p>
        </w:tc>
        <w:tc>
          <w:tcPr>
            <w:tcW w:type="dxa" w:w="734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9"/>
              </w:rPr>
              <w:t>±0.01 percentage point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3F6F8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9"/>
              </w:rPr>
              <w:t>Unsupported</w:t>
            </w:r>
          </w:p>
        </w:tc>
        <w:tc>
          <w:tcPr>
            <w:tcW w:type="dxa" w:w="734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3F6F8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9"/>
              </w:rPr>
              <w:t>Q15 missing KPI must return unsupported; may not invent measure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9"/>
              </w:rPr>
              <w:t>No-data</w:t>
            </w:r>
          </w:p>
        </w:tc>
        <w:tc>
          <w:tcPr>
            <w:tcW w:type="dxa" w:w="734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9"/>
              </w:rPr>
              <w:t>missing period/member returns explicit no-data/member error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3F6F8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9"/>
              </w:rPr>
              <w:t>Visualization</w:t>
            </w:r>
          </w:p>
        </w:tc>
        <w:tc>
          <w:tcPr>
            <w:tcW w:type="dxa" w:w="734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3F6F8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9"/>
              </w:rPr>
              <w:t>Q20 must resolve to bar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9"/>
              </w:rPr>
              <w:t>Raw MDX safety</w:t>
            </w:r>
          </w:p>
        </w:tc>
        <w:tc>
          <w:tcPr>
            <w:tcW w:type="dxa" w:w="734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9"/>
              </w:rPr>
              <w:t>LLM output schema cannot contain raw MDX</w:t>
            </w:r>
          </w:p>
        </w:tc>
      </w:tr>
    </w:tbl>
    <w:p>
      <w:pPr>
        <w:spacing w:after="20"/>
      </w:pPr>
    </w:p>
    <w:p>
      <w:pPr>
        <w:pStyle w:val="Heading2"/>
        <w:spacing w:before="0" w:after="100" w:line="293" w:lineRule="auto"/>
      </w:pPr>
      <w:r>
        <w:rPr>
          <w:rFonts w:ascii="Noto Sans CJK TC" w:hAnsi="Noto Sans CJK TC" w:eastAsia="Noto Sans CJK TC"/>
          <w:b w:val="0"/>
          <w:i w:val="0"/>
          <w:color w:val="222222"/>
          <w:sz w:val="26"/>
        </w:rPr>
        <w:t>17.3 Evaluation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40"/>
      </w:tblGrid>
      <w:tr>
        <w:trPr>
          <w:cantSplit/>
        </w:trPr>
        <w:tc>
          <w:tcPr>
            <w:tcW w:type="dxa" w:w="10340"/>
            <w:shd w:fill="F7F7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222222"/>
                <w:sz w:val="17"/>
              </w:rPr>
              <w:t>evaluation-report.json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22222"/>
                <w:sz w:val="17"/>
              </w:rPr>
              <w:t>{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22222"/>
                <w:sz w:val="17"/>
              </w:rPr>
              <w:t xml:space="preserve">  "datasetVersion": "1.0",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22222"/>
                <w:sz w:val="17"/>
              </w:rPr>
              <w:t xml:space="preserve">  "timestamp": "...",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22222"/>
                <w:sz w:val="17"/>
              </w:rPr>
              <w:t xml:space="preserve">  "modelProvider": "...",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22222"/>
                <w:sz w:val="17"/>
              </w:rPr>
              <w:t xml:space="preserve">  "model": "...",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22222"/>
                <w:sz w:val="17"/>
              </w:rPr>
              <w:t xml:space="preserve">  "total": 17,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22222"/>
                <w:sz w:val="17"/>
              </w:rPr>
              <w:t xml:space="preserve">  "passed": 17,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22222"/>
                <w:sz w:val="17"/>
              </w:rPr>
              <w:t xml:space="preserve">  "failed": 0,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22222"/>
                <w:sz w:val="17"/>
              </w:rPr>
              <w:t xml:space="preserve">  "cases": [ ... semantic/result/evidence checks ... ]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22222"/>
                <w:sz w:val="17"/>
              </w:rPr>
              <w:t>}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40"/>
      </w:tblGrid>
      <w:tr>
        <w:trPr>
          <w:cantSplit/>
        </w:trPr>
        <w:tc>
          <w:tcPr>
            <w:tcW w:type="dxa" w:w="10340"/>
            <w:shd w:fill="E2F0D9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b/>
                <w:i w:val="0"/>
                <w:color w:val="17365D"/>
                <w:sz w:val="24"/>
              </w:rPr>
              <w:t>P0-GATE PASS</w:t>
            </w:r>
          </w:p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23"/>
              </w:rPr>
              <w:t>只有 17 個 required cases 全部通過、官方 baseline PASS、Synthetic MDX Ground Truth PASS、frontend build PASS，才能宣告 Phase 0 Home Lab 可行性重驗完成。若 LLM 偶發 semantic fail，先建立 regression 與修 Semantic/Prompt；不可直接往 Phase 1 擴。</w:t>
            </w:r>
          </w:p>
        </w:tc>
      </w:tr>
    </w:tbl>
    <w:p>
      <w:pPr>
        <w:spacing w:after="20"/>
      </w:pPr>
    </w:p>
    <w:p>
      <w:pPr>
        <w:pStyle w:val="Heading1"/>
        <w:spacing w:before="0" w:after="100" w:line="293" w:lineRule="auto"/>
      </w:pPr>
      <w:r>
        <w:rPr>
          <w:rFonts w:ascii="Noto Sans CJK TC" w:hAnsi="Noto Sans CJK TC" w:eastAsia="Noto Sans CJK TC"/>
          <w:b w:val="0"/>
          <w:i w:val="0"/>
          <w:color w:val="222222"/>
          <w:sz w:val="26"/>
        </w:rPr>
        <w:t>18. Error / Stop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47"/>
        <w:gridCol w:w="3447"/>
        <w:gridCol w:w="3447"/>
      </w:tblGrid>
      <w:tr>
        <w:trPr>
          <w:tblHeader w:val="true"/>
          <w:cantSplit/>
        </w:trPr>
        <w:tc>
          <w:tcPr>
            <w:tcW w:type="dxa" w:w="3447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i w:val="0"/>
                <w:color w:val="FFFFFF"/>
                <w:sz w:val="18"/>
              </w:rPr>
              <w:t>Code</w:t>
            </w:r>
          </w:p>
        </w:tc>
        <w:tc>
          <w:tcPr>
            <w:tcW w:type="dxa" w:w="3447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i w:val="0"/>
                <w:color w:val="FFFFFF"/>
                <w:sz w:val="18"/>
              </w:rPr>
              <w:t>Meaning</w:t>
            </w:r>
          </w:p>
        </w:tc>
        <w:tc>
          <w:tcPr>
            <w:tcW w:type="dxa" w:w="3447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i w:val="0"/>
                <w:color w:val="FFFFFF"/>
                <w:sz w:val="18"/>
              </w:rPr>
              <w:t>Action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/>
                <w:i w:val="0"/>
                <w:color w:val="222222"/>
                <w:sz w:val="18"/>
              </w:rPr>
              <w:t>ENV_SSAS_MODE_INVALID</w:t>
            </w:r>
          </w:p>
        </w:tc>
        <w:tc>
          <w:tcPr>
            <w:tcW w:type="dxa" w:w="374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8"/>
              </w:rPr>
              <w:t>SSAS 非 Multidimensional</w:t>
            </w:r>
          </w:p>
        </w:tc>
        <w:tc>
          <w:tcPr>
            <w:tcW w:type="dxa" w:w="374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8"/>
              </w:rPr>
              <w:t>STOP；修 instance。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3F6F8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/>
                <w:i w:val="0"/>
                <w:color w:val="222222"/>
                <w:sz w:val="18"/>
              </w:rPr>
              <w:t>AW_BASELINE_FAILED</w:t>
            </w:r>
          </w:p>
        </w:tc>
        <w:tc>
          <w:tcPr>
            <w:tcW w:type="dxa" w:w="374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3F6F8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8"/>
              </w:rPr>
              <w:t>Adventure Works deploy/process/MDX failed</w:t>
            </w:r>
          </w:p>
        </w:tc>
        <w:tc>
          <w:tcPr>
            <w:tcW w:type="dxa" w:w="374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3F6F8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8"/>
              </w:rPr>
              <w:t>STOP；只排環境。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/>
                <w:i w:val="0"/>
                <w:color w:val="222222"/>
                <w:sz w:val="18"/>
              </w:rPr>
              <w:t>DATASET_GROUND_TRUTH_FAILED</w:t>
            </w:r>
          </w:p>
        </w:tc>
        <w:tc>
          <w:tcPr>
            <w:tcW w:type="dxa" w:w="374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8"/>
              </w:rPr>
              <w:t>Synthetic SQL events 不符</w:t>
            </w:r>
          </w:p>
        </w:tc>
        <w:tc>
          <w:tcPr>
            <w:tcW w:type="dxa" w:w="374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8"/>
              </w:rPr>
              <w:t>STOP；重載／驗 checksum；不得改答案。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3F6F8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/>
                <w:i w:val="0"/>
                <w:color w:val="222222"/>
                <w:sz w:val="18"/>
              </w:rPr>
              <w:t>CUBE_PROCESS_FAILED</w:t>
            </w:r>
          </w:p>
        </w:tc>
        <w:tc>
          <w:tcPr>
            <w:tcW w:type="dxa" w:w="374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3F6F8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8"/>
              </w:rPr>
              <w:t>Synthetic cube process failed</w:t>
            </w:r>
          </w:p>
        </w:tc>
        <w:tc>
          <w:tcPr>
            <w:tcW w:type="dxa" w:w="374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3F6F8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8"/>
              </w:rPr>
              <w:t>STOP；修 DSV/key/permission。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/>
                <w:i w:val="0"/>
                <w:color w:val="222222"/>
                <w:sz w:val="18"/>
              </w:rPr>
              <w:t>MEMBER_NOT_FOUND</w:t>
            </w:r>
          </w:p>
        </w:tc>
        <w:tc>
          <w:tcPr>
            <w:tcW w:type="dxa" w:w="374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8"/>
              </w:rPr>
              <w:t>member 無法解析</w:t>
            </w:r>
          </w:p>
        </w:tc>
        <w:tc>
          <w:tcPr>
            <w:tcW w:type="dxa" w:w="374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8"/>
              </w:rPr>
              <w:t>回 user / test failure；不得猜。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3F6F8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/>
                <w:i w:val="0"/>
                <w:color w:val="222222"/>
                <w:sz w:val="18"/>
              </w:rPr>
              <w:t>NO_DATA_PERIOD</w:t>
            </w:r>
          </w:p>
        </w:tc>
        <w:tc>
          <w:tcPr>
            <w:tcW w:type="dxa" w:w="374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3F6F8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8"/>
              </w:rPr>
              <w:t>期間不在 dataset</w:t>
            </w:r>
          </w:p>
        </w:tc>
        <w:tc>
          <w:tcPr>
            <w:tcW w:type="dxa" w:w="374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3F6F8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8"/>
              </w:rPr>
              <w:t>回 no-data。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/>
                <w:i w:val="0"/>
                <w:color w:val="222222"/>
                <w:sz w:val="18"/>
              </w:rPr>
              <w:t>UNSUPPORTED_METRIC</w:t>
            </w:r>
          </w:p>
        </w:tc>
        <w:tc>
          <w:tcPr>
            <w:tcW w:type="dxa" w:w="374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8"/>
              </w:rPr>
              <w:t>Cube/overlay 無 KPI</w:t>
            </w:r>
          </w:p>
        </w:tc>
        <w:tc>
          <w:tcPr>
            <w:tcW w:type="dxa" w:w="374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8"/>
              </w:rPr>
              <w:t>回 unsupported。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3F6F8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/>
                <w:i w:val="0"/>
                <w:color w:val="222222"/>
                <w:sz w:val="18"/>
              </w:rPr>
              <w:t>AMBIGUOUS_INTENT</w:t>
            </w:r>
          </w:p>
        </w:tc>
        <w:tc>
          <w:tcPr>
            <w:tcW w:type="dxa" w:w="374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3F6F8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8"/>
              </w:rPr>
              <w:t>問題不足以決定 metric</w:t>
            </w:r>
          </w:p>
        </w:tc>
        <w:tc>
          <w:tcPr>
            <w:tcW w:type="dxa" w:w="374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3F6F8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8"/>
              </w:rPr>
              <w:t>clarify。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/>
                <w:i w:val="0"/>
                <w:color w:val="222222"/>
                <w:sz w:val="18"/>
              </w:rPr>
              <w:t>POLICY_BUDGET_GRAIN</w:t>
            </w:r>
          </w:p>
        </w:tc>
        <w:tc>
          <w:tcPr>
            <w:tcW w:type="dxa" w:w="374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8"/>
              </w:rPr>
              <w:t>Budget × Customer/Salesperson</w:t>
            </w:r>
          </w:p>
        </w:tc>
        <w:tc>
          <w:tcPr>
            <w:tcW w:type="dxa" w:w="374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8"/>
              </w:rPr>
              <w:t>reject/clarify。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3F6F8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/>
                <w:i w:val="0"/>
                <w:color w:val="222222"/>
                <w:sz w:val="18"/>
              </w:rPr>
              <w:t>QUERY_TIMEOUT</w:t>
            </w:r>
          </w:p>
        </w:tc>
        <w:tc>
          <w:tcPr>
            <w:tcW w:type="dxa" w:w="374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3F6F8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8"/>
              </w:rPr>
              <w:t>SSAS &gt;30s</w:t>
            </w:r>
          </w:p>
        </w:tc>
        <w:tc>
          <w:tcPr>
            <w:tcW w:type="dxa" w:w="374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3F6F8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8"/>
              </w:rPr>
              <w:t>fail fast；不無限 retry。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/>
                <w:i w:val="0"/>
                <w:color w:val="222222"/>
                <w:sz w:val="18"/>
              </w:rPr>
              <w:t>LLM_SCHEMA_INVALID</w:t>
            </w:r>
          </w:p>
        </w:tc>
        <w:tc>
          <w:tcPr>
            <w:tcW w:type="dxa" w:w="374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8"/>
              </w:rPr>
              <w:t>LLM JSON 不符 schema</w:t>
            </w:r>
          </w:p>
        </w:tc>
        <w:tc>
          <w:tcPr>
            <w:tcW w:type="dxa" w:w="374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8"/>
              </w:rPr>
              <w:t>最多一次 repair/retry；仍失敗則 fail。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3F6F8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/>
                <w:i w:val="0"/>
                <w:color w:val="222222"/>
                <w:sz w:val="18"/>
              </w:rPr>
              <w:t>RESULT_MISMATCH</w:t>
            </w:r>
          </w:p>
        </w:tc>
        <w:tc>
          <w:tcPr>
            <w:tcW w:type="dxa" w:w="374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3F6F8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8"/>
              </w:rPr>
              <w:t>SSAS result ≠ Ground Truth</w:t>
            </w:r>
          </w:p>
        </w:tc>
        <w:tc>
          <w:tcPr>
            <w:tcW w:type="dxa" w:w="374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3F6F8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8"/>
              </w:rPr>
              <w:t>STOP expansion；優先查 Cube/compiler。</w:t>
            </w:r>
          </w:p>
        </w:tc>
      </w:tr>
    </w:tbl>
    <w:p>
      <w:pPr>
        <w:spacing w:after="20"/>
      </w:pPr>
    </w:p>
    <w:p>
      <w:pPr>
        <w:pStyle w:val="Heading1"/>
        <w:spacing w:before="0" w:after="100" w:line="293" w:lineRule="auto"/>
      </w:pPr>
      <w:r>
        <w:rPr>
          <w:rFonts w:ascii="Noto Sans CJK TC" w:hAnsi="Noto Sans CJK TC" w:eastAsia="Noto Sans CJK TC"/>
          <w:b w:val="0"/>
          <w:i w:val="0"/>
          <w:color w:val="222222"/>
          <w:sz w:val="26"/>
        </w:rPr>
        <w:t>19. Build / Reuse / Do Not Build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0"/>
        <w:gridCol w:w="5170"/>
      </w:tblGrid>
      <w:tr>
        <w:trPr>
          <w:tblHeader w:val="true"/>
          <w:cantSplit/>
        </w:trPr>
        <w:tc>
          <w:tcPr>
            <w:tcW w:type="dxa" w:w="5170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i w:val="0"/>
                <w:color w:val="FFFFFF"/>
                <w:sz w:val="19"/>
              </w:rPr>
              <w:t>Capability</w:t>
            </w:r>
          </w:p>
        </w:tc>
        <w:tc>
          <w:tcPr>
            <w:tcW w:type="dxa" w:w="5170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i w:val="0"/>
                <w:color w:val="FFFFFF"/>
                <w:sz w:val="19"/>
              </w:rPr>
              <w:t>Decision</w:t>
            </w:r>
          </w:p>
        </w:tc>
      </w:tr>
      <w:tr>
        <w:trPr>
          <w:cantSplit/>
        </w:trPr>
        <w:tc>
          <w:tcPr>
            <w:tcW w:type="dxa" w:w="518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9"/>
              </w:rPr>
              <w:t>SQL Server / SSAS / Adventure Works</w:t>
            </w:r>
          </w:p>
        </w:tc>
        <w:tc>
          <w:tcPr>
            <w:tcW w:type="dxa" w:w="518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9"/>
              </w:rPr>
              <w:t>Reuse Microsoft</w:t>
            </w:r>
          </w:p>
        </w:tc>
      </w:tr>
      <w:tr>
        <w:trPr>
          <w:cantSplit/>
        </w:trPr>
        <w:tc>
          <w:tcPr>
            <w:tcW w:type="dxa" w:w="518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3F6F8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9"/>
              </w:rPr>
              <w:t>Synthetic benchmark data</w:t>
            </w:r>
          </w:p>
        </w:tc>
        <w:tc>
          <w:tcPr>
            <w:tcW w:type="dxa" w:w="518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3F6F8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9"/>
              </w:rPr>
              <w:t>Reuse frozen v2.0 package</w:t>
            </w:r>
          </w:p>
        </w:tc>
      </w:tr>
      <w:tr>
        <w:trPr>
          <w:cantSplit/>
        </w:trPr>
        <w:tc>
          <w:tcPr>
            <w:tcW w:type="dxa" w:w="518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9"/>
              </w:rPr>
              <w:t>SSAS cube for synthetic benchmark</w:t>
            </w:r>
          </w:p>
        </w:tc>
        <w:tc>
          <w:tcPr>
            <w:tcW w:type="dxa" w:w="518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9"/>
              </w:rPr>
              <w:t>Build</w:t>
            </w:r>
          </w:p>
        </w:tc>
      </w:tr>
      <w:tr>
        <w:trPr>
          <w:cantSplit/>
        </w:trPr>
        <w:tc>
          <w:tcPr>
            <w:tcW w:type="dxa" w:w="518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3F6F8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9"/>
              </w:rPr>
              <w:t>ADOMD.NET client</w:t>
            </w:r>
          </w:p>
        </w:tc>
        <w:tc>
          <w:tcPr>
            <w:tcW w:type="dxa" w:w="518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3F6F8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9"/>
              </w:rPr>
              <w:t>Reuse Microsoft NuGet</w:t>
            </w:r>
          </w:p>
        </w:tc>
      </w:tr>
      <w:tr>
        <w:trPr>
          <w:cantSplit/>
        </w:trPr>
        <w:tc>
          <w:tcPr>
            <w:tcW w:type="dxa" w:w="518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9"/>
              </w:rPr>
              <w:t>SemanticIntentDraft / ResolvedQueryPlan</w:t>
            </w:r>
          </w:p>
        </w:tc>
        <w:tc>
          <w:tcPr>
            <w:tcW w:type="dxa" w:w="518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9"/>
              </w:rPr>
              <w:t>Build</w:t>
            </w:r>
          </w:p>
        </w:tc>
      </w:tr>
      <w:tr>
        <w:trPr>
          <w:cantSplit/>
        </w:trPr>
        <w:tc>
          <w:tcPr>
            <w:tcW w:type="dxa" w:w="518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3F6F8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9"/>
              </w:rPr>
              <w:t>Member Resolver / Query Validator / MDX Compiler</w:t>
            </w:r>
          </w:p>
        </w:tc>
        <w:tc>
          <w:tcPr>
            <w:tcW w:type="dxa" w:w="518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3F6F8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9"/>
              </w:rPr>
              <w:t>Build</w:t>
            </w:r>
          </w:p>
        </w:tc>
      </w:tr>
      <w:tr>
        <w:trPr>
          <w:cantSplit/>
        </w:trPr>
        <w:tc>
          <w:tcPr>
            <w:tcW w:type="dxa" w:w="518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9"/>
              </w:rPr>
              <w:t>LLM infrastructure</w:t>
            </w:r>
          </w:p>
        </w:tc>
        <w:tc>
          <w:tcPr>
            <w:tcW w:type="dxa" w:w="518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9"/>
              </w:rPr>
              <w:t>Build thin IModelGateway + one adapter; do not build gateway platform</w:t>
            </w:r>
          </w:p>
        </w:tc>
      </w:tr>
      <w:tr>
        <w:trPr>
          <w:cantSplit/>
        </w:trPr>
        <w:tc>
          <w:tcPr>
            <w:tcW w:type="dxa" w:w="518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3F6F8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9"/>
              </w:rPr>
              <w:t>Charts</w:t>
            </w:r>
          </w:p>
        </w:tc>
        <w:tc>
          <w:tcPr>
            <w:tcW w:type="dxa" w:w="518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3F6F8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9"/>
              </w:rPr>
              <w:t>Reuse ECharts</w:t>
            </w:r>
          </w:p>
        </w:tc>
      </w:tr>
      <w:tr>
        <w:trPr>
          <w:cantSplit/>
        </w:trPr>
        <w:tc>
          <w:tcPr>
            <w:tcW w:type="dxa" w:w="518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9"/>
              </w:rPr>
              <w:t>Frontend UI</w:t>
            </w:r>
          </w:p>
        </w:tc>
        <w:tc>
          <w:tcPr>
            <w:tcW w:type="dxa" w:w="518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9"/>
              </w:rPr>
              <w:t>Build thin Phase0 UI; no design system</w:t>
            </w:r>
          </w:p>
        </w:tc>
      </w:tr>
      <w:tr>
        <w:trPr>
          <w:cantSplit/>
        </w:trPr>
        <w:tc>
          <w:tcPr>
            <w:tcW w:type="dxa" w:w="518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3F6F8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9"/>
              </w:rPr>
              <w:t>Voice / STT / TTS</w:t>
            </w:r>
          </w:p>
        </w:tc>
        <w:tc>
          <w:tcPr>
            <w:tcW w:type="dxa" w:w="518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3F6F8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9"/>
              </w:rPr>
              <w:t>Do not build in Phase0</w:t>
            </w:r>
          </w:p>
        </w:tc>
      </w:tr>
      <w:tr>
        <w:trPr>
          <w:cantSplit/>
        </w:trPr>
        <w:tc>
          <w:tcPr>
            <w:tcW w:type="dxa" w:w="518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9"/>
              </w:rPr>
              <w:t>IAM / SSO</w:t>
            </w:r>
          </w:p>
        </w:tc>
        <w:tc>
          <w:tcPr>
            <w:tcW w:type="dxa" w:w="518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9"/>
              </w:rPr>
              <w:t>Do not build in Phase0</w:t>
            </w:r>
          </w:p>
        </w:tc>
      </w:tr>
      <w:tr>
        <w:trPr>
          <w:cantSplit/>
        </w:trPr>
        <w:tc>
          <w:tcPr>
            <w:tcW w:type="dxa" w:w="518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3F6F8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9"/>
              </w:rPr>
              <w:t>Generic connectors / generic semantic platform</w:t>
            </w:r>
          </w:p>
        </w:tc>
        <w:tc>
          <w:tcPr>
            <w:tcW w:type="dxa" w:w="518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3F6F8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9"/>
              </w:rPr>
              <w:t>Do not build</w:t>
            </w:r>
          </w:p>
        </w:tc>
      </w:tr>
    </w:tbl>
    <w:p>
      <w:pPr>
        <w:spacing w:after="20"/>
      </w:pPr>
    </w:p>
    <w:p>
      <w:pPr>
        <w:pStyle w:val="Heading1"/>
        <w:spacing w:before="0" w:after="100" w:line="293" w:lineRule="auto"/>
      </w:pPr>
      <w:r>
        <w:rPr>
          <w:rFonts w:ascii="Noto Sans CJK TC" w:hAnsi="Noto Sans CJK TC" w:eastAsia="Noto Sans CJK TC"/>
          <w:b w:val="0"/>
          <w:i w:val="0"/>
          <w:color w:val="222222"/>
          <w:sz w:val="26"/>
        </w:rPr>
        <w:t>20. Required Evidence / Handoff Artifacts</w:t>
      </w:r>
    </w:p>
    <w:p>
      <w:pPr>
        <w:pStyle w:val="ListBullet"/>
        <w:spacing w:after="40" w:line="276" w:lineRule="auto"/>
      </w:pPr>
      <w:r>
        <w:rPr>
          <w:rFonts w:ascii="Noto Sans CJK TC" w:hAnsi="Noto Sans CJK TC" w:eastAsia="Noto Sans CJK TC"/>
          <w:b w:val="0"/>
          <w:i w:val="0"/>
          <w:color w:val="222222"/>
          <w:sz w:val="25"/>
        </w:rPr>
        <w:t>evidence/WP1: service list、SSMS connectivity、SSAS mode proof。</w:t>
      </w:r>
    </w:p>
    <w:p>
      <w:pPr>
        <w:pStyle w:val="ListBullet"/>
        <w:spacing w:after="40" w:line="276" w:lineRule="auto"/>
      </w:pPr>
      <w:r>
        <w:rPr>
          <w:rFonts w:ascii="Noto Sans CJK TC" w:hAnsi="Noto Sans CJK TC" w:eastAsia="Noto Sans CJK TC"/>
          <w:b w:val="0"/>
          <w:i w:val="0"/>
          <w:color w:val="222222"/>
          <w:sz w:val="25"/>
        </w:rPr>
        <w:t>evidence/WP2: Adventure Works deployment/process + MDX result。</w:t>
      </w:r>
    </w:p>
    <w:p>
      <w:pPr>
        <w:pStyle w:val="ListBullet"/>
        <w:spacing w:after="40" w:line="276" w:lineRule="auto"/>
      </w:pPr>
      <w:r>
        <w:rPr>
          <w:rFonts w:ascii="Noto Sans CJK TC" w:hAnsi="Noto Sans CJK TC" w:eastAsia="Noto Sans CJK TC"/>
          <w:b w:val="0"/>
          <w:i w:val="0"/>
          <w:color w:val="222222"/>
          <w:sz w:val="25"/>
        </w:rPr>
        <w:t>evidence/WP3: row counts + SQL ground truth outputs。</w:t>
      </w:r>
    </w:p>
    <w:p>
      <w:pPr>
        <w:pStyle w:val="ListBullet"/>
        <w:spacing w:after="40" w:line="276" w:lineRule="auto"/>
      </w:pPr>
      <w:r>
        <w:rPr>
          <w:rFonts w:ascii="Noto Sans CJK TC" w:hAnsi="Noto Sans CJK TC" w:eastAsia="Noto Sans CJK TC"/>
          <w:b w:val="0"/>
          <w:i w:val="0"/>
          <w:color w:val="222222"/>
          <w:sz w:val="25"/>
        </w:rPr>
        <w:t>evidence/WP4: cube object screenshots/export、process success。</w:t>
      </w:r>
    </w:p>
    <w:p>
      <w:pPr>
        <w:pStyle w:val="ListBullet"/>
        <w:spacing w:after="40" w:line="276" w:lineRule="auto"/>
      </w:pPr>
      <w:r>
        <w:rPr>
          <w:rFonts w:ascii="Noto Sans CJK TC" w:hAnsi="Noto Sans CJK TC" w:eastAsia="Noto Sans CJK TC"/>
          <w:b w:val="0"/>
          <w:i w:val="0"/>
          <w:color w:val="222222"/>
          <w:sz w:val="25"/>
        </w:rPr>
        <w:t>evidence/WP5: MDX result vs expected comparison。</w:t>
      </w:r>
    </w:p>
    <w:p>
      <w:pPr>
        <w:pStyle w:val="ListBullet"/>
        <w:spacing w:after="40" w:line="276" w:lineRule="auto"/>
      </w:pPr>
      <w:r>
        <w:rPr>
          <w:rFonts w:ascii="Noto Sans CJK TC" w:hAnsi="Noto Sans CJK TC" w:eastAsia="Noto Sans CJK TC"/>
          <w:b w:val="0"/>
          <w:i w:val="0"/>
          <w:color w:val="222222"/>
          <w:sz w:val="25"/>
        </w:rPr>
        <w:t>evidence/WP6: ADOMD metadata/query integration test log。</w:t>
      </w:r>
    </w:p>
    <w:p>
      <w:pPr>
        <w:pStyle w:val="ListBullet"/>
        <w:spacing w:after="40" w:line="276" w:lineRule="auto"/>
      </w:pPr>
      <w:r>
        <w:rPr>
          <w:rFonts w:ascii="Noto Sans CJK TC" w:hAnsi="Noto Sans CJK TC" w:eastAsia="Noto Sans CJK TC"/>
          <w:b w:val="0"/>
          <w:i w:val="0"/>
          <w:color w:val="222222"/>
          <w:sz w:val="25"/>
        </w:rPr>
        <w:t>evidence/WP8: compiler snapshot tests、policy tests。</w:t>
      </w:r>
    </w:p>
    <w:p>
      <w:pPr>
        <w:pStyle w:val="ListBullet"/>
        <w:spacing w:after="40" w:line="276" w:lineRule="auto"/>
      </w:pPr>
      <w:r>
        <w:rPr>
          <w:rFonts w:ascii="Noto Sans CJK TC" w:hAnsi="Noto Sans CJK TC" w:eastAsia="Noto Sans CJK TC"/>
          <w:b w:val="0"/>
          <w:i w:val="0"/>
          <w:color w:val="222222"/>
          <w:sz w:val="25"/>
        </w:rPr>
        <w:t>evidence/WP9: LLM structured-output samples（不得含 secret）。</w:t>
      </w:r>
    </w:p>
    <w:p>
      <w:pPr>
        <w:pStyle w:val="ListBullet"/>
        <w:spacing w:after="40" w:line="276" w:lineRule="auto"/>
      </w:pPr>
      <w:r>
        <w:rPr>
          <w:rFonts w:ascii="Noto Sans CJK TC" w:hAnsi="Noto Sans CJK TC" w:eastAsia="Noto Sans CJK TC"/>
          <w:b w:val="0"/>
          <w:i w:val="0"/>
          <w:color w:val="222222"/>
          <w:sz w:val="25"/>
        </w:rPr>
        <w:t>evidence/WP12: evaluation-report.json + failure list (if any)。</w:t>
      </w:r>
    </w:p>
    <w:p>
      <w:pPr>
        <w:pStyle w:val="ListBullet"/>
        <w:spacing w:after="40" w:line="276" w:lineRule="auto"/>
      </w:pPr>
      <w:r>
        <w:rPr>
          <w:rFonts w:ascii="Noto Sans CJK TC" w:hAnsi="Noto Sans CJK TC" w:eastAsia="Noto Sans CJK TC"/>
          <w:b w:val="0"/>
          <w:i w:val="0"/>
          <w:color w:val="222222"/>
          <w:sz w:val="25"/>
        </w:rPr>
        <w:t>Source repository：backend / frontend / semantic / evaluation + lock files。</w:t>
      </w:r>
    </w:p>
    <w:p>
      <w:pPr>
        <w:pStyle w:val="Heading1"/>
        <w:spacing w:before="0" w:after="100" w:line="293" w:lineRule="auto"/>
      </w:pPr>
      <w:r>
        <w:rPr>
          <w:rFonts w:ascii="Noto Sans CJK TC" w:hAnsi="Noto Sans CJK TC" w:eastAsia="Noto Sans CJK TC"/>
          <w:b w:val="0"/>
          <w:i w:val="0"/>
          <w:color w:val="222222"/>
          <w:sz w:val="26"/>
        </w:rPr>
        <w:t>21. Coding Agent 一次施工 Checklist</w:t>
      </w:r>
    </w:p>
    <w:p>
      <w:pPr>
        <w:pStyle w:val="ListNumber"/>
        <w:spacing w:after="40" w:line="276" w:lineRule="auto"/>
      </w:pPr>
      <w:r>
        <w:rPr>
          <w:rFonts w:ascii="Noto Sans CJK TC" w:hAnsi="Noto Sans CJK TC" w:eastAsia="Noto Sans CJK TC"/>
          <w:b w:val="0"/>
          <w:i w:val="0"/>
          <w:color w:val="222222"/>
          <w:sz w:val="25"/>
        </w:rPr>
        <w:t>讀 Project Plan v2.0、本 Implementation Spec、Synthetic Dataset Spec/README。建立 execution log。</w:t>
      </w:r>
    </w:p>
    <w:p>
      <w:pPr>
        <w:pStyle w:val="ListNumber"/>
        <w:spacing w:after="40" w:line="276" w:lineRule="auto"/>
      </w:pPr>
      <w:r>
        <w:rPr>
          <w:rFonts w:ascii="Noto Sans CJK TC" w:hAnsi="Noto Sans CJK TC" w:eastAsia="Noto Sans CJK TC"/>
          <w:b w:val="0"/>
          <w:i w:val="0"/>
          <w:color w:val="222222"/>
          <w:sz w:val="25"/>
        </w:rPr>
        <w:t>WP0 Preflight。</w:t>
      </w:r>
    </w:p>
    <w:p>
      <w:pPr>
        <w:pStyle w:val="ListNumber"/>
        <w:spacing w:after="40" w:line="276" w:lineRule="auto"/>
      </w:pPr>
      <w:r>
        <w:rPr>
          <w:rFonts w:ascii="Noto Sans CJK TC" w:hAnsi="Noto Sans CJK TC" w:eastAsia="Noto Sans CJK TC"/>
          <w:b w:val="0"/>
          <w:i w:val="0"/>
          <w:color w:val="222222"/>
          <w:sz w:val="25"/>
        </w:rPr>
        <w:t>WP1 安裝／驗證 SQL Server + SSAS Multidimensional + SSMS + VS AS Projects。</w:t>
      </w:r>
    </w:p>
    <w:p>
      <w:pPr>
        <w:pStyle w:val="ListNumber"/>
        <w:spacing w:after="40" w:line="276" w:lineRule="auto"/>
      </w:pPr>
      <w:r>
        <w:rPr>
          <w:rFonts w:ascii="Noto Sans CJK TC" w:hAnsi="Noto Sans CJK TC" w:eastAsia="Noto Sans CJK TC"/>
          <w:b w:val="0"/>
          <w:i w:val="0"/>
          <w:color w:val="222222"/>
          <w:sz w:val="25"/>
        </w:rPr>
        <w:t>WP2 Restore AdventureWorksDW2019、部署官方 Lesson 10、跑 MDX。</w:t>
      </w:r>
    </w:p>
    <w:p>
      <w:pPr>
        <w:pStyle w:val="ListNumber"/>
        <w:spacing w:after="40" w:line="276" w:lineRule="auto"/>
      </w:pPr>
      <w:r>
        <w:rPr>
          <w:rFonts w:ascii="Noto Sans CJK TC" w:hAnsi="Noto Sans CJK TC" w:eastAsia="Noto Sans CJK TC"/>
          <w:b w:val="0"/>
          <w:i w:val="0"/>
          <w:color w:val="222222"/>
          <w:sz w:val="25"/>
        </w:rPr>
        <w:t>WP3 建 SyntheticSalesBI、載入 CSV、驗 row counts / events。</w:t>
      </w:r>
    </w:p>
    <w:p>
      <w:pPr>
        <w:pStyle w:val="ListNumber"/>
        <w:spacing w:after="40" w:line="276" w:lineRule="auto"/>
      </w:pPr>
      <w:r>
        <w:rPr>
          <w:rFonts w:ascii="Noto Sans CJK TC" w:hAnsi="Noto Sans CJK TC" w:eastAsia="Noto Sans CJK TC"/>
          <w:b w:val="0"/>
          <w:i w:val="0"/>
          <w:color w:val="222222"/>
          <w:sz w:val="25"/>
        </w:rPr>
        <w:t>WP4 建 Synthetic Sales BI SSAS project，依固定 object names 建 dimensions / measure groups / calculations；process。</w:t>
      </w:r>
    </w:p>
    <w:p>
      <w:pPr>
        <w:pStyle w:val="ListNumber"/>
        <w:spacing w:after="40" w:line="276" w:lineRule="auto"/>
      </w:pPr>
      <w:r>
        <w:rPr>
          <w:rFonts w:ascii="Noto Sans CJK TC" w:hAnsi="Noto Sans CJK TC" w:eastAsia="Noto Sans CJK TC"/>
          <w:b w:val="0"/>
          <w:i w:val="0"/>
          <w:color w:val="222222"/>
          <w:sz w:val="25"/>
        </w:rPr>
        <w:t>WP5 跑 MDX Ground Truth。</w:t>
      </w:r>
    </w:p>
    <w:p>
      <w:pPr>
        <w:pStyle w:val="ListNumber"/>
        <w:spacing w:after="40" w:line="276" w:lineRule="auto"/>
      </w:pPr>
      <w:r>
        <w:rPr>
          <w:rFonts w:ascii="Noto Sans CJK TC" w:hAnsi="Noto Sans CJK TC" w:eastAsia="Noto Sans CJK TC"/>
          <w:b w:val="0"/>
          <w:i w:val="0"/>
          <w:color w:val="222222"/>
          <w:sz w:val="25"/>
        </w:rPr>
        <w:t>WP6 建 .NET solution，安裝/鎖 Microsoft.AnalysisServices.AdomdClient，完成 smoke tests。</w:t>
      </w:r>
    </w:p>
    <w:p>
      <w:pPr>
        <w:pStyle w:val="ListNumber"/>
        <w:spacing w:after="40" w:line="276" w:lineRule="auto"/>
      </w:pPr>
      <w:r>
        <w:rPr>
          <w:rFonts w:ascii="Noto Sans CJK TC" w:hAnsi="Noto Sans CJK TC" w:eastAsia="Noto Sans CJK TC"/>
          <w:b w:val="0"/>
          <w:i w:val="0"/>
          <w:color w:val="222222"/>
          <w:sz w:val="25"/>
        </w:rPr>
        <w:t>WP7 建 normalized metadata catalog + member resolver。</w:t>
      </w:r>
    </w:p>
    <w:p>
      <w:pPr>
        <w:pStyle w:val="ListNumber"/>
        <w:spacing w:after="40" w:line="276" w:lineRule="auto"/>
      </w:pPr>
      <w:r>
        <w:rPr>
          <w:rFonts w:ascii="Noto Sans CJK TC" w:hAnsi="Noto Sans CJK TC" w:eastAsia="Noto Sans CJK TC"/>
          <w:b w:val="0"/>
          <w:i w:val="0"/>
          <w:color w:val="222222"/>
          <w:sz w:val="25"/>
        </w:rPr>
        <w:t>WP8 實作 DTO/schema、resolver、policy validator、MDX compiler；先 unit tests 再 integration。</w:t>
      </w:r>
    </w:p>
    <w:p>
      <w:pPr>
        <w:pStyle w:val="ListNumber"/>
        <w:spacing w:after="40" w:line="276" w:lineRule="auto"/>
      </w:pPr>
      <w:r>
        <w:rPr>
          <w:rFonts w:ascii="Noto Sans CJK TC" w:hAnsi="Noto Sans CJK TC" w:eastAsia="Noto Sans CJK TC"/>
          <w:b w:val="0"/>
          <w:i w:val="0"/>
          <w:color w:val="222222"/>
          <w:sz w:val="25"/>
        </w:rPr>
        <w:t>WP9 實作 IModelGateway + one adapter，structured SemanticIntentDraft；不產 MDX。</w:t>
      </w:r>
    </w:p>
    <w:p>
      <w:pPr>
        <w:pStyle w:val="ListNumber"/>
        <w:spacing w:after="40" w:line="276" w:lineRule="auto"/>
      </w:pPr>
      <w:r>
        <w:rPr>
          <w:rFonts w:ascii="Noto Sans CJK TC" w:hAnsi="Noto Sans CJK TC" w:eastAsia="Noto Sans CJK TC"/>
          <w:b w:val="0"/>
          <w:i w:val="0"/>
          <w:color w:val="222222"/>
          <w:sz w:val="25"/>
        </w:rPr>
        <w:t>WP10 串 /api/ask，產 Evidence Trace。</w:t>
      </w:r>
    </w:p>
    <w:p>
      <w:pPr>
        <w:pStyle w:val="ListNumber"/>
        <w:spacing w:after="40" w:line="276" w:lineRule="auto"/>
      </w:pPr>
      <w:r>
        <w:rPr>
          <w:rFonts w:ascii="Noto Sans CJK TC" w:hAnsi="Noto Sans CJK TC" w:eastAsia="Noto Sans CJK TC"/>
          <w:b w:val="0"/>
          <w:i w:val="0"/>
          <w:color w:val="222222"/>
          <w:sz w:val="25"/>
        </w:rPr>
        <w:t>WP11 建 React/ECharts minimal UI。</w:t>
      </w:r>
    </w:p>
    <w:p>
      <w:pPr>
        <w:pStyle w:val="ListNumber"/>
        <w:spacing w:after="40" w:line="276" w:lineRule="auto"/>
      </w:pPr>
      <w:r>
        <w:rPr>
          <w:rFonts w:ascii="Noto Sans CJK TC" w:hAnsi="Noto Sans CJK TC" w:eastAsia="Noto Sans CJK TC"/>
          <w:b w:val="0"/>
          <w:i w:val="0"/>
          <w:color w:val="222222"/>
          <w:sz w:val="25"/>
        </w:rPr>
        <w:t>WP12 跑 17 題 Phase 0 Required Golden Questions（及 25 題全集狀態分類驗證）、輸出 evaluation report。</w:t>
      </w:r>
    </w:p>
    <w:p>
      <w:pPr>
        <w:pStyle w:val="ListNumber"/>
        <w:spacing w:after="40" w:line="276" w:lineRule="auto"/>
      </w:pPr>
      <w:r>
        <w:rPr>
          <w:rFonts w:ascii="Noto Sans CJK TC" w:hAnsi="Noto Sans CJK TC" w:eastAsia="Noto Sans CJK TC"/>
          <w:b w:val="0"/>
          <w:i w:val="0"/>
          <w:color w:val="222222"/>
          <w:sz w:val="25"/>
        </w:rPr>
        <w:t>只有 P0-GATE 全 PASS 才產 Phase0 completion report；失敗則列 root cause / blocking gate，不宣告完成。</w:t>
      </w:r>
    </w:p>
    <w:p>
      <w:pPr>
        <w:pStyle w:val="Heading1"/>
        <w:spacing w:before="0" w:after="100" w:line="293" w:lineRule="auto"/>
      </w:pPr>
      <w:r>
        <w:rPr>
          <w:rFonts w:ascii="Noto Sans CJK TC" w:hAnsi="Noto Sans CJK TC" w:eastAsia="Noto Sans CJK TC"/>
          <w:b w:val="0"/>
          <w:i w:val="0"/>
          <w:color w:val="222222"/>
          <w:sz w:val="26"/>
        </w:rPr>
        <w:t>附錄 A — Exact SSAS Object Naming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0"/>
        <w:gridCol w:w="5170"/>
      </w:tblGrid>
      <w:tr>
        <w:trPr>
          <w:tblHeader w:val="true"/>
          <w:cantSplit/>
        </w:trPr>
        <w:tc>
          <w:tcPr>
            <w:tcW w:type="dxa" w:w="5170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i w:val="0"/>
                <w:color w:val="FFFFFF"/>
                <w:sz w:val="19"/>
              </w:rPr>
              <w:t>Object</w:t>
            </w:r>
          </w:p>
        </w:tc>
        <w:tc>
          <w:tcPr>
            <w:tcW w:type="dxa" w:w="5170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i w:val="0"/>
                <w:color w:val="FFFFFF"/>
                <w:sz w:val="19"/>
              </w:rPr>
              <w:t>Exact Name / Key</w:t>
            </w:r>
          </w:p>
        </w:tc>
      </w:tr>
      <w:tr>
        <w:trPr>
          <w:cantSplit/>
        </w:trPr>
        <w:tc>
          <w:tcPr>
            <w:tcW w:type="dxa" w:w="3456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9"/>
              </w:rPr>
              <w:t>SSAS Database / Cube</w:t>
            </w:r>
          </w:p>
        </w:tc>
        <w:tc>
          <w:tcPr>
            <w:tcW w:type="dxa" w:w="6912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9"/>
              </w:rPr>
              <w:t>Synthetic Sales BI</w:t>
            </w:r>
          </w:p>
        </w:tc>
      </w:tr>
      <w:tr>
        <w:trPr>
          <w:cantSplit/>
        </w:trPr>
        <w:tc>
          <w:tcPr>
            <w:tcW w:type="dxa" w:w="3456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3F6F8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9"/>
              </w:rPr>
              <w:t>Dimension</w:t>
            </w:r>
          </w:p>
        </w:tc>
        <w:tc>
          <w:tcPr>
            <w:tcW w:type="dxa" w:w="6912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3F6F8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9"/>
              </w:rPr>
              <w:t>Time / Region / Product / Customer / Salesperson</w:t>
            </w:r>
          </w:p>
        </w:tc>
      </w:tr>
      <w:tr>
        <w:trPr>
          <w:cantSplit/>
        </w:trPr>
        <w:tc>
          <w:tcPr>
            <w:tcW w:type="dxa" w:w="3456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9"/>
              </w:rPr>
              <w:t>Time hierarchy</w:t>
            </w:r>
          </w:p>
        </w:tc>
        <w:tc>
          <w:tcPr>
            <w:tcW w:type="dxa" w:w="6912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9"/>
              </w:rPr>
              <w:t>Calendar: Year → Quarter → Month</w:t>
            </w:r>
          </w:p>
        </w:tc>
      </w:tr>
      <w:tr>
        <w:trPr>
          <w:cantSplit/>
        </w:trPr>
        <w:tc>
          <w:tcPr>
            <w:tcW w:type="dxa" w:w="3456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3F6F8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9"/>
              </w:rPr>
              <w:t>Region attribute</w:t>
            </w:r>
          </w:p>
        </w:tc>
        <w:tc>
          <w:tcPr>
            <w:tcW w:type="dxa" w:w="6912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3F6F8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9"/>
              </w:rPr>
              <w:t>Region (key RegionKey, caption RegionName)</w:t>
            </w:r>
          </w:p>
        </w:tc>
      </w:tr>
      <w:tr>
        <w:trPr>
          <w:cantSplit/>
        </w:trPr>
        <w:tc>
          <w:tcPr>
            <w:tcW w:type="dxa" w:w="3456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9"/>
              </w:rPr>
              <w:t>Product hierarchy</w:t>
            </w:r>
          </w:p>
        </w:tc>
        <w:tc>
          <w:tcPr>
            <w:tcW w:type="dxa" w:w="6912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9"/>
              </w:rPr>
              <w:t>Product: Product Group → Product</w:t>
            </w:r>
          </w:p>
        </w:tc>
      </w:tr>
      <w:tr>
        <w:trPr>
          <w:cantSplit/>
        </w:trPr>
        <w:tc>
          <w:tcPr>
            <w:tcW w:type="dxa" w:w="3456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3F6F8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9"/>
              </w:rPr>
              <w:t>Customer hierarchy</w:t>
            </w:r>
          </w:p>
        </w:tc>
        <w:tc>
          <w:tcPr>
            <w:tcW w:type="dxa" w:w="6912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3F6F8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9"/>
              </w:rPr>
              <w:t>Customer: Segment → Customer Group → Customer</w:t>
            </w:r>
          </w:p>
        </w:tc>
      </w:tr>
      <w:tr>
        <w:trPr>
          <w:cantSplit/>
        </w:trPr>
        <w:tc>
          <w:tcPr>
            <w:tcW w:type="dxa" w:w="3456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9"/>
              </w:rPr>
              <w:t>Salesperson</w:t>
            </w:r>
          </w:p>
        </w:tc>
        <w:tc>
          <w:tcPr>
            <w:tcW w:type="dxa" w:w="6912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9"/>
              </w:rPr>
              <w:t>Salesperson attribute</w:t>
            </w:r>
          </w:p>
        </w:tc>
      </w:tr>
      <w:tr>
        <w:trPr>
          <w:cantSplit/>
        </w:trPr>
        <w:tc>
          <w:tcPr>
            <w:tcW w:type="dxa" w:w="3456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3F6F8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9"/>
              </w:rPr>
              <w:t>Measure Groups</w:t>
            </w:r>
          </w:p>
        </w:tc>
        <w:tc>
          <w:tcPr>
            <w:tcW w:type="dxa" w:w="6912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3F6F8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9"/>
              </w:rPr>
              <w:t>Sales / Budget</w:t>
            </w:r>
          </w:p>
        </w:tc>
      </w:tr>
      <w:tr>
        <w:trPr>
          <w:cantSplit/>
        </w:trPr>
        <w:tc>
          <w:tcPr>
            <w:tcW w:type="dxa" w:w="3456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9"/>
              </w:rPr>
              <w:t>User-facing measures</w:t>
            </w:r>
          </w:p>
        </w:tc>
        <w:tc>
          <w:tcPr>
            <w:tcW w:type="dxa" w:w="6912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9"/>
              </w:rPr>
              <w:t>Net Sales; Gross Profit; Gross Margin %; Sales Quantity; Budget Sales; Budget Achievement %; YoY Growth %</w:t>
            </w:r>
          </w:p>
        </w:tc>
      </w:tr>
      <w:tr>
        <w:trPr>
          <w:cantSplit/>
        </w:trPr>
        <w:tc>
          <w:tcPr>
            <w:tcW w:type="dxa" w:w="3456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3F6F8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9"/>
              </w:rPr>
              <w:t>Internal hidden measures</w:t>
            </w:r>
          </w:p>
        </w:tc>
        <w:tc>
          <w:tcPr>
            <w:tcW w:type="dxa" w:w="6912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3F6F8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9"/>
              </w:rPr>
              <w:t>Internal Cost; Internal Budget Gross Profit</w:t>
            </w:r>
          </w:p>
        </w:tc>
      </w:tr>
    </w:tbl>
    <w:p>
      <w:pPr>
        <w:spacing w:after="20"/>
      </w:pPr>
    </w:p>
    <w:p>
      <w:pPr>
        <w:pStyle w:val="Heading1"/>
        <w:spacing w:before="0" w:after="100" w:line="293" w:lineRule="auto"/>
      </w:pPr>
      <w:r>
        <w:rPr>
          <w:rFonts w:ascii="Noto Sans CJK TC" w:hAnsi="Noto Sans CJK TC" w:eastAsia="Noto Sans CJK TC"/>
          <w:b w:val="0"/>
          <w:i w:val="0"/>
          <w:color w:val="222222"/>
          <w:sz w:val="26"/>
        </w:rPr>
        <w:t>附錄 B — API / Contract File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0"/>
        <w:gridCol w:w="5170"/>
      </w:tblGrid>
      <w:tr>
        <w:trPr>
          <w:tblHeader w:val="true"/>
          <w:cantSplit/>
        </w:trPr>
        <w:tc>
          <w:tcPr>
            <w:tcW w:type="dxa" w:w="5170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i w:val="0"/>
                <w:color w:val="FFFFFF"/>
                <w:sz w:val="19"/>
              </w:rPr>
              <w:t>File</w:t>
            </w:r>
          </w:p>
        </w:tc>
        <w:tc>
          <w:tcPr>
            <w:tcW w:type="dxa" w:w="5170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i w:val="0"/>
                <w:color w:val="FFFFFF"/>
                <w:sz w:val="19"/>
              </w:rPr>
              <w:t>Purpose</w:t>
            </w:r>
          </w:p>
        </w:tc>
      </w:tr>
      <w:tr>
        <w:trPr>
          <w:cantSplit/>
        </w:trPr>
        <w:tc>
          <w:tcPr>
            <w:tcW w:type="dxa" w:w="5256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9"/>
              </w:rPr>
              <w:t>contracts/semantic_intent_draft.schema.json</w:t>
            </w:r>
          </w:p>
        </w:tc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9"/>
              </w:rPr>
              <w:t>LLM output schema。</w:t>
            </w:r>
          </w:p>
        </w:tc>
      </w:tr>
      <w:tr>
        <w:trPr>
          <w:cantSplit/>
        </w:trPr>
        <w:tc>
          <w:tcPr>
            <w:tcW w:type="dxa" w:w="5256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3F6F8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9"/>
              </w:rPr>
              <w:t>contracts/resolved_query_plan.schema.json</w:t>
            </w:r>
          </w:p>
        </w:tc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3F6F8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9"/>
              </w:rPr>
              <w:t>Deterministic resolved plan schema。</w:t>
            </w:r>
          </w:p>
        </w:tc>
      </w:tr>
      <w:tr>
        <w:trPr>
          <w:cantSplit/>
        </w:trPr>
        <w:tc>
          <w:tcPr>
            <w:tcW w:type="dxa" w:w="5256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9"/>
              </w:rPr>
              <w:t>contracts/visualization_spec.schema.json</w:t>
            </w:r>
          </w:p>
        </w:tc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9"/>
              </w:rPr>
              <w:t>Frontend-safe chart/table contract。</w:t>
            </w:r>
          </w:p>
        </w:tc>
      </w:tr>
      <w:tr>
        <w:trPr>
          <w:cantSplit/>
        </w:trPr>
        <w:tc>
          <w:tcPr>
            <w:tcW w:type="dxa" w:w="5256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3F6F8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9"/>
              </w:rPr>
              <w:t>evaluation/phase0_golden_ids.json</w:t>
            </w:r>
          </w:p>
        </w:tc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3F6F8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9"/>
              </w:rPr>
              <w:t>Required/deferred Golden cases。</w:t>
            </w:r>
          </w:p>
        </w:tc>
      </w:tr>
      <w:tr>
        <w:trPr>
          <w:cantSplit/>
        </w:trPr>
        <w:tc>
          <w:tcPr>
            <w:tcW w:type="dxa" w:w="5256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9"/>
              </w:rPr>
              <w:t>mdx/synthetic_ground_truth_examples.md</w:t>
            </w:r>
          </w:p>
        </w:tc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9"/>
              </w:rPr>
              <w:t>Compiler/SSAS reference queries。</w:t>
            </w:r>
          </w:p>
        </w:tc>
      </w:tr>
      <w:tr>
        <w:trPr>
          <w:cantSplit/>
        </w:trPr>
        <w:tc>
          <w:tcPr>
            <w:tcW w:type="dxa" w:w="5256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3F6F8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9"/>
              </w:rPr>
              <w:t>config/appsettings.Development.example.json</w:t>
            </w:r>
          </w:p>
        </w:tc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3F6F8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9"/>
              </w:rPr>
              <w:t>Non-secret config example。</w:t>
            </w:r>
          </w:p>
        </w:tc>
      </w:tr>
      <w:tr>
        <w:trPr>
          <w:cantSplit/>
        </w:trPr>
        <w:tc>
          <w:tcPr>
            <w:tcW w:type="dxa" w:w="5256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9"/>
              </w:rPr>
              <w:t>scripts/verify_prereqs.ps1</w:t>
            </w:r>
          </w:p>
        </w:tc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9"/>
              </w:rPr>
              <w:t>Preflight helper。</w:t>
            </w:r>
          </w:p>
        </w:tc>
      </w:tr>
    </w:tbl>
    <w:p>
      <w:pPr>
        <w:spacing w:after="20"/>
      </w:pPr>
    </w:p>
    <w:p>
      <w:pPr>
        <w:pStyle w:val="Heading1"/>
        <w:spacing w:before="0" w:after="100" w:line="293" w:lineRule="auto"/>
      </w:pPr>
      <w:r>
        <w:rPr>
          <w:rFonts w:ascii="Noto Sans CJK TC" w:hAnsi="Noto Sans CJK TC" w:eastAsia="Noto Sans CJK TC"/>
          <w:b w:val="0"/>
          <w:i w:val="0"/>
          <w:color w:val="222222"/>
          <w:sz w:val="26"/>
        </w:rPr>
        <w:t>附錄 C — Official Reference Basis（2026-10-21 驗證）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47"/>
        <w:gridCol w:w="3447"/>
        <w:gridCol w:w="3447"/>
      </w:tblGrid>
      <w:tr>
        <w:trPr>
          <w:tblHeader w:val="true"/>
          <w:cantSplit/>
        </w:trPr>
        <w:tc>
          <w:tcPr>
            <w:tcW w:type="dxa" w:w="3447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i w:val="0"/>
                <w:color w:val="FFFFFF"/>
                <w:sz w:val="17"/>
              </w:rPr>
              <w:t>ID</w:t>
            </w:r>
          </w:p>
        </w:tc>
        <w:tc>
          <w:tcPr>
            <w:tcW w:type="dxa" w:w="3447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i w:val="0"/>
                <w:color w:val="FFFFFF"/>
                <w:sz w:val="17"/>
              </w:rPr>
              <w:t>Reference</w:t>
            </w:r>
          </w:p>
        </w:tc>
        <w:tc>
          <w:tcPr>
            <w:tcW w:type="dxa" w:w="3447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i w:val="0"/>
                <w:color w:val="FFFFFF"/>
                <w:sz w:val="17"/>
              </w:rPr>
              <w:t>URL</w:t>
            </w:r>
          </w:p>
        </w:tc>
      </w:tr>
      <w:tr>
        <w:trPr>
          <w:cantSplit/>
        </w:trPr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7"/>
              </w:rPr>
              <w:t>MS1</w:t>
            </w:r>
          </w:p>
        </w:tc>
        <w:tc>
          <w:tcPr>
            <w:tcW w:type="dxa" w:w="352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7"/>
              </w:rPr>
              <w:t>Install SQL Server Analysis Services</w:t>
            </w:r>
          </w:p>
        </w:tc>
        <w:tc>
          <w:tcPr>
            <w:tcW w:type="dxa" w:w="604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7"/>
              </w:rPr>
              <w:t>https://learn.microsoft.com/zh-tw/analysis-services/instances/install-windows/install-analysis-services?view=sql-analysis-services-2025</w:t>
            </w:r>
          </w:p>
        </w:tc>
      </w:tr>
      <w:tr>
        <w:trPr>
          <w:cantSplit/>
        </w:trPr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3F6F8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7"/>
              </w:rPr>
              <w:t>MS2</w:t>
            </w:r>
          </w:p>
        </w:tc>
        <w:tc>
          <w:tcPr>
            <w:tcW w:type="dxa" w:w="352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3F6F8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7"/>
              </w:rPr>
              <w:t>Install Analysis Services sample data and projects</w:t>
            </w:r>
          </w:p>
        </w:tc>
        <w:tc>
          <w:tcPr>
            <w:tcW w:type="dxa" w:w="604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3F6F8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7"/>
              </w:rPr>
              <w:t>https://learn.microsoft.com/zh-tw/analysis-services/multidimensional-tutorial/install-sample-data-and-projects?view=sql-analysis-services-2025</w:t>
            </w:r>
          </w:p>
        </w:tc>
      </w:tr>
      <w:tr>
        <w:trPr>
          <w:cantSplit/>
        </w:trPr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7"/>
              </w:rPr>
              <w:t>MS3</w:t>
            </w:r>
          </w:p>
        </w:tc>
        <w:tc>
          <w:tcPr>
            <w:tcW w:type="dxa" w:w="352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7"/>
              </w:rPr>
              <w:t>Multidimensional Modeling (Adventure Works Tutorial)</w:t>
            </w:r>
          </w:p>
        </w:tc>
        <w:tc>
          <w:tcPr>
            <w:tcW w:type="dxa" w:w="604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7"/>
              </w:rPr>
              <w:t>https://learn.microsoft.com/en-us/analysis-services/multidimensional-tutorial/multidimensional-modeling-adventure-works-tutorial?view=sql-analysis-services-2025</w:t>
            </w:r>
          </w:p>
        </w:tc>
      </w:tr>
      <w:tr>
        <w:trPr>
          <w:cantSplit/>
        </w:trPr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3F6F8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7"/>
              </w:rPr>
              <w:t>MS4</w:t>
            </w:r>
          </w:p>
        </w:tc>
        <w:tc>
          <w:tcPr>
            <w:tcW w:type="dxa" w:w="352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3F6F8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7"/>
              </w:rPr>
              <w:t>Create an Analysis Services Project</w:t>
            </w:r>
          </w:p>
        </w:tc>
        <w:tc>
          <w:tcPr>
            <w:tcW w:type="dxa" w:w="604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3F6F8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7"/>
              </w:rPr>
              <w:t>https://learn.microsoft.com/en-us/analysis-services/multidimensional-models/create-an-analysis-services-project-ssdt?view=sql-analysis-services-2025</w:t>
            </w:r>
          </w:p>
        </w:tc>
      </w:tr>
      <w:tr>
        <w:trPr>
          <w:cantSplit/>
        </w:trPr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7"/>
              </w:rPr>
              <w:t>MS5</w:t>
            </w:r>
          </w:p>
        </w:tc>
        <w:tc>
          <w:tcPr>
            <w:tcW w:type="dxa" w:w="352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7"/>
              </w:rPr>
              <w:t>Analysis Services client libraries</w:t>
            </w:r>
          </w:p>
        </w:tc>
        <w:tc>
          <w:tcPr>
            <w:tcW w:type="dxa" w:w="604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7"/>
              </w:rPr>
              <w:t>https://learn.microsoft.com/en-us/analysis-services/client-libraries?view=sql-analysis-services-2025</w:t>
            </w:r>
          </w:p>
        </w:tc>
      </w:tr>
      <w:tr>
        <w:trPr>
          <w:cantSplit/>
        </w:trPr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3F6F8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7"/>
              </w:rPr>
              <w:t>MS6</w:t>
            </w:r>
          </w:p>
        </w:tc>
        <w:tc>
          <w:tcPr>
            <w:tcW w:type="dxa" w:w="352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3F6F8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7"/>
              </w:rPr>
              <w:t>ADOMD.NET Client Programming</w:t>
            </w:r>
          </w:p>
        </w:tc>
        <w:tc>
          <w:tcPr>
            <w:tcW w:type="dxa" w:w="604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3F6F8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7"/>
              </w:rPr>
              <w:t>https://learn.microsoft.com/zh-tw/analysis-services/adomd/multidimensional-models-adomd-net-client/adomd-net-client-programming?view=sql-analysis-services-2025</w:t>
            </w:r>
          </w:p>
        </w:tc>
      </w:tr>
      <w:tr>
        <w:trPr>
          <w:cantSplit/>
        </w:trPr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7"/>
              </w:rPr>
              <w:t>MS7</w:t>
            </w:r>
          </w:p>
        </w:tc>
        <w:tc>
          <w:tcPr>
            <w:tcW w:type="dxa" w:w="352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7"/>
              </w:rPr>
              <w:t>IgnoreUnrelatedDimensions</w:t>
            </w:r>
          </w:p>
        </w:tc>
        <w:tc>
          <w:tcPr>
            <w:tcW w:type="dxa" w:w="604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7"/>
              </w:rPr>
              <w:t>https://learn.microsoft.com/en-us/analysis-services/assl/properties/ignoreunrelateddimensions-element-assl?view=sql-analysis-services-2025</w:t>
            </w:r>
          </w:p>
        </w:tc>
      </w:tr>
      <w:tr>
        <w:trPr>
          <w:cantSplit/>
        </w:trPr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3F6F8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7"/>
              </w:rPr>
              <w:t>MS8</w:t>
            </w:r>
          </w:p>
        </w:tc>
        <w:tc>
          <w:tcPr>
            <w:tcW w:type="dxa" w:w="352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3F6F8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7"/>
              </w:rPr>
              <w:t>AdventureWorks sample database releases</w:t>
            </w:r>
          </w:p>
        </w:tc>
        <w:tc>
          <w:tcPr>
            <w:tcW w:type="dxa" w:w="604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F3F6F8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7"/>
              </w:rPr>
              <w:t>https://github.com/microsoft/sql-server-samples/releases</w:t>
            </w:r>
          </w:p>
        </w:tc>
      </w:tr>
      <w:tr>
        <w:trPr>
          <w:cantSplit/>
        </w:trPr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7"/>
              </w:rPr>
              <w:t>MS9</w:t>
            </w:r>
          </w:p>
        </w:tc>
        <w:tc>
          <w:tcPr>
            <w:tcW w:type="dxa" w:w="352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7"/>
              </w:rPr>
              <w:t>Microsoft.AnalysisServices.AdomdClient NuGet</w:t>
            </w:r>
          </w:p>
        </w:tc>
        <w:tc>
          <w:tcPr>
            <w:tcW w:type="dxa" w:w="604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17"/>
              </w:rPr>
              <w:t>https://www.nuget.org/packages/Microsoft.AnalysisServices.AdomdClient</w:t>
            </w:r>
          </w:p>
        </w:tc>
      </w:tr>
    </w:tbl>
    <w:p>
      <w:pPr>
        <w:spacing w:after="20"/>
      </w:pPr>
    </w:p>
    <w:p>
      <w:pPr>
        <w:pStyle w:val="Heading1"/>
        <w:spacing w:before="0" w:after="100" w:line="293" w:lineRule="auto"/>
      </w:pPr>
      <w:r>
        <w:rPr>
          <w:rFonts w:ascii="Noto Sans CJK TC" w:hAnsi="Noto Sans CJK TC" w:eastAsia="Noto Sans CJK TC"/>
          <w:b w:val="0"/>
          <w:i w:val="0"/>
          <w:color w:val="222222"/>
          <w:sz w:val="26"/>
        </w:rPr>
        <w:t>附錄 D — Completion Report Template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40"/>
      </w:tblGrid>
      <w:tr>
        <w:trPr>
          <w:cantSplit/>
        </w:trPr>
        <w:tc>
          <w:tcPr>
            <w:tcW w:type="dxa" w:w="10340"/>
            <w:shd w:fill="F7F7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222222"/>
                <w:sz w:val="17"/>
              </w:rPr>
              <w:t>Phase 0 Home Lab Completion Report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22222"/>
                <w:sz w:val="17"/>
              </w:rPr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22222"/>
                <w:sz w:val="17"/>
              </w:rPr>
              <w:t>Environment: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22222"/>
                <w:sz w:val="17"/>
              </w:rPr>
              <w:t>- Windows: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22222"/>
                <w:sz w:val="17"/>
              </w:rPr>
              <w:t>- SQL Server: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22222"/>
                <w:sz w:val="17"/>
              </w:rPr>
              <w:t>- SSAS instance / mode: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22222"/>
                <w:sz w:val="17"/>
              </w:rPr>
              <w:t>- SSAS service account: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22222"/>
                <w:sz w:val="17"/>
              </w:rPr>
              <w:t>- .NET SDK: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22222"/>
                <w:sz w:val="17"/>
              </w:rPr>
              <w:t>- ADOMD package: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22222"/>
                <w:sz w:val="17"/>
              </w:rPr>
              <w:t>- Node/npm: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22222"/>
                <w:sz w:val="17"/>
              </w:rPr>
              <w:t>- LLM adapter/model: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22222"/>
                <w:sz w:val="17"/>
              </w:rPr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22222"/>
                <w:sz w:val="17"/>
              </w:rPr>
              <w:t>Gate status: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22222"/>
                <w:sz w:val="17"/>
              </w:rPr>
              <w:t>WP0 [ ] PASS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22222"/>
                <w:sz w:val="17"/>
              </w:rPr>
              <w:t>WP1 [ ] PASS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22222"/>
                <w:sz w:val="17"/>
              </w:rPr>
              <w:t>WP2 [ ] PASS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22222"/>
                <w:sz w:val="17"/>
              </w:rPr>
              <w:t>WP3 [ ] PASS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22222"/>
                <w:sz w:val="17"/>
              </w:rPr>
              <w:t>WP4 [ ] PASS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22222"/>
                <w:sz w:val="17"/>
              </w:rPr>
              <w:t>WP5 [ ] PASS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22222"/>
                <w:sz w:val="17"/>
              </w:rPr>
              <w:t>WP6 [ ] PASS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22222"/>
                <w:sz w:val="17"/>
              </w:rPr>
              <w:t>WP7 [ ] PASS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22222"/>
                <w:sz w:val="17"/>
              </w:rPr>
              <w:t>WP8 [ ] PASS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22222"/>
                <w:sz w:val="17"/>
              </w:rPr>
              <w:t>WP9 [ ] PASS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22222"/>
                <w:sz w:val="17"/>
              </w:rPr>
              <w:t>WP10 [ ] PASS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22222"/>
                <w:sz w:val="17"/>
              </w:rPr>
              <w:t>WP11 [ ] PASS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22222"/>
                <w:sz w:val="17"/>
              </w:rPr>
              <w:t>WP12 [ ] PASS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22222"/>
                <w:sz w:val="17"/>
              </w:rPr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22222"/>
                <w:sz w:val="17"/>
              </w:rPr>
              <w:t>Golden: __ / 17 passed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22222"/>
                <w:sz w:val="17"/>
              </w:rPr>
              <w:t>Blocking defects: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22222"/>
                <w:sz w:val="17"/>
              </w:rPr>
              <w:t>Known limitations: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22222"/>
                <w:sz w:val="17"/>
              </w:rPr>
              <w:t>Evidence directory: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22222"/>
                <w:sz w:val="17"/>
              </w:rPr>
              <w:t>Final decision: PASS / FAIL / CONDITIONAL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40"/>
      </w:tblGrid>
      <w:tr>
        <w:trPr>
          <w:cantSplit/>
        </w:trPr>
        <w:tc>
          <w:tcPr>
            <w:tcW w:type="dxa" w:w="10340"/>
            <w:shd w:fill="E2F0D9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b/>
                <w:i w:val="0"/>
                <w:color w:val="17365D"/>
                <w:sz w:val="24"/>
              </w:rPr>
              <w:t>文件結論</w:t>
            </w:r>
          </w:p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222222"/>
                <w:sz w:val="23"/>
              </w:rPr>
              <w:t>這份 v2.0 將 Home Lab Phase 0 的可行性重驗鎖定成一條窄而完整的 Vertical Slice。Coding Agent 的責任是逐 Gate 證明環境、資料、Cube、Query、AI 與 UI；不是擴充 Target State。Phase 0 PASS 後，才以 Project Plan 進入 Phase 1 Governed Core Spine。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835" w:right="950" w:bottom="835" w:left="9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ns1="http://schemas.openxmlformats.org/markup-compatibility/2006" xmlns:w="http://schemas.openxmlformats.org/wordprocessingml/2006/main" ns1:Ignorable="w14 wp14">
  <w:p>
    <w:pPr>
      <w:pStyle w:val="Footer"/>
    </w:pPr>
    <w:r>
      <w:rPr>
        <w:rFonts w:ascii="Noto Sans CJK TC" w:hAnsi="Noto Sans CJK TC" w:eastAsia="Noto Sans CJK TC"/>
        <w:b w:val="0"/>
        <w:i w:val="0"/>
        <w:color w:val="777777"/>
        <w:sz w:val="17"/>
      </w:rPr>
      <w:t>FULL Cumulative｜2026-10-21 | v2.0</w:t>
    </w:r>
  </w:p>
  <w:p>
    <w:pPr>
      <w:jc w:val="right"/>
    </w:pPr>
    <w:r>
      <w:rPr>
        <w:rFonts w:ascii="Noto Sans CJK TC" w:hAnsi="Noto Sans CJK TC" w:eastAsia="Noto Sans CJK TC"/>
        <w:b w:val="0"/>
        <w:i w:val="0"/>
        <w:color w:val="666666"/>
        <w:sz w:val="17"/>
      </w:rPr>
      <w:t xml:space="preserve">第 </w:t>
      <w:fldChar w:fldCharType="begin"/>
      <w:instrText xml:space="preserve"> PAGE </w:instrText>
      <w:fldChar w:fldCharType="end"/>
    </w:r>
    <w:r>
      <w:rPr>
        <w:rFonts w:ascii="Noto Sans CJK TC" w:hAnsi="Noto Sans CJK TC" w:eastAsia="Noto Sans CJK TC"/>
        <w:b w:val="0"/>
        <w:i w:val="0"/>
        <w:color w:val="666666"/>
        <w:sz w:val="17"/>
      </w:rPr>
      <w:t xml:space="preserve"> 頁</w:t>
    </w:r>
  </w:p>
</w:ftr>
</file>

<file path=word/header1.xml><?xml version="1.0" encoding="utf-8"?>
<w:hdr xmlns:ns1="http://schemas.openxmlformats.org/markup-compatibility/2006" xmlns:w="http://schemas.openxmlformats.org/wordprocessingml/2006/main" ns1:Ignorable="w14 wp14">
  <w:p>
    <w:pPr>
      <w:pStyle w:val="Header"/>
      <w:jc w:val="right"/>
    </w:pPr>
    <w:r>
      <w:rPr>
        <w:rFonts w:ascii="Noto Sans CJK TC" w:hAnsi="Noto Sans CJK TC" w:eastAsia="Noto Sans CJK TC"/>
        <w:b w:val="0"/>
        <w:i w:val="0"/>
        <w:color w:val="777777"/>
        <w:sz w:val="17"/>
      </w:rPr>
      <w:t>AI Powered BI｜Phase 0 Home Lab Implementation v2.0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93" w:lineRule="auto" w:after="100"/>
    </w:pPr>
    <w:rPr>
      <w:rFonts w:ascii="Noto Sans CJK TC" w:hAnsi="Noto Sans CJK TC" w:eastAsia="Noto Sans CJK TC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44546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44546A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Noto Sans CJK TC" w:hAnsi="Noto Sans CJK TC" w:eastAsia="Noto Sans CJK TC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2026-10-21T12:00:00Z</dcterms:created>
  <dcterms:modified xsi:type="dcterms:W3CDTF">2026-10-21T12:00:00Z</dcterms:modified>
  <cp:category/>
</cp:coreProperties>
</file>