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48"/>
        </w:rPr>
        <w:t>Coding AI Governance Charter</w:t>
      </w:r>
    </w:p>
    <w:p>
      <w:pPr>
        <w:spacing w:before="0" w:after="440" w:line="259" w:lineRule="auto"/>
        <w:jc w:val="center"/>
      </w:pPr>
      <w:r>
        <w:rPr>
          <w:rFonts w:ascii="Aptos" w:hAnsi="Aptos"/>
          <w:color w:val="5A5A5A"/>
          <w:sz w:val="22"/>
        </w:rPr>
        <w:t>Adaptive Retail Advertising MVP · v1.0 draft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792"/>
            <w:shd w:fill="F2F6F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1F4E79"/>
                <w:sz w:val="21"/>
              </w:rPr>
              <w:t>Purpose</w:t>
            </w:r>
          </w:p>
          <w:p>
            <w:pPr>
              <w:pStyle w:val="BodyText"/>
              <w:spacing w:before="0" w:after="0" w:line="264" w:lineRule="auto"/>
            </w:pPr>
            <w:r>
              <w:t>Govern AI-assisted software implementation for the privacy-first adaptive retail advertising MVP. The governance charter acts as both a human-readable implementation constitution and a pseudo-system prompt for coding agents.</w:t>
            </w:r>
          </w:p>
        </w:tc>
      </w:tr>
    </w:tbl>
    <w:p/>
    <w:p>
      <w:pPr>
        <w:pStyle w:val="BodyText"/>
        <w:spacing w:before="0" w:after="160" w:line="259" w:lineRule="auto"/>
      </w:pPr>
      <w:r>
        <w:rPr>
          <w:b/>
        </w:rPr>
        <w:t xml:space="preserve">Document intent. </w:t>
      </w:r>
      <w:r>
        <w:t>This charter governs AI-assisted software implementation for the project and should be read before any coding task begins. It is ordered for AI ingestion: behavior, constraints, source precedence, workflow, quality gates, and operational artifacts.</w:t>
      </w:r>
    </w:p>
    <w:p>
      <w:pPr>
        <w:pStyle w:val="Heading1"/>
      </w:pPr>
      <w:r>
        <w:t>1. Executive Summary / Pseudo-System Prompt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Operate as a contract-bound implementation agent for a privacy-first, local-first, single-device adaptive signage MVP.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Use the highest-revision active project documents as authoritative; older revisions are context only.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Protect locked invariants: no raw image persistence, no identity recognition, no cross-visit tracking, approved-only rendering, playback never blank, manual override, safe mode, WireGuard-only remote administration, and WAN-not-required runtime.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Refuse or escalate requests that are out of scope, contradictory, or that weaken privacy, reliability, or approval controls.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Implement the smallest in-scope solution on a clean extensible foundation: configurable where appropriate, typed, documented, reusable, and free of speculative capability.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Do not claim completion without senior self-review, tests, evidence, and update of required living artifacts.</w:t>
      </w:r>
    </w:p>
    <w:p>
      <w:pPr>
        <w:pStyle w:val="Heading1"/>
      </w:pPr>
      <w:r>
        <w:t>2. Purpose, Scope, and Applicability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Applies to AI-generated or AI-modified code, tests, refactors, migrations, configuration, interface changes, documentation updates, and implementation analysis.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Applies to coding agents such as Claude, Codex, or equivalent assistants operating within the project guidance folder.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Does not replace architecture, requirements, ICD, validation, or pilot-gating documents; it governs how AI agents execute against them.</w:t>
      </w:r>
    </w:p>
    <w:p>
      <w:pPr>
        <w:pStyle w:val="Heading1"/>
      </w:pPr>
      <w:r>
        <w:t>3. Source Hierarchy and Baseline Control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Authoritative order: highest-revision roadmap / golden plan, highest-revision ICD and interface addenda, technical requirements, architecture document, V&amp;V plan, pilot validation materials, then this governance charter.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Highest revision wins. Older versions may inform context but do not override active baseline behavior.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Before meaningful implementation, the agent shall identify the controlling documents and cite the relevant sections in its own work notes or output.</w:t>
      </w:r>
    </w:p>
    <w:p>
      <w:pPr>
        <w:pStyle w:val="Heading1"/>
      </w:pPr>
      <w:r>
        <w:t>4. Locked MVP Scope and Non-Negotiable Invariants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Single-device, single-display, one-camera MVP.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Local-first runtime and local storage. CV inference is local only.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No raw image persistence, raw frame egress, identity recognition, biometric storage, or cross-visit tracking.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Playback is a hard dependency; CV is a soft dependency. Playback must never go blank.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Manual override and safe mode must always exist.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Adaptive behavior must remain inside approved policy space; player renders approved manifests only.</w:t>
      </w:r>
    </w:p>
    <w:p>
      <w:pPr>
        <w:pStyle w:val="Heading1"/>
      </w:pPr>
      <w:r>
        <w:t>5. Scope Guardrails and Pushback Protocol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Every request shall be classified as: Compliant, Contradictory, Out of Scope, Requires Baseline Change, or Requires Interface Revision.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If a request is contradictory or out of scope, the agent shall refuse implementation and return a concise conflict report.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The agent shall not silently resolve contradictions by changing adjacent services, schemas, or tests.</w:t>
      </w:r>
    </w:p>
    <w:p>
      <w:pPr>
        <w:pStyle w:val="Heading1"/>
      </w:pPr>
      <w:r>
        <w:t>6. Conflict Resolution, Change Control, and Resolution Matrix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Material contradictions, ambiguities, or requested baseline changes shall be logged into the Change Resolution Matrix before implementation proceeds.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The matrix records change drivers, rationale, affected artifacts, options considered, decision, owner approval, implementation impact, required test updates, and the later formal revision that absorbs the change.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The matrix is an interim governance ledger, not a replacement for formal revisions.</w:t>
      </w:r>
    </w:p>
    <w:p>
      <w:pPr>
        <w:pStyle w:val="Heading1"/>
      </w:pPr>
      <w:r>
        <w:t>7. System / Development Snapshot and Live Build Status Control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Before starting work, the agent shall read the System / Development Snapshot to understand actual environment state, service status, blockers, active workstreams, and latest verified test state.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After any material change, the agent shall update the snapshot to reflect actual status.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The snapshot records current build reality; authoritative requirements still come from the formal baseline. Any conflict between snapshot and baseline must be logged in the Change Resolution Matrix.</w:t>
      </w:r>
    </w:p>
    <w:p>
      <w:pPr>
        <w:pStyle w:val="Heading1"/>
      </w:pPr>
      <w:r>
        <w:t>8. Service Ownership and Architectural Boundaries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Each service owns its defined responsibilities; the agent shall not collapse boundaries for convenience.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No hidden coupling, ad hoc cross-service reads/writes, or direct persistence paths outside approved ownership.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Dashboard-api remains canonical business-logic authority for MVP write flows unless a later baseline formally revises ownership.</w:t>
      </w:r>
    </w:p>
    <w:p>
      <w:pPr>
        <w:pStyle w:val="Heading1"/>
      </w:pPr>
      <w:r>
        <w:t>9. Interface, Schema, and Persistence Discipline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Implement ICD-first. Do not casually change both sides of an interface.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Schema changes require versioned migrations; no implicit schema drift, auto-create assumptions, or ad hoc field additions.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Metadata contracts must remain explicit, typed, versioned, and testable.</w:t>
      </w:r>
    </w:p>
    <w:p>
      <w:pPr>
        <w:pStyle w:val="Heading1"/>
      </w:pPr>
      <w:r>
        <w:t>10. Privacy, Safety, and Reliability Discipline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No raw frames in logs, storage, debug dumps, support bundles, or egress.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Protect fallback-first behavior; CV, DB, dashboard, or network degradation must not interrupt signage playback.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No blind reboot policies. Recovery follows restart-ladder logic and safe-mode behavior.</w:t>
      </w:r>
    </w:p>
    <w:p>
      <w:pPr>
        <w:pStyle w:val="Heading1"/>
      </w:pPr>
      <w:r>
        <w:t>11. Implementation Simplicity, Extensible Foundations, and Anti-Bloat Rules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Implement the smallest in-scope solution on a maintainable foundation built for later extension without rewrite.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Prefer configuration, typed constants, enums, and documented variables over hardcoded values.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Do not add speculative features, dormant code paths, plugin systems, or generic frameworks without approved need.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Reuse existing project patterns before introducing new abstractions or dependencies.</w:t>
      </w:r>
    </w:p>
    <w:p>
      <w:pPr>
        <w:pStyle w:val="Heading1"/>
      </w:pPr>
      <w:r>
        <w:t>12. Root Cause, Error Handling, and Cleanup Discipline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Bug fixes must identify root cause, triggering condition, failure mode, and why the fix is sufficient.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Errors should be explicit, diagnosable, and compatible with fallback behavior.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When replacing logic, remove superseded code paths, obsolete configuration, and stale helpers in the same change set.</w:t>
      </w:r>
    </w:p>
    <w:p>
      <w:pPr>
        <w:pStyle w:val="Heading1"/>
      </w:pPr>
      <w:r>
        <w:t>13. Observability, Debuggability, and Operability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Material service changes should include useful structured logs, health checks, and operator-visible status where appropriate.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Failures must be discoverable without violating privacy boundaries.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The field support posture should favor clear diagnosis over opaque automation.</w:t>
      </w:r>
    </w:p>
    <w:p>
      <w:pPr>
        <w:pStyle w:val="Heading1"/>
      </w:pPr>
      <w:r>
        <w:t>14. Dependency, Performance, and Resource Discipline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New dependencies require justification, ownership, and runtime impact acknowledgment.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Implementations must be Jetson-aware: avoid wasteful polling, unnecessary copies, excessive memory use, or runtime bloat.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Consider CPU, RAM, latency, startup time, and container footprint in any substantial change.</w:t>
      </w:r>
    </w:p>
    <w:p>
      <w:pPr>
        <w:pStyle w:val="Heading1"/>
      </w:pPr>
      <w:r>
        <w:t>15. Senior Review Standard and Self-Review Gate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Before any formal test step, the agent shall review its own work as a senior engineer would.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Mandatory self-review checks: scope compliance, baseline compliance, architecture boundaries, interface/schema correctness, clarity and naming, config hygiene, observability, cleanup, dependency justification, edge cases, and readiness for test.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If any blocking review item fails, the agent shall fix the issue before advancing to testing.</w:t>
      </w:r>
    </w:p>
    <w:p>
      <w:pPr>
        <w:pStyle w:val="Heading1"/>
      </w:pPr>
      <w:r>
        <w:t>16. Testing, Verification, and Evidence Requirements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Testing follows self-review, not the reverse.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Required evidence is proportional to change scope and may include unit, contract, integration, recovery, privacy-negative, and system-level tests.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Passing tests do not excuse weak structure, unresolved contradictions, or missing documentation updates.</w:t>
      </w:r>
    </w:p>
    <w:p>
      <w:pPr>
        <w:pStyle w:val="Heading1"/>
      </w:pPr>
      <w:r>
        <w:t>17. Definition of Done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Done means: implementation complete; senior self-review passed; required tests passed; evidence recorded; living artifacts updated; no unresolved baseline conflict remains unlogged.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Code generation alone never constitutes completion.</w:t>
      </w:r>
    </w:p>
    <w:p>
      <w:pPr>
        <w:pStyle w:val="Heading1"/>
      </w:pPr>
      <w:r>
        <w:t>18. Required Output Format for the Coding Agent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Every substantive output should include: request classification, governing sources, assumptions, change summary, complexity justification, self-review result, tests/evidence, risks, and required document or matrix updates.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Conflict outputs should include a concise conflict summary, controlling source, impact, and allowed next paths.</w:t>
      </w:r>
    </w:p>
    <w:p>
      <w:pPr>
        <w:pStyle w:val="Heading1"/>
      </w:pPr>
      <w:r>
        <w:t>19. Standard Task Execution Template</w:t>
      </w:r>
    </w:p>
    <w:p>
      <w:pPr>
        <w:pStyle w:val="BodyText"/>
        <w:ind w:left="317" w:hanging="259"/>
      </w:pPr>
      <w:r>
        <w:rPr>
          <w:b/>
        </w:rPr>
        <w:t xml:space="preserve">• </w:t>
      </w:r>
      <w:r>
        <w:t>Recommended task flow: read baseline documents -&gt; read System Snapshot -&gt; classify request -&gt; check Change Matrix -&gt; implement -&gt; senior self-review -&gt; test -&gt; update snapshot and matrix -&gt; report output in required format.</w:t>
      </w:r>
    </w:p>
    <w:p>
      <w:pPr>
        <w:pStyle w:val="Heading2"/>
      </w:pPr>
      <w:r>
        <w:t>Request Classification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016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Classification</w:t>
            </w:r>
          </w:p>
        </w:tc>
        <w:tc>
          <w:tcPr>
            <w:tcW w:type="dxa" w:w="4320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Meaning</w:t>
            </w:r>
          </w:p>
        </w:tc>
        <w:tc>
          <w:tcPr>
            <w:tcW w:type="dxa" w:w="2880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Required action</w:t>
            </w:r>
          </w:p>
        </w:tc>
      </w:tr>
      <w:tr>
        <w:tc>
          <w:tcPr>
            <w:tcW w:type="dxa" w:w="201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BodyText"/>
            </w:pPr>
            <w:r>
              <w:rPr>
                <w:sz w:val="18"/>
              </w:rPr>
              <w:t>Compliant</w:t>
            </w:r>
          </w:p>
        </w:tc>
        <w:tc>
          <w:tcPr>
            <w:tcW w:type="dxa" w:w="432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BodyText"/>
            </w:pPr>
            <w:r>
              <w:rPr>
                <w:sz w:val="18"/>
              </w:rPr>
              <w:t>In-scope and consistent with active baseline</w:t>
            </w:r>
          </w:p>
        </w:tc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BodyText"/>
            </w:pPr>
            <w:r>
              <w:rPr>
                <w:sz w:val="18"/>
              </w:rPr>
              <w:t>Proceed normally</w:t>
            </w:r>
          </w:p>
        </w:tc>
      </w:tr>
      <w:tr>
        <w:tc>
          <w:tcPr>
            <w:tcW w:type="dxa" w:w="201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BodyText"/>
            </w:pPr>
            <w:r>
              <w:rPr>
                <w:sz w:val="18"/>
              </w:rPr>
              <w:t>Contradictory</w:t>
            </w:r>
          </w:p>
        </w:tc>
        <w:tc>
          <w:tcPr>
            <w:tcW w:type="dxa" w:w="432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BodyText"/>
            </w:pPr>
            <w:r>
              <w:rPr>
                <w:sz w:val="18"/>
              </w:rPr>
              <w:t>Conflicts with authoritative baseline</w:t>
            </w:r>
          </w:p>
        </w:tc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BodyText"/>
            </w:pPr>
            <w:r>
              <w:rPr>
                <w:sz w:val="18"/>
              </w:rPr>
              <w:t>Stop and issue conflict report</w:t>
            </w:r>
          </w:p>
        </w:tc>
      </w:tr>
      <w:tr>
        <w:tc>
          <w:tcPr>
            <w:tcW w:type="dxa" w:w="201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BodyText"/>
            </w:pPr>
            <w:r>
              <w:rPr>
                <w:sz w:val="18"/>
              </w:rPr>
              <w:t>Out of Scope</w:t>
            </w:r>
          </w:p>
        </w:tc>
        <w:tc>
          <w:tcPr>
            <w:tcW w:type="dxa" w:w="432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BodyText"/>
            </w:pPr>
            <w:r>
              <w:rPr>
                <w:sz w:val="18"/>
              </w:rPr>
              <w:t>Expands beyond locked MVP scope</w:t>
            </w:r>
          </w:p>
        </w:tc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BodyText"/>
            </w:pPr>
            <w:r>
              <w:rPr>
                <w:sz w:val="18"/>
              </w:rPr>
              <w:t>Refuse implementation; route as change request</w:t>
            </w:r>
          </w:p>
        </w:tc>
      </w:tr>
      <w:tr>
        <w:tc>
          <w:tcPr>
            <w:tcW w:type="dxa" w:w="201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BodyText"/>
            </w:pPr>
            <w:r>
              <w:rPr>
                <w:sz w:val="18"/>
              </w:rPr>
              <w:t>Requires Baseline Change</w:t>
            </w:r>
          </w:p>
        </w:tc>
        <w:tc>
          <w:tcPr>
            <w:tcW w:type="dxa" w:w="432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BodyText"/>
            </w:pPr>
            <w:r>
              <w:rPr>
                <w:sz w:val="18"/>
              </w:rPr>
              <w:t>Valid idea but needs formal governance update</w:t>
            </w:r>
          </w:p>
        </w:tc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BodyText"/>
            </w:pPr>
            <w:r>
              <w:rPr>
                <w:sz w:val="18"/>
              </w:rPr>
              <w:t>Log in Change Resolution Matrix before coding</w:t>
            </w:r>
          </w:p>
        </w:tc>
      </w:tr>
      <w:tr>
        <w:tc>
          <w:tcPr>
            <w:tcW w:type="dxa" w:w="201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BodyText"/>
            </w:pPr>
            <w:r>
              <w:rPr>
                <w:sz w:val="18"/>
              </w:rPr>
              <w:t>Requires Interface Revision</w:t>
            </w:r>
          </w:p>
        </w:tc>
        <w:tc>
          <w:tcPr>
            <w:tcW w:type="dxa" w:w="432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BodyText"/>
            </w:pPr>
            <w:r>
              <w:rPr>
                <w:sz w:val="18"/>
              </w:rPr>
              <w:t>Would alter ICD-governed contract or schema</w:t>
            </w:r>
          </w:p>
        </w:tc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BodyText"/>
            </w:pPr>
            <w:r>
              <w:rPr>
                <w:sz w:val="18"/>
              </w:rPr>
              <w:t>Stop until versioned update is defined</w:t>
            </w:r>
          </w:p>
        </w:tc>
      </w:tr>
    </w:tbl>
    <w:p/>
    <w:p>
      <w:pPr>
        <w:pStyle w:val="Heading2"/>
      </w:pPr>
      <w:r>
        <w:t>Required Senior Self-Review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440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0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1296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Pass?</w:t>
            </w:r>
          </w:p>
        </w:tc>
      </w:tr>
      <w:tr>
        <w:tc>
          <w:tcPr>
            <w:tcW w:type="dxa" w:w="14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BodyText"/>
            </w:pPr>
            <w:r>
              <w:rPr>
                <w:sz w:val="18"/>
              </w:rPr>
              <w:t>Scope</w:t>
            </w:r>
          </w:p>
        </w:tc>
        <w:tc>
          <w:tcPr>
            <w:tcW w:type="dxa" w:w="720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BodyText"/>
            </w:pPr>
            <w:r>
              <w:rPr>
                <w:sz w:val="18"/>
              </w:rPr>
              <w:t>Any unapproved capability added?</w:t>
            </w:r>
          </w:p>
        </w:tc>
        <w:tc>
          <w:tcPr>
            <w:tcW w:type="dxa" w:w="129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BodyText"/>
            </w:pPr>
            <w:r>
              <w:rPr>
                <w:sz w:val="18"/>
              </w:rPr>
              <w:t>Y / N</w:t>
            </w:r>
          </w:p>
        </w:tc>
      </w:tr>
      <w:tr>
        <w:tc>
          <w:tcPr>
            <w:tcW w:type="dxa" w:w="14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BodyText"/>
            </w:pPr>
            <w:r>
              <w:rPr>
                <w:sz w:val="18"/>
              </w:rPr>
              <w:t>Foundation</w:t>
            </w:r>
          </w:p>
        </w:tc>
        <w:tc>
          <w:tcPr>
            <w:tcW w:type="dxa" w:w="720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BodyText"/>
            </w:pPr>
            <w:r>
              <w:rPr>
                <w:sz w:val="18"/>
              </w:rPr>
              <w:t>Hardcoded values avoided where inappropriate?</w:t>
            </w:r>
          </w:p>
        </w:tc>
        <w:tc>
          <w:tcPr>
            <w:tcW w:type="dxa" w:w="129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BodyText"/>
            </w:pPr>
            <w:r>
              <w:rPr>
                <w:sz w:val="18"/>
              </w:rPr>
              <w:t>Y / N</w:t>
            </w:r>
          </w:p>
        </w:tc>
      </w:tr>
      <w:tr>
        <w:tc>
          <w:tcPr>
            <w:tcW w:type="dxa" w:w="14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BodyText"/>
            </w:pPr>
            <w:r>
              <w:rPr>
                <w:sz w:val="18"/>
              </w:rPr>
              <w:t>Extensibility</w:t>
            </w:r>
          </w:p>
        </w:tc>
        <w:tc>
          <w:tcPr>
            <w:tcW w:type="dxa" w:w="720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BodyText"/>
            </w:pPr>
            <w:r>
              <w:rPr>
                <w:sz w:val="18"/>
              </w:rPr>
              <w:t>Likely next-step growth possible without rewrite?</w:t>
            </w:r>
          </w:p>
        </w:tc>
        <w:tc>
          <w:tcPr>
            <w:tcW w:type="dxa" w:w="129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BodyText"/>
            </w:pPr>
            <w:r>
              <w:rPr>
                <w:sz w:val="18"/>
              </w:rPr>
              <w:t>Y / N</w:t>
            </w:r>
          </w:p>
        </w:tc>
      </w:tr>
      <w:tr>
        <w:tc>
          <w:tcPr>
            <w:tcW w:type="dxa" w:w="14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BodyText"/>
            </w:pPr>
            <w:r>
              <w:rPr>
                <w:sz w:val="18"/>
              </w:rPr>
              <w:t>Boundaries</w:t>
            </w:r>
          </w:p>
        </w:tc>
        <w:tc>
          <w:tcPr>
            <w:tcW w:type="dxa" w:w="720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BodyText"/>
            </w:pPr>
            <w:r>
              <w:rPr>
                <w:sz w:val="18"/>
              </w:rPr>
              <w:t>Service ownership and contracts preserved?</w:t>
            </w:r>
          </w:p>
        </w:tc>
        <w:tc>
          <w:tcPr>
            <w:tcW w:type="dxa" w:w="129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BodyText"/>
            </w:pPr>
            <w:r>
              <w:rPr>
                <w:sz w:val="18"/>
              </w:rPr>
              <w:t>Y / N</w:t>
            </w:r>
          </w:p>
        </w:tc>
      </w:tr>
      <w:tr>
        <w:tc>
          <w:tcPr>
            <w:tcW w:type="dxa" w:w="14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BodyText"/>
            </w:pPr>
            <w:r>
              <w:rPr>
                <w:sz w:val="18"/>
              </w:rPr>
              <w:t>Reliability</w:t>
            </w:r>
          </w:p>
        </w:tc>
        <w:tc>
          <w:tcPr>
            <w:tcW w:type="dxa" w:w="720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BodyText"/>
            </w:pPr>
            <w:r>
              <w:rPr>
                <w:sz w:val="18"/>
              </w:rPr>
              <w:t>Fallback behavior maintained?</w:t>
            </w:r>
          </w:p>
        </w:tc>
        <w:tc>
          <w:tcPr>
            <w:tcW w:type="dxa" w:w="129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BodyText"/>
            </w:pPr>
            <w:r>
              <w:rPr>
                <w:sz w:val="18"/>
              </w:rPr>
              <w:t>Y / N</w:t>
            </w:r>
          </w:p>
        </w:tc>
      </w:tr>
      <w:tr>
        <w:tc>
          <w:tcPr>
            <w:tcW w:type="dxa" w:w="14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BodyText"/>
            </w:pPr>
            <w:r>
              <w:rPr>
                <w:sz w:val="18"/>
              </w:rPr>
              <w:t>Observability</w:t>
            </w:r>
          </w:p>
        </w:tc>
        <w:tc>
          <w:tcPr>
            <w:tcW w:type="dxa" w:w="720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BodyText"/>
            </w:pPr>
            <w:r>
              <w:rPr>
                <w:sz w:val="18"/>
              </w:rPr>
              <w:t>Logs / health / status updated where needed?</w:t>
            </w:r>
          </w:p>
        </w:tc>
        <w:tc>
          <w:tcPr>
            <w:tcW w:type="dxa" w:w="129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BodyText"/>
            </w:pPr>
            <w:r>
              <w:rPr>
                <w:sz w:val="18"/>
              </w:rPr>
              <w:t>Y / N</w:t>
            </w:r>
          </w:p>
        </w:tc>
      </w:tr>
      <w:tr>
        <w:tc>
          <w:tcPr>
            <w:tcW w:type="dxa" w:w="14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BodyText"/>
            </w:pPr>
            <w:r>
              <w:rPr>
                <w:sz w:val="18"/>
              </w:rPr>
              <w:t>Cleanup</w:t>
            </w:r>
          </w:p>
        </w:tc>
        <w:tc>
          <w:tcPr>
            <w:tcW w:type="dxa" w:w="720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BodyText"/>
            </w:pPr>
            <w:r>
              <w:rPr>
                <w:sz w:val="18"/>
              </w:rPr>
              <w:t>Dead code and stale config removed?</w:t>
            </w:r>
          </w:p>
        </w:tc>
        <w:tc>
          <w:tcPr>
            <w:tcW w:type="dxa" w:w="129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BodyText"/>
            </w:pPr>
            <w:r>
              <w:rPr>
                <w:sz w:val="18"/>
              </w:rPr>
              <w:t>Y / N</w:t>
            </w:r>
          </w:p>
        </w:tc>
      </w:tr>
      <w:tr>
        <w:tc>
          <w:tcPr>
            <w:tcW w:type="dxa" w:w="144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BodyText"/>
            </w:pPr>
            <w:r>
              <w:rPr>
                <w:sz w:val="18"/>
              </w:rPr>
              <w:t>Performance</w:t>
            </w:r>
          </w:p>
        </w:tc>
        <w:tc>
          <w:tcPr>
            <w:tcW w:type="dxa" w:w="7200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BodyText"/>
            </w:pPr>
            <w:r>
              <w:rPr>
                <w:sz w:val="18"/>
              </w:rPr>
              <w:t>Jetson/runtime impact acceptable?</w:t>
            </w:r>
          </w:p>
        </w:tc>
        <w:tc>
          <w:tcPr>
            <w:tcW w:type="dxa" w:w="1296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pStyle w:val="BodyText"/>
            </w:pPr>
            <w:r>
              <w:rPr>
                <w:sz w:val="18"/>
              </w:rPr>
              <w:t>Y / N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3232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3232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Aptos" w:hAnsi="Apto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