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7C525" w14:textId="57245F11" w:rsidR="00B84406" w:rsidRDefault="003C7DBF" w:rsidP="00B84406">
      <w:pPr>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1</w:t>
      </w:r>
      <w:r w:rsidR="00B84406">
        <w:rPr>
          <w:rFonts w:ascii="Times New Roman" w:hAnsi="Times New Roman" w:cs="Times New Roman"/>
          <w:color w:val="000000"/>
          <w:sz w:val="28"/>
          <w:szCs w:val="28"/>
          <w:shd w:val="clear" w:color="auto" w:fill="FFFFFF"/>
        </w:rPr>
        <w:t xml:space="preserve">. </w:t>
      </w:r>
      <w:r w:rsidR="00B84406" w:rsidRPr="00D92D5C">
        <w:rPr>
          <w:rStyle w:val="a4"/>
          <w:rFonts w:ascii="Times New Roman" w:hAnsi="Times New Roman" w:cs="Times New Roman"/>
          <w:sz w:val="28"/>
          <w:szCs w:val="28"/>
        </w:rPr>
        <w:t>Анализ предметной области и постановка задачи</w:t>
      </w:r>
    </w:p>
    <w:p w14:paraId="311A847A" w14:textId="00B3219A" w:rsidR="00DA3B95" w:rsidRDefault="00DB47C6" w:rsidP="00DB47C6">
      <w:pPr>
        <w:spacing w:after="0" w:line="360" w:lineRule="auto"/>
        <w:ind w:firstLine="964"/>
        <w:jc w:val="center"/>
        <w:rPr>
          <w:rFonts w:ascii="Times New Roman" w:hAnsi="Times New Roman" w:cs="Times New Roman"/>
          <w:sz w:val="28"/>
          <w:szCs w:val="28"/>
        </w:rPr>
      </w:pPr>
      <w:r>
        <w:rPr>
          <w:rFonts w:ascii="Times New Roman" w:hAnsi="Times New Roman" w:cs="Times New Roman"/>
          <w:sz w:val="28"/>
          <w:szCs w:val="28"/>
        </w:rPr>
        <w:t>1.1 Направление сельский туризм</w:t>
      </w:r>
    </w:p>
    <w:p w14:paraId="23D62030"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Туризм является одним из наиболее активно развивающихся направлений предпринимательской деятельности в мире и в Российской Федерации. Занимая собственную нишу в общей массе предложений сферы услуг, туризм тесно взаимосвязан с другими видами предпринимательской деятельности и имеет с ними много общего по принципам и методам организации и управления. Высокий уровень популярности туризма превращает его в серьезный фактор поддержания социальной стабильности и формирования межнационального диалога. Туризм в России выполняет экономические, просветительские, образовательные, духовные, социальные и гуманитарные функции, способствует культурному становлению нации, наполнению бюджета, созданию новых рабочих мест. </w:t>
      </w:r>
    </w:p>
    <w:p w14:paraId="689D9EE9"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Для того чтобы привлечь туристов в регион, необходима новая модель развития, которая позволит обеспечить рабочими местами местное население, а также будет способствовать реализации местной продукции. </w:t>
      </w:r>
    </w:p>
    <w:p w14:paraId="01E649CF"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Такой моделью может стать развитие сельского туризма – отрасли, где наиболее ярко проявляется мультипликативный эффект: создание дополнительных рабочих мест в других сферах экономики – сельском хозяйстве, транспорте, строительстве, культуры, гостиничном бизнесе, банковской сфере, повышение инвестиционной привлекательности региона.</w:t>
      </w:r>
    </w:p>
    <w:p w14:paraId="7AAA32A8"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Согласно данным органов исполнительной власти субъектов, отвечающих за развитие внутреннего и въездного туризма, количество туристов, посетивших объекты сельского туризма за 2019 год, составляет около 9 млн человек.</w:t>
      </w:r>
    </w:p>
    <w:p w14:paraId="6E665A88"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Сельский туризм – это разновидность туризма, предполагающая временные выезды (путешествия) в сельскую местность с целью отдыха с предоставлением услуг гостеприимства, ориентированная на сохранение природного и культурного наследия и использование природных, культурно-</w:t>
      </w:r>
      <w:r w:rsidRPr="0001773C">
        <w:rPr>
          <w:rFonts w:ascii="Times New Roman" w:hAnsi="Times New Roman" w:cs="Times New Roman"/>
          <w:sz w:val="28"/>
          <w:szCs w:val="28"/>
        </w:rPr>
        <w:lastRenderedPageBreak/>
        <w:t>исторических и других ресурсов, характерных для данной местности с учетом ее специфики.</w:t>
      </w:r>
    </w:p>
    <w:p w14:paraId="67ABFBC7"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способствует ускоренному развитию сельских территорий, повышению уровня благосостояния сельского населения, диверсифицирует сельскохозяйственное производство и обеспечивает решение ряда других задач. Особое значение в условиях экономического кризиса приобретает развитие предпринимательства в сфере сельского зеленого туризма, поскольку является одним из направлений снижения безработицы на селе и источником дополнительных доходов сельских жителей. </w:t>
      </w:r>
    </w:p>
    <w:p w14:paraId="4BE7028B"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сегодня – это особый сектор туристской отрасли, опирающийся на использование природных, культурно-исторических и иных ресурсов сельской местности, ее типичных и уникальных характеристик, а также их сочетаний для создания комплексного </w:t>
      </w:r>
      <w:proofErr w:type="spellStart"/>
      <w:r w:rsidRPr="0001773C">
        <w:rPr>
          <w:rFonts w:ascii="Times New Roman" w:hAnsi="Times New Roman" w:cs="Times New Roman"/>
          <w:sz w:val="28"/>
          <w:szCs w:val="28"/>
        </w:rPr>
        <w:t>агротуристского</w:t>
      </w:r>
      <w:proofErr w:type="spellEnd"/>
      <w:r w:rsidRPr="0001773C">
        <w:rPr>
          <w:rFonts w:ascii="Times New Roman" w:hAnsi="Times New Roman" w:cs="Times New Roman"/>
          <w:sz w:val="28"/>
          <w:szCs w:val="28"/>
        </w:rPr>
        <w:t xml:space="preserve"> продукта. Его относят к современным экспансивным видам туризма, популярным во многих странах мира. </w:t>
      </w:r>
    </w:p>
    <w:p w14:paraId="785974FF"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Согласно зарубежному ученому </w:t>
      </w:r>
      <w:proofErr w:type="spellStart"/>
      <w:r w:rsidRPr="0001773C">
        <w:rPr>
          <w:rFonts w:ascii="Times New Roman" w:hAnsi="Times New Roman" w:cs="Times New Roman"/>
          <w:sz w:val="28"/>
          <w:szCs w:val="28"/>
        </w:rPr>
        <w:t>J.W.Kloeze</w:t>
      </w:r>
      <w:proofErr w:type="spellEnd"/>
      <w:r w:rsidRPr="0001773C">
        <w:rPr>
          <w:rFonts w:ascii="Times New Roman" w:hAnsi="Times New Roman" w:cs="Times New Roman"/>
          <w:sz w:val="28"/>
          <w:szCs w:val="28"/>
        </w:rPr>
        <w:t xml:space="preserve"> сельский туризм – есть вид туристской деятельности, развивающейся в сельской среде. Данное определение требует пояснений, поскольку носит общий характер и не предполагает узкого трактовки термина. </w:t>
      </w:r>
    </w:p>
    <w:p w14:paraId="1AEA4710"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Другое определение предложено P. </w:t>
      </w:r>
      <w:proofErr w:type="spellStart"/>
      <w:r w:rsidRPr="0001773C">
        <w:rPr>
          <w:rFonts w:ascii="Times New Roman" w:hAnsi="Times New Roman" w:cs="Times New Roman"/>
          <w:sz w:val="28"/>
          <w:szCs w:val="28"/>
        </w:rPr>
        <w:t>Nistureanu</w:t>
      </w:r>
      <w:proofErr w:type="spellEnd"/>
      <w:r w:rsidRPr="0001773C">
        <w:rPr>
          <w:rFonts w:ascii="Times New Roman" w:hAnsi="Times New Roman" w:cs="Times New Roman"/>
          <w:sz w:val="28"/>
          <w:szCs w:val="28"/>
        </w:rPr>
        <w:t xml:space="preserve">: «Сельский туризм – это понятие, которое включает в себя туристскую деятельность, организованную и управляемую местным населением, основанную на тесной связи с окружающей средой – естественной и антропогенной». В этом определении уже наблюдается специфика выделения в сельском туризме наблюдательной функции (созерцание природы) и активной деятельности (участие в жизни сельчан, обучение навыкам и т.д.). </w:t>
      </w:r>
    </w:p>
    <w:p w14:paraId="28B4DDFF"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lastRenderedPageBreak/>
        <w:t xml:space="preserve">Наиболее полной, с нашей точки зрения, является трактовка сельского туризма </w:t>
      </w:r>
      <w:proofErr w:type="spellStart"/>
      <w:r w:rsidRPr="0001773C">
        <w:rPr>
          <w:rFonts w:ascii="Times New Roman" w:hAnsi="Times New Roman" w:cs="Times New Roman"/>
          <w:sz w:val="28"/>
          <w:szCs w:val="28"/>
        </w:rPr>
        <w:t>D.Matei</w:t>
      </w:r>
      <w:proofErr w:type="spellEnd"/>
      <w:r w:rsidRPr="0001773C">
        <w:rPr>
          <w:rFonts w:ascii="Times New Roman" w:hAnsi="Times New Roman" w:cs="Times New Roman"/>
          <w:sz w:val="28"/>
          <w:szCs w:val="28"/>
        </w:rPr>
        <w:t xml:space="preserve">: «Сельский туризм представляет собой набор действий и услуг, которые предлагаются местными фермерами и крестьянами для привлечения туристов в их местность, а также с целью получения дополнительной прибыли от данного вида деятельности. Сельский туризм дает возможность каждому туристу не только отдохнуть на лоне природы, но и проникнуться традициями и обычаями местного населения». </w:t>
      </w:r>
    </w:p>
    <w:p w14:paraId="3DB5476B"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Обратимся к первым примерам сельского туризма. Он туризма возник впервые в Америке, когда в стране шла реализация проектов «Нового курса» Ф.Д. Рузвельта. В этот период шло строительство автомобильных дорог, электростанций и иных объектов. Создание единой транспортной инфраструктуры стимулировало путешествия по стране и связало общими интересами жителей городской и сельской местности. </w:t>
      </w:r>
    </w:p>
    <w:p w14:paraId="6E81AE28"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Возникновение сельского туризма в Европе относится к началу семидесятых годов. В тот период времени встала проблема экологии в крупных городах и у людей появилась необходимость в общении с природой, в чистом воздухе, в природной тишине и натуральных продуктах питания. В ведущих европейских странах (Франция, Великобритания) с этого времени начали создаваться структуры, регулировавшие развитие туризма в целом и аграрного – в частности. </w:t>
      </w:r>
    </w:p>
    <w:p w14:paraId="00033004"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Например, в Италии имеется ряд национальных учреждений аграрного туризма, которые представляют собой – </w:t>
      </w:r>
      <w:proofErr w:type="spellStart"/>
      <w:r w:rsidRPr="0001773C">
        <w:rPr>
          <w:rFonts w:ascii="Times New Roman" w:hAnsi="Times New Roman" w:cs="Times New Roman"/>
          <w:sz w:val="28"/>
          <w:szCs w:val="28"/>
        </w:rPr>
        <w:t>Terra</w:t>
      </w:r>
      <w:proofErr w:type="spellEnd"/>
      <w:r w:rsidRPr="0001773C">
        <w:rPr>
          <w:rFonts w:ascii="Times New Roman" w:hAnsi="Times New Roman" w:cs="Times New Roman"/>
          <w:sz w:val="28"/>
          <w:szCs w:val="28"/>
        </w:rPr>
        <w:t xml:space="preserve"> </w:t>
      </w:r>
      <w:proofErr w:type="spellStart"/>
      <w:r w:rsidRPr="0001773C">
        <w:rPr>
          <w:rFonts w:ascii="Times New Roman" w:hAnsi="Times New Roman" w:cs="Times New Roman"/>
          <w:sz w:val="28"/>
          <w:szCs w:val="28"/>
        </w:rPr>
        <w:t>Nostra</w:t>
      </w:r>
      <w:proofErr w:type="spellEnd"/>
      <w:r w:rsidRPr="0001773C">
        <w:rPr>
          <w:rFonts w:ascii="Times New Roman" w:hAnsi="Times New Roman" w:cs="Times New Roman"/>
          <w:sz w:val="28"/>
          <w:szCs w:val="28"/>
        </w:rPr>
        <w:t xml:space="preserve">, </w:t>
      </w:r>
      <w:proofErr w:type="spellStart"/>
      <w:r w:rsidRPr="0001773C">
        <w:rPr>
          <w:rFonts w:ascii="Times New Roman" w:hAnsi="Times New Roman" w:cs="Times New Roman"/>
          <w:sz w:val="28"/>
          <w:szCs w:val="28"/>
        </w:rPr>
        <w:t>Turismo</w:t>
      </w:r>
      <w:proofErr w:type="spellEnd"/>
      <w:r w:rsidRPr="0001773C">
        <w:rPr>
          <w:rFonts w:ascii="Times New Roman" w:hAnsi="Times New Roman" w:cs="Times New Roman"/>
          <w:sz w:val="28"/>
          <w:szCs w:val="28"/>
        </w:rPr>
        <w:t xml:space="preserve"> </w:t>
      </w:r>
      <w:proofErr w:type="spellStart"/>
      <w:r w:rsidRPr="0001773C">
        <w:rPr>
          <w:rFonts w:ascii="Times New Roman" w:hAnsi="Times New Roman" w:cs="Times New Roman"/>
          <w:sz w:val="28"/>
          <w:szCs w:val="28"/>
        </w:rPr>
        <w:t>Verde</w:t>
      </w:r>
      <w:proofErr w:type="spellEnd"/>
      <w:r w:rsidRPr="0001773C">
        <w:rPr>
          <w:rFonts w:ascii="Times New Roman" w:hAnsi="Times New Roman" w:cs="Times New Roman"/>
          <w:sz w:val="28"/>
          <w:szCs w:val="28"/>
        </w:rPr>
        <w:t xml:space="preserve"> и </w:t>
      </w:r>
      <w:proofErr w:type="spellStart"/>
      <w:r w:rsidRPr="0001773C">
        <w:rPr>
          <w:rFonts w:ascii="Times New Roman" w:hAnsi="Times New Roman" w:cs="Times New Roman"/>
          <w:sz w:val="28"/>
          <w:szCs w:val="28"/>
        </w:rPr>
        <w:t>Agriturist</w:t>
      </w:r>
      <w:proofErr w:type="spellEnd"/>
      <w:r w:rsidRPr="0001773C">
        <w:rPr>
          <w:rFonts w:ascii="Times New Roman" w:hAnsi="Times New Roman" w:cs="Times New Roman"/>
          <w:sz w:val="28"/>
          <w:szCs w:val="28"/>
        </w:rPr>
        <w:t xml:space="preserve">, и все без исключения поддерживают взаимоотношения с парламентом, министерствами, муниципальными управленческими органами власти [3]. Поскольку агротуризм на данный момент выделяется в самостоятельную отрасль туризма, необходимо более глубоко определиться с его спецификой, понятийным аппаратом и возможностями практической реализации. </w:t>
      </w:r>
    </w:p>
    <w:p w14:paraId="1555CA1F"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lastRenderedPageBreak/>
        <w:t xml:space="preserve">Сельский зеленый туризм может быть полезен как отдыхающим, так и сельским общинам, регионам и государству в целом, поскольку способствует развитию многих связанных с ним отраслей экономики. Его развитие будет способствовать сохранению сельского образа жизни как носителя русской идентичности, культуры и духовности, что создаст дополнительные возможности для популяризации русской культуры, распространения знаний и информации об исторических, природных, этнографических особенностях России, в свою очередь, это все требует и поддержки со стороны государства. </w:t>
      </w:r>
    </w:p>
    <w:p w14:paraId="1737B160"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в России развивается под влиянием общемировых социально-экономических трендов, которые способствуют привлечению горожан к культуре и быту села. Приоритетность развития сельского зеленого туризма в России обусловлена насущной необходимостью безотлагательного решения социально-экономических проблем современного села. </w:t>
      </w:r>
    </w:p>
    <w:p w14:paraId="4E9C7452"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на сегодняшний день является одной из наиболее активно развивающихся сфер туристской деятельности. Россия, владея уникальными природными ресурсами, самобытной культурой народа, обладает колоссальным нереализованным потенциалом для развития такого вида туризма. Большинство регионов страны продолжает ориентироваться на развитие сельского хозяйства. При этом, каждый из регионов специфичен в историко-этнографическом, хозяйственно-бытовом и экономическом смыслах. </w:t>
      </w:r>
    </w:p>
    <w:p w14:paraId="63275813"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 современных условиях государство признает туризм как одну из приоритетных отраслей экономики России. Создаются благоприятные условия для ее развития. Возрастает роль туризма в социально-экономическом развитии регионов. Формирование новых рабочих мест, развитие новых видов и отраслей туристского обслуживания, привлечение инвестиций в туристскую отрасль – все это находит свое место в инновационной деятельности регионов. </w:t>
      </w:r>
    </w:p>
    <w:p w14:paraId="776AB0CF"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 мире ежегодно путешествуют около 700 миллионов туристов, при этом по разным данным от 12 до 30 процентов из них предпочитают сельский </w:t>
      </w:r>
      <w:r w:rsidRPr="0001773C">
        <w:rPr>
          <w:rFonts w:ascii="Times New Roman" w:hAnsi="Times New Roman" w:cs="Times New Roman"/>
          <w:sz w:val="28"/>
          <w:szCs w:val="28"/>
        </w:rPr>
        <w:lastRenderedPageBreak/>
        <w:t xml:space="preserve">туризм. Причем, эти цифры характеризуют лишь международную ситуацию, а количество внутренних сельских туристов в разных странах значительно выше. Сельский туризм соединяет широкий спектр различных видов туризма, основанных на использовании природных, исторических и других особенностей ресурсов сельской местности, и развивается быстрыми темпами. </w:t>
      </w:r>
    </w:p>
    <w:p w14:paraId="530DE238" w14:textId="6AF36342"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 то время как вся Европа переживает </w:t>
      </w:r>
      <w:proofErr w:type="spellStart"/>
      <w:r w:rsidR="00ED18C6">
        <w:rPr>
          <w:rFonts w:ascii="Times New Roman" w:hAnsi="Times New Roman" w:cs="Times New Roman"/>
          <w:sz w:val="28"/>
          <w:szCs w:val="28"/>
        </w:rPr>
        <w:t>а</w:t>
      </w:r>
      <w:r w:rsidR="00ED18C6" w:rsidRPr="0001773C">
        <w:rPr>
          <w:rFonts w:ascii="Times New Roman" w:hAnsi="Times New Roman" w:cs="Times New Roman"/>
          <w:sz w:val="28"/>
          <w:szCs w:val="28"/>
        </w:rPr>
        <w:t>гро</w:t>
      </w:r>
      <w:proofErr w:type="spellEnd"/>
      <w:r w:rsidR="00ED18C6" w:rsidRPr="0001773C">
        <w:rPr>
          <w:rFonts w:ascii="Times New Roman" w:hAnsi="Times New Roman" w:cs="Times New Roman"/>
          <w:sz w:val="28"/>
          <w:szCs w:val="28"/>
        </w:rPr>
        <w:t xml:space="preserve"> туристский</w:t>
      </w:r>
      <w:r w:rsidRPr="0001773C">
        <w:rPr>
          <w:rFonts w:ascii="Times New Roman" w:hAnsi="Times New Roman" w:cs="Times New Roman"/>
          <w:sz w:val="28"/>
          <w:szCs w:val="28"/>
        </w:rPr>
        <w:t xml:space="preserve"> «бум», для России это явление новое. Однако многие регионы стремятся к развитию такого туристского направления. Создаются всевозможные организационные процессы по развитию сельского туризма в Алтайском, Краснодарском краях, республиках Карелия, Чувашия, Удмуртия, Бурятия, Московской, Ленинградской, Калининградской, Белгородской, Волгоградской, Ярославской, Астраханской и др. областях. </w:t>
      </w:r>
    </w:p>
    <w:p w14:paraId="56AC6345"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Мировой опыт показывает, что и в России развитие сельского туризма может быть эффективным как с социальной, так и с экономической точки зрения. В то же время следует иметь в виду, что максимального эффекта можно добиться, если сельский туризм будет развиваться не спонтанно, а в рамках Целевых программ федерального, межрегионального либо регионального значения. </w:t>
      </w:r>
    </w:p>
    <w:p w14:paraId="731CC192" w14:textId="434F15A8" w:rsidR="00DB47C6" w:rsidRDefault="0001773C" w:rsidP="0001773C">
      <w:pPr>
        <w:spacing w:after="0"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В России вопросами развития сельского туризма занимается Министерство сельского хозяйства Российской Федерации. В 2012 году была утверждена Концепция устойчивого развития сельских территорий Российской Федерации на период до 2020 года, разработанная Минсельхозом России.</w:t>
      </w:r>
    </w:p>
    <w:p w14:paraId="4BFEB97A" w14:textId="061E694C" w:rsidR="009602E9" w:rsidRDefault="009602E9" w:rsidP="0001773C">
      <w:pPr>
        <w:spacing w:after="0" w:line="360" w:lineRule="auto"/>
        <w:ind w:firstLine="851"/>
        <w:jc w:val="both"/>
        <w:rPr>
          <w:rFonts w:ascii="Times New Roman" w:hAnsi="Times New Roman" w:cs="Times New Roman"/>
          <w:sz w:val="28"/>
          <w:szCs w:val="28"/>
        </w:rPr>
      </w:pPr>
    </w:p>
    <w:p w14:paraId="57BA3245" w14:textId="1D275A9C" w:rsidR="009602E9" w:rsidRDefault="009602E9" w:rsidP="0001773C">
      <w:pPr>
        <w:spacing w:after="0" w:line="360" w:lineRule="auto"/>
        <w:ind w:firstLine="851"/>
        <w:jc w:val="both"/>
        <w:rPr>
          <w:rFonts w:ascii="Times New Roman" w:hAnsi="Times New Roman" w:cs="Times New Roman"/>
          <w:sz w:val="28"/>
          <w:szCs w:val="28"/>
        </w:rPr>
      </w:pPr>
    </w:p>
    <w:p w14:paraId="09CBC879" w14:textId="69D68D77" w:rsidR="009602E9" w:rsidRDefault="009602E9" w:rsidP="0001773C">
      <w:pPr>
        <w:spacing w:after="0" w:line="360" w:lineRule="auto"/>
        <w:ind w:firstLine="851"/>
        <w:jc w:val="both"/>
        <w:rPr>
          <w:rFonts w:ascii="Times New Roman" w:hAnsi="Times New Roman" w:cs="Times New Roman"/>
          <w:sz w:val="28"/>
          <w:szCs w:val="28"/>
        </w:rPr>
      </w:pPr>
    </w:p>
    <w:p w14:paraId="66FE0151" w14:textId="398580A1" w:rsidR="009602E9" w:rsidRDefault="009602E9" w:rsidP="0001773C">
      <w:pPr>
        <w:spacing w:after="0" w:line="360" w:lineRule="auto"/>
        <w:ind w:firstLine="851"/>
        <w:jc w:val="both"/>
        <w:rPr>
          <w:rFonts w:ascii="Times New Roman" w:hAnsi="Times New Roman" w:cs="Times New Roman"/>
          <w:sz w:val="28"/>
          <w:szCs w:val="28"/>
        </w:rPr>
      </w:pPr>
    </w:p>
    <w:p w14:paraId="51A47229" w14:textId="2CBC6849" w:rsidR="009602E9" w:rsidRDefault="009602E9" w:rsidP="0001773C">
      <w:pPr>
        <w:spacing w:after="0" w:line="360" w:lineRule="auto"/>
        <w:ind w:firstLine="851"/>
        <w:jc w:val="both"/>
        <w:rPr>
          <w:rFonts w:ascii="Times New Roman" w:hAnsi="Times New Roman" w:cs="Times New Roman"/>
          <w:sz w:val="28"/>
          <w:szCs w:val="28"/>
        </w:rPr>
      </w:pPr>
    </w:p>
    <w:p w14:paraId="76D8460D" w14:textId="620467F7" w:rsidR="009602E9" w:rsidRDefault="009602E9" w:rsidP="0001773C">
      <w:pPr>
        <w:spacing w:after="0" w:line="360" w:lineRule="auto"/>
        <w:ind w:firstLine="851"/>
        <w:jc w:val="both"/>
        <w:rPr>
          <w:rFonts w:ascii="Times New Roman" w:hAnsi="Times New Roman" w:cs="Times New Roman"/>
          <w:sz w:val="28"/>
          <w:szCs w:val="28"/>
        </w:rPr>
      </w:pPr>
    </w:p>
    <w:p w14:paraId="5E1569B0" w14:textId="556986E7" w:rsidR="009602E9" w:rsidRDefault="009602E9" w:rsidP="009602E9">
      <w:pPr>
        <w:pStyle w:val="2"/>
        <w:spacing w:line="360" w:lineRule="auto"/>
        <w:ind w:firstLine="851"/>
        <w:jc w:val="center"/>
        <w:rPr>
          <w:rStyle w:val="20"/>
          <w:rFonts w:ascii="Times New Roman" w:hAnsi="Times New Roman" w:cs="Times New Roman"/>
          <w:color w:val="auto"/>
          <w:sz w:val="28"/>
          <w:szCs w:val="28"/>
        </w:rPr>
      </w:pPr>
      <w:r w:rsidRPr="003170EC">
        <w:rPr>
          <w:rFonts w:ascii="Times New Roman" w:hAnsi="Times New Roman" w:cs="Times New Roman"/>
          <w:color w:val="auto"/>
          <w:sz w:val="28"/>
          <w:szCs w:val="28"/>
        </w:rPr>
        <w:lastRenderedPageBreak/>
        <w:t>1</w:t>
      </w:r>
      <w:r w:rsidRPr="009602E9">
        <w:rPr>
          <w:rStyle w:val="20"/>
          <w:rFonts w:ascii="Times New Roman" w:hAnsi="Times New Roman" w:cs="Times New Roman"/>
          <w:color w:val="auto"/>
          <w:sz w:val="28"/>
          <w:szCs w:val="28"/>
        </w:rPr>
        <w:t>.2 Описание организации</w:t>
      </w:r>
    </w:p>
    <w:p w14:paraId="4D851CC1" w14:textId="4B887E8A"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 xml:space="preserve">Компания представляет два объекта: земельная территория, находящаяся рядом с селом и офис, </w:t>
      </w:r>
      <w:r w:rsidR="000C73F8">
        <w:rPr>
          <w:rFonts w:ascii="Times New Roman" w:hAnsi="Times New Roman" w:cs="Times New Roman"/>
          <w:sz w:val="28"/>
          <w:szCs w:val="28"/>
        </w:rPr>
        <w:t>местоположение</w:t>
      </w:r>
      <w:r w:rsidRPr="009602E9">
        <w:rPr>
          <w:rFonts w:ascii="Times New Roman" w:hAnsi="Times New Roman" w:cs="Times New Roman"/>
          <w:sz w:val="28"/>
          <w:szCs w:val="28"/>
        </w:rPr>
        <w:t xml:space="preserve"> в городе. Место непосредственного отдыха находится в близи села так как сельская местность придает месту отдыха значимый социальный и исторический фактор. А городское местонахождение офиса полезно в качестве поиска работников бухгалтерии, кадрового учета, юриспруденции.</w:t>
      </w:r>
    </w:p>
    <w:p w14:paraId="06ACEB10"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Множество компаний открывают места для отдыха рядом или внутри старинных губерний, старинных мест обитания предков. Таковой выбор придаёт месту большую социальную огласку, интерес среди людей. Также выбор сельской местности для установки базы отдыха сельского туризма сможет посодействовать поиску квалифицированных работников для объекта и увеличить количество рабочих мест, развитием инфраструктуры.</w:t>
      </w:r>
    </w:p>
    <w:p w14:paraId="32C27B36"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У многих организаций есть желание отправлять своих работников на отдых после трудных рабочих сессий. Такой организацией в моём творческом примере является далее – X Банк. Вдохновившись идеей развития сельского туризма и экологически чистого оздоровительного отдыха X Банк (Рисунок 1.1) приходит к мнению о создании компании по предоставлению услуг сельского туризма. Данная компания принесет ещё больший доход и льготный отдых для работников Банка и всех его структур.</w:t>
      </w:r>
    </w:p>
    <w:p w14:paraId="69FD9B82"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5B3F3C01" wp14:editId="23EDE12F">
            <wp:extent cx="2047875" cy="2047875"/>
            <wp:effectExtent l="0" t="0" r="9525" b="9525"/>
            <wp:docPr id="5" name="Рисунок 5" descr="images (22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225×2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5F919CF4" w14:textId="4E6B4282" w:rsidR="009602E9" w:rsidRPr="009602E9" w:rsidRDefault="009602E9" w:rsidP="000C73F8">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1.1 логотип банка</w:t>
      </w:r>
    </w:p>
    <w:p w14:paraId="703F1880"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lastRenderedPageBreak/>
        <w:t xml:space="preserve">У организации имеется помещение и штат сотрудников. Помещение арендуется в бизнес комплексе (Рисунок 1.2). </w:t>
      </w:r>
    </w:p>
    <w:p w14:paraId="3F9BDADD"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77E49459" wp14:editId="171C1717">
            <wp:extent cx="4886287" cy="36645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95594" cy="3671565"/>
                    </a:xfrm>
                    <a:prstGeom prst="rect">
                      <a:avLst/>
                    </a:prstGeom>
                    <a:noFill/>
                    <a:ln>
                      <a:noFill/>
                    </a:ln>
                  </pic:spPr>
                </pic:pic>
              </a:graphicData>
            </a:graphic>
          </wp:inline>
        </w:drawing>
      </w:r>
    </w:p>
    <w:p w14:paraId="59282D92"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1.2 Бизнес комплекс</w:t>
      </w:r>
    </w:p>
    <w:p w14:paraId="75691958" w14:textId="77777777" w:rsidR="009602E9" w:rsidRPr="009602E9" w:rsidRDefault="009602E9" w:rsidP="009602E9">
      <w:pPr>
        <w:spacing w:line="360" w:lineRule="auto"/>
        <w:ind w:firstLine="851"/>
        <w:rPr>
          <w:rFonts w:ascii="Times New Roman" w:hAnsi="Times New Roman" w:cs="Times New Roman"/>
          <w:sz w:val="28"/>
          <w:szCs w:val="28"/>
        </w:rPr>
      </w:pPr>
    </w:p>
    <w:p w14:paraId="4257511B" w14:textId="2A3BDCD3" w:rsidR="000C73F8"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Под организацию может быть выделено несколько этажей. Имеется всё необходимое для работы сотрудников.</w:t>
      </w:r>
      <w:r w:rsidR="000C73F8">
        <w:rPr>
          <w:rFonts w:ascii="Times New Roman" w:hAnsi="Times New Roman" w:cs="Times New Roman"/>
          <w:sz w:val="28"/>
          <w:szCs w:val="28"/>
        </w:rPr>
        <w:t xml:space="preserve"> </w:t>
      </w:r>
      <w:r w:rsidR="003170EC">
        <w:rPr>
          <w:rFonts w:ascii="Times New Roman" w:hAnsi="Times New Roman" w:cs="Times New Roman"/>
          <w:sz w:val="28"/>
          <w:szCs w:val="28"/>
          <w:lang w:val="en-US"/>
        </w:rPr>
        <w:t>X</w:t>
      </w:r>
      <w:r w:rsidR="003170EC">
        <w:rPr>
          <w:rFonts w:ascii="Times New Roman" w:hAnsi="Times New Roman" w:cs="Times New Roman"/>
          <w:sz w:val="28"/>
          <w:szCs w:val="28"/>
        </w:rPr>
        <w:t xml:space="preserve"> Банк является финансово-кредитной организацией, занимается стандартной деятельностью банка. Производит разнообразные виды операций с деньгами и ценными бумагами, оказывает финансовые услуги юридическим, физическим лицам и правительству. </w:t>
      </w:r>
      <w:r w:rsidR="0000479A">
        <w:rPr>
          <w:rFonts w:ascii="Times New Roman" w:hAnsi="Times New Roman" w:cs="Times New Roman"/>
          <w:sz w:val="28"/>
          <w:szCs w:val="28"/>
        </w:rPr>
        <w:t>Я</w:t>
      </w:r>
      <w:r w:rsidR="00ED18C6">
        <w:rPr>
          <w:rFonts w:ascii="Times New Roman" w:hAnsi="Times New Roman" w:cs="Times New Roman"/>
          <w:sz w:val="28"/>
          <w:szCs w:val="28"/>
        </w:rPr>
        <w:t>вляется коммерческое юридическое лицо, оно занимается</w:t>
      </w:r>
      <w:r w:rsidR="00ED18C6" w:rsidRPr="00ED18C6">
        <w:rPr>
          <w:rFonts w:ascii="Times New Roman" w:hAnsi="Times New Roman" w:cs="Times New Roman"/>
          <w:sz w:val="28"/>
          <w:szCs w:val="28"/>
        </w:rPr>
        <w:t>:</w:t>
      </w:r>
      <w:r w:rsidR="00ED18C6">
        <w:rPr>
          <w:rFonts w:ascii="Times New Roman" w:hAnsi="Times New Roman" w:cs="Times New Roman"/>
          <w:sz w:val="28"/>
          <w:szCs w:val="28"/>
        </w:rPr>
        <w:t xml:space="preserve"> осуществлением банковских операций, привлечением денежных средств юридических и физических лиц с целью размещения от своего имени, а также открытие, ведение банковских счетов физических и юридических лиц. Действует на основании специально лицензии полномочных государственных органов.</w:t>
      </w:r>
    </w:p>
    <w:p w14:paraId="55934732" w14:textId="7892A059" w:rsidR="00A534D9" w:rsidRDefault="00DB4A2E" w:rsidP="009602E9">
      <w:pPr>
        <w:spacing w:line="360" w:lineRule="auto"/>
        <w:ind w:firstLine="851"/>
        <w:rPr>
          <w:rFonts w:ascii="Times New Roman" w:hAnsi="Times New Roman" w:cs="Times New Roman"/>
          <w:sz w:val="28"/>
          <w:szCs w:val="28"/>
        </w:rPr>
      </w:pPr>
      <w:r>
        <w:rPr>
          <w:rFonts w:ascii="Times New Roman" w:hAnsi="Times New Roman" w:cs="Times New Roman"/>
          <w:sz w:val="28"/>
          <w:szCs w:val="28"/>
        </w:rPr>
        <w:lastRenderedPageBreak/>
        <w:t>Организационная структурой банка, на рисунке 1.3, определяется оперативные так и штабные функции банка. К оперативным относится</w:t>
      </w:r>
      <w:r w:rsidRPr="00DB4A2E">
        <w:rPr>
          <w:rFonts w:ascii="Times New Roman" w:hAnsi="Times New Roman" w:cs="Times New Roman"/>
          <w:sz w:val="28"/>
          <w:szCs w:val="28"/>
        </w:rPr>
        <w:t xml:space="preserve">: </w:t>
      </w:r>
      <w:r>
        <w:rPr>
          <w:rFonts w:ascii="Times New Roman" w:hAnsi="Times New Roman" w:cs="Times New Roman"/>
          <w:sz w:val="28"/>
          <w:szCs w:val="28"/>
        </w:rPr>
        <w:t>осуществление доверительных операций, прием и обслуживание вкладов, международные расчеты. К штабным</w:t>
      </w:r>
      <w:r w:rsidRPr="00DB4A2E">
        <w:rPr>
          <w:rFonts w:ascii="Times New Roman" w:hAnsi="Times New Roman" w:cs="Times New Roman"/>
          <w:sz w:val="28"/>
          <w:szCs w:val="28"/>
        </w:rPr>
        <w:t>:</w:t>
      </w:r>
      <w:r>
        <w:rPr>
          <w:rFonts w:ascii="Times New Roman" w:hAnsi="Times New Roman" w:cs="Times New Roman"/>
          <w:sz w:val="28"/>
          <w:szCs w:val="28"/>
        </w:rPr>
        <w:t xml:space="preserve"> консультирование исполнителей, анализ хозяйственной деятельности, ведение бухгалтерского учета, прием на работу, повышение квалификации сотрудников, контроль за деятельностью банка, маркетинг. В результате структуры банка включает функциональные службы и подразделения, число которых определяется экономическим содержанием и объемом выполняемых банком операций.</w:t>
      </w:r>
    </w:p>
    <w:p w14:paraId="2C1E605B" w14:textId="287BC52E" w:rsidR="00DB4A2E" w:rsidRDefault="00DB4A2E" w:rsidP="00DB4A2E">
      <w:pPr>
        <w:spacing w:line="360" w:lineRule="auto"/>
        <w:ind w:firstLine="851"/>
        <w:jc w:val="center"/>
        <w:rPr>
          <w:rFonts w:ascii="Times New Roman" w:hAnsi="Times New Roman" w:cs="Times New Roman"/>
          <w:b/>
          <w:bCs/>
          <w:sz w:val="28"/>
          <w:szCs w:val="28"/>
        </w:rPr>
      </w:pPr>
      <w:r>
        <w:rPr>
          <w:noProof/>
        </w:rPr>
        <w:drawing>
          <wp:inline distT="0" distB="0" distL="0" distR="0" wp14:anchorId="4D7DE16D" wp14:editId="6AC52726">
            <wp:extent cx="5010682" cy="50673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1746" cy="5068376"/>
                    </a:xfrm>
                    <a:prstGeom prst="rect">
                      <a:avLst/>
                    </a:prstGeom>
                    <a:noFill/>
                    <a:ln>
                      <a:noFill/>
                    </a:ln>
                  </pic:spPr>
                </pic:pic>
              </a:graphicData>
            </a:graphic>
          </wp:inline>
        </w:drawing>
      </w:r>
    </w:p>
    <w:p w14:paraId="2F48509A" w14:textId="675B480D" w:rsidR="00DB4A2E" w:rsidRDefault="00DB4A2E" w:rsidP="00DB4A2E">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1.3 Структура организации банка</w:t>
      </w:r>
    </w:p>
    <w:p w14:paraId="33E8099E" w14:textId="25177C45" w:rsidR="00DB4A2E" w:rsidRDefault="001B51E4" w:rsidP="00DB4A2E">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Офис имеет план-схему, данная схема предоставлена на рисунке 1.4</w:t>
      </w:r>
    </w:p>
    <w:p w14:paraId="11071A4B" w14:textId="4D23196F" w:rsidR="001B51E4" w:rsidRPr="00DB4A2E" w:rsidRDefault="001B51E4" w:rsidP="001B51E4">
      <w:pPr>
        <w:spacing w:line="360" w:lineRule="auto"/>
        <w:ind w:firstLine="851"/>
        <w:jc w:val="center"/>
        <w:rPr>
          <w:rFonts w:ascii="Times New Roman" w:hAnsi="Times New Roman" w:cs="Times New Roman"/>
          <w:sz w:val="28"/>
          <w:szCs w:val="28"/>
        </w:rPr>
      </w:pPr>
      <w:r>
        <w:rPr>
          <w:noProof/>
        </w:rPr>
        <w:lastRenderedPageBreak/>
        <w:drawing>
          <wp:inline distT="0" distB="0" distL="0" distR="0" wp14:anchorId="4B79B3A1" wp14:editId="71E71DC9">
            <wp:extent cx="5940425" cy="410273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4102735"/>
                    </a:xfrm>
                    <a:prstGeom prst="rect">
                      <a:avLst/>
                    </a:prstGeom>
                    <a:noFill/>
                    <a:ln>
                      <a:noFill/>
                    </a:ln>
                  </pic:spPr>
                </pic:pic>
              </a:graphicData>
            </a:graphic>
          </wp:inline>
        </w:drawing>
      </w:r>
    </w:p>
    <w:p w14:paraId="2686749B" w14:textId="02DA19D5" w:rsidR="00ED18C6" w:rsidRDefault="001B51E4" w:rsidP="001B51E4">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1.4 схема офиса</w:t>
      </w:r>
    </w:p>
    <w:p w14:paraId="5BFE46F8" w14:textId="5AB3988C"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 xml:space="preserve"> Так же имеется своя сеть</w:t>
      </w:r>
      <w:r w:rsidR="001B51E4">
        <w:rPr>
          <w:rFonts w:ascii="Times New Roman" w:hAnsi="Times New Roman" w:cs="Times New Roman"/>
          <w:sz w:val="28"/>
          <w:szCs w:val="28"/>
        </w:rPr>
        <w:t>, стойка для оборудования и</w:t>
      </w:r>
      <w:r w:rsidRPr="009602E9">
        <w:rPr>
          <w:rFonts w:ascii="Times New Roman" w:hAnsi="Times New Roman" w:cs="Times New Roman"/>
          <w:sz w:val="28"/>
          <w:szCs w:val="28"/>
        </w:rPr>
        <w:t xml:space="preserve"> серверное оборудование. В дальнейшем серверное оборудование будет необходимо для использования в проекте.</w:t>
      </w:r>
    </w:p>
    <w:p w14:paraId="44F577A1" w14:textId="1BFD5403" w:rsid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В случае локальной сети (Рисунок 1.</w:t>
      </w:r>
      <w:r w:rsidR="001B51E4">
        <w:rPr>
          <w:rFonts w:ascii="Times New Roman" w:hAnsi="Times New Roman" w:cs="Times New Roman"/>
          <w:sz w:val="28"/>
          <w:szCs w:val="28"/>
        </w:rPr>
        <w:t>5</w:t>
      </w:r>
      <w:r w:rsidRPr="009602E9">
        <w:rPr>
          <w:rFonts w:ascii="Times New Roman" w:hAnsi="Times New Roman" w:cs="Times New Roman"/>
          <w:sz w:val="28"/>
          <w:szCs w:val="28"/>
        </w:rPr>
        <w:t xml:space="preserve">), она находится в одном сегменте, а интернет-серверы – в другом. Маршрутизатор выполняет роль шлюза в интернет, также и для серверов. </w:t>
      </w:r>
    </w:p>
    <w:p w14:paraId="608CBA60" w14:textId="5018CEEC" w:rsidR="006A5CD3" w:rsidRPr="009602E9" w:rsidRDefault="006A5CD3" w:rsidP="009602E9">
      <w:pPr>
        <w:spacing w:line="360" w:lineRule="auto"/>
        <w:ind w:firstLine="851"/>
        <w:rPr>
          <w:rFonts w:ascii="Times New Roman" w:hAnsi="Times New Roman" w:cs="Times New Roman"/>
          <w:sz w:val="28"/>
          <w:szCs w:val="28"/>
        </w:rPr>
      </w:pPr>
      <w:r>
        <w:rPr>
          <w:rFonts w:ascii="Times New Roman" w:hAnsi="Times New Roman" w:cs="Times New Roman"/>
          <w:sz w:val="28"/>
          <w:szCs w:val="28"/>
        </w:rPr>
        <w:t xml:space="preserve">Есть коммутационный шкаф, на стойке уже имеется оборудование банка, сервер и </w:t>
      </w:r>
      <w:proofErr w:type="spellStart"/>
      <w:r>
        <w:rPr>
          <w:rFonts w:ascii="Times New Roman" w:hAnsi="Times New Roman" w:cs="Times New Roman"/>
          <w:sz w:val="28"/>
          <w:szCs w:val="28"/>
        </w:rPr>
        <w:t>хабы</w:t>
      </w:r>
      <w:proofErr w:type="spellEnd"/>
      <w:r>
        <w:rPr>
          <w:rFonts w:ascii="Times New Roman" w:hAnsi="Times New Roman" w:cs="Times New Roman"/>
          <w:sz w:val="28"/>
          <w:szCs w:val="28"/>
        </w:rPr>
        <w:t xml:space="preserve"> для локальной сети.</w:t>
      </w:r>
    </w:p>
    <w:p w14:paraId="17FB25AC"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noProof/>
          <w:sz w:val="28"/>
          <w:szCs w:val="28"/>
          <w:lang w:eastAsia="ru-RU"/>
        </w:rPr>
        <w:lastRenderedPageBreak/>
        <w:drawing>
          <wp:inline distT="0" distB="0" distL="0" distR="0" wp14:anchorId="2BAE9178" wp14:editId="630F6057">
            <wp:extent cx="4505325" cy="4947024"/>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1684" cy="4964986"/>
                    </a:xfrm>
                    <a:prstGeom prst="rect">
                      <a:avLst/>
                    </a:prstGeom>
                    <a:noFill/>
                    <a:ln>
                      <a:noFill/>
                    </a:ln>
                  </pic:spPr>
                </pic:pic>
              </a:graphicData>
            </a:graphic>
          </wp:inline>
        </w:drawing>
      </w:r>
      <w:r w:rsidRPr="009602E9">
        <w:rPr>
          <w:rFonts w:ascii="Times New Roman" w:hAnsi="Times New Roman" w:cs="Times New Roman"/>
          <w:sz w:val="28"/>
          <w:szCs w:val="28"/>
        </w:rPr>
        <w:t xml:space="preserve"> </w:t>
      </w:r>
    </w:p>
    <w:p w14:paraId="18E0E438" w14:textId="05DDC1EA" w:rsid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w:t>
      </w:r>
      <w:r w:rsidR="001B51E4">
        <w:rPr>
          <w:rFonts w:ascii="Times New Roman" w:hAnsi="Times New Roman" w:cs="Times New Roman"/>
          <w:sz w:val="28"/>
          <w:szCs w:val="28"/>
        </w:rPr>
        <w:t>5</w:t>
      </w:r>
      <w:r w:rsidRPr="009602E9">
        <w:rPr>
          <w:rFonts w:ascii="Times New Roman" w:hAnsi="Times New Roman" w:cs="Times New Roman"/>
          <w:sz w:val="28"/>
          <w:szCs w:val="28"/>
        </w:rPr>
        <w:t xml:space="preserve"> Топологическая карта сети</w:t>
      </w:r>
    </w:p>
    <w:p w14:paraId="2764D160" w14:textId="77D96251" w:rsidR="001B51E4" w:rsidRPr="006A5CD3" w:rsidRDefault="006A5CD3" w:rsidP="001B51E4">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Коммутационный шкаф ЦМО (ШТК-СП-48.8.12-48АА-9005) напольный 48</w:t>
      </w:r>
      <w:r>
        <w:rPr>
          <w:rFonts w:ascii="Times New Roman" w:hAnsi="Times New Roman" w:cs="Times New Roman"/>
          <w:sz w:val="28"/>
          <w:szCs w:val="28"/>
          <w:lang w:val="en-US"/>
        </w:rPr>
        <w:t>U</w:t>
      </w:r>
      <w:r w:rsidRPr="006A5CD3">
        <w:rPr>
          <w:rFonts w:ascii="Times New Roman" w:hAnsi="Times New Roman" w:cs="Times New Roman"/>
          <w:sz w:val="28"/>
          <w:szCs w:val="28"/>
        </w:rPr>
        <w:t xml:space="preserve"> 800</w:t>
      </w:r>
      <w:r>
        <w:rPr>
          <w:rFonts w:ascii="Times New Roman" w:hAnsi="Times New Roman" w:cs="Times New Roman"/>
          <w:sz w:val="28"/>
          <w:szCs w:val="28"/>
          <w:lang w:val="en-US"/>
        </w:rPr>
        <w:t>x</w:t>
      </w:r>
      <w:r w:rsidRPr="006A5CD3">
        <w:rPr>
          <w:rFonts w:ascii="Times New Roman" w:hAnsi="Times New Roman" w:cs="Times New Roman"/>
          <w:sz w:val="28"/>
          <w:szCs w:val="28"/>
        </w:rPr>
        <w:t>1190</w:t>
      </w:r>
      <w:r>
        <w:rPr>
          <w:rFonts w:ascii="Times New Roman" w:hAnsi="Times New Roman" w:cs="Times New Roman"/>
          <w:sz w:val="28"/>
          <w:szCs w:val="28"/>
        </w:rPr>
        <w:t>мм рисунок 1.6. Данный шкаф имеет необходимое место в случае докупки необходимого оборудования. Имеет удобные выходы для сетевых коммуникаций защиту по всему корпусу и стекло для возможности обзора оборудования, его работоспособности и диагностики.</w:t>
      </w:r>
    </w:p>
    <w:p w14:paraId="4ED46CCE" w14:textId="1602A3C9" w:rsidR="001B51E4" w:rsidRDefault="006A5CD3" w:rsidP="001B51E4">
      <w:pPr>
        <w:spacing w:line="360" w:lineRule="auto"/>
        <w:ind w:firstLine="851"/>
        <w:jc w:val="center"/>
        <w:rPr>
          <w:rFonts w:ascii="Times New Roman" w:hAnsi="Times New Roman" w:cs="Times New Roman"/>
          <w:sz w:val="28"/>
          <w:szCs w:val="28"/>
        </w:rPr>
      </w:pPr>
      <w:r w:rsidRPr="006A5CD3">
        <w:rPr>
          <w:rFonts w:ascii="Times New Roman" w:hAnsi="Times New Roman" w:cs="Times New Roman"/>
          <w:noProof/>
          <w:sz w:val="28"/>
          <w:szCs w:val="28"/>
        </w:rPr>
        <w:lastRenderedPageBreak/>
        <w:drawing>
          <wp:inline distT="0" distB="0" distL="0" distR="0" wp14:anchorId="12144956" wp14:editId="0CA95788">
            <wp:extent cx="2551814" cy="4425654"/>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7401" cy="4522060"/>
                    </a:xfrm>
                    <a:prstGeom prst="rect">
                      <a:avLst/>
                    </a:prstGeom>
                    <a:noFill/>
                    <a:ln>
                      <a:noFill/>
                    </a:ln>
                  </pic:spPr>
                </pic:pic>
              </a:graphicData>
            </a:graphic>
          </wp:inline>
        </w:drawing>
      </w:r>
    </w:p>
    <w:p w14:paraId="168207BF" w14:textId="04FD5FB4" w:rsidR="006A5CD3" w:rsidRPr="009602E9" w:rsidRDefault="006A5CD3" w:rsidP="001B51E4">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1.6</w:t>
      </w:r>
    </w:p>
    <w:p w14:paraId="42AD6BDD" w14:textId="44D434E0" w:rsid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Серверная оснащена оборудованием SUPERMICRO SYS-6017R X9DRI-LN4F+ (Рисунок 1.</w:t>
      </w:r>
      <w:r w:rsidR="006A5CD3">
        <w:rPr>
          <w:rFonts w:ascii="Times New Roman" w:hAnsi="Times New Roman" w:cs="Times New Roman"/>
          <w:sz w:val="28"/>
          <w:szCs w:val="28"/>
        </w:rPr>
        <w:t>6</w:t>
      </w:r>
      <w:r w:rsidRPr="009602E9">
        <w:rPr>
          <w:rFonts w:ascii="Times New Roman" w:hAnsi="Times New Roman" w:cs="Times New Roman"/>
          <w:sz w:val="28"/>
          <w:szCs w:val="28"/>
        </w:rPr>
        <w:t xml:space="preserve">), чип сет </w:t>
      </w:r>
      <w:proofErr w:type="spellStart"/>
      <w:r w:rsidRPr="009602E9">
        <w:rPr>
          <w:rFonts w:ascii="Times New Roman" w:hAnsi="Times New Roman" w:cs="Times New Roman"/>
          <w:sz w:val="28"/>
          <w:szCs w:val="28"/>
        </w:rPr>
        <w:t>Intel</w:t>
      </w:r>
      <w:proofErr w:type="spellEnd"/>
      <w:r w:rsidRPr="009602E9">
        <w:rPr>
          <w:rFonts w:ascii="Times New Roman" w:hAnsi="Times New Roman" w:cs="Times New Roman"/>
          <w:sz w:val="28"/>
          <w:szCs w:val="28"/>
        </w:rPr>
        <w:t xml:space="preserve"> C</w:t>
      </w:r>
      <w:proofErr w:type="gramStart"/>
      <w:r w:rsidRPr="009602E9">
        <w:rPr>
          <w:rFonts w:ascii="Times New Roman" w:hAnsi="Times New Roman" w:cs="Times New Roman"/>
          <w:sz w:val="28"/>
          <w:szCs w:val="28"/>
        </w:rPr>
        <w:t>602  Сокет</w:t>
      </w:r>
      <w:proofErr w:type="gramEnd"/>
      <w:r w:rsidRPr="009602E9">
        <w:rPr>
          <w:rFonts w:ascii="Times New Roman" w:hAnsi="Times New Roman" w:cs="Times New Roman"/>
          <w:sz w:val="28"/>
          <w:szCs w:val="28"/>
        </w:rPr>
        <w:t xml:space="preserve"> LGA201.</w:t>
      </w:r>
    </w:p>
    <w:p w14:paraId="31BC855B" w14:textId="6F9A58A6" w:rsidR="001B51E4" w:rsidRPr="009602E9" w:rsidRDefault="001B51E4" w:rsidP="001B51E4">
      <w:pPr>
        <w:spacing w:line="360" w:lineRule="auto"/>
        <w:ind w:firstLine="851"/>
        <w:jc w:val="center"/>
        <w:rPr>
          <w:rFonts w:ascii="Times New Roman" w:hAnsi="Times New Roman" w:cs="Times New Roman"/>
          <w:sz w:val="28"/>
          <w:szCs w:val="28"/>
        </w:rPr>
      </w:pPr>
    </w:p>
    <w:p w14:paraId="120FD029"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5FEFC8D6" wp14:editId="0CF8B4C7">
            <wp:extent cx="4152900" cy="2587183"/>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0509" cy="2647992"/>
                    </a:xfrm>
                    <a:prstGeom prst="rect">
                      <a:avLst/>
                    </a:prstGeom>
                  </pic:spPr>
                </pic:pic>
              </a:graphicData>
            </a:graphic>
          </wp:inline>
        </w:drawing>
      </w:r>
    </w:p>
    <w:p w14:paraId="03B16454" w14:textId="244E26B4" w:rsid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w:t>
      </w:r>
      <w:r w:rsidR="006A5CD3">
        <w:rPr>
          <w:rFonts w:ascii="Times New Roman" w:hAnsi="Times New Roman" w:cs="Times New Roman"/>
          <w:sz w:val="28"/>
          <w:szCs w:val="28"/>
        </w:rPr>
        <w:t>7</w:t>
      </w:r>
      <w:r w:rsidRPr="009602E9">
        <w:rPr>
          <w:rFonts w:ascii="Times New Roman" w:hAnsi="Times New Roman" w:cs="Times New Roman"/>
          <w:sz w:val="28"/>
          <w:szCs w:val="28"/>
        </w:rPr>
        <w:t xml:space="preserve"> Сервер</w:t>
      </w:r>
    </w:p>
    <w:p w14:paraId="652F8EF2" w14:textId="2DBD02C4" w:rsidR="003464F7" w:rsidRDefault="003464F7" w:rsidP="003464F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Вывод</w:t>
      </w:r>
      <w:r w:rsidRPr="003464F7">
        <w:rPr>
          <w:rFonts w:ascii="Times New Roman" w:hAnsi="Times New Roman" w:cs="Times New Roman"/>
          <w:sz w:val="28"/>
          <w:szCs w:val="28"/>
        </w:rPr>
        <w:t>:</w:t>
      </w:r>
      <w:r>
        <w:rPr>
          <w:rFonts w:ascii="Times New Roman" w:hAnsi="Times New Roman" w:cs="Times New Roman"/>
          <w:sz w:val="28"/>
          <w:szCs w:val="28"/>
        </w:rPr>
        <w:t xml:space="preserve"> банк имеет все необходимое для развития и расширения в разные направления. Оборудование и коммуникации предоставляют возможности для </w:t>
      </w:r>
      <w:r>
        <w:rPr>
          <w:rFonts w:ascii="Times New Roman" w:hAnsi="Times New Roman" w:cs="Times New Roman"/>
          <w:sz w:val="28"/>
          <w:szCs w:val="28"/>
          <w:lang w:val="en-US"/>
        </w:rPr>
        <w:t>IT</w:t>
      </w:r>
      <w:r w:rsidRPr="003464F7">
        <w:rPr>
          <w:rFonts w:ascii="Times New Roman" w:hAnsi="Times New Roman" w:cs="Times New Roman"/>
          <w:sz w:val="28"/>
          <w:szCs w:val="28"/>
        </w:rPr>
        <w:t xml:space="preserve"> </w:t>
      </w:r>
      <w:r>
        <w:rPr>
          <w:rFonts w:ascii="Times New Roman" w:hAnsi="Times New Roman" w:cs="Times New Roman"/>
          <w:sz w:val="28"/>
          <w:szCs w:val="28"/>
        </w:rPr>
        <w:t>отдела</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Управляющий состав может начинать необходимые действия для открытия новой компании, набор сотрудников, аналитики и составления задачи отделам.</w:t>
      </w:r>
    </w:p>
    <w:p w14:paraId="471FD299" w14:textId="2ADF16AB" w:rsidR="003464F7" w:rsidRDefault="003464F7" w:rsidP="003464F7">
      <w:pPr>
        <w:spacing w:line="360" w:lineRule="auto"/>
        <w:ind w:firstLine="851"/>
        <w:jc w:val="both"/>
        <w:rPr>
          <w:rFonts w:ascii="Times New Roman" w:hAnsi="Times New Roman" w:cs="Times New Roman"/>
          <w:sz w:val="28"/>
          <w:szCs w:val="28"/>
        </w:rPr>
      </w:pPr>
    </w:p>
    <w:p w14:paraId="4B7564DA" w14:textId="71AAEB04" w:rsidR="003464F7" w:rsidRDefault="003464F7" w:rsidP="003464F7">
      <w:pPr>
        <w:spacing w:line="360" w:lineRule="auto"/>
        <w:ind w:firstLine="851"/>
        <w:jc w:val="both"/>
        <w:rPr>
          <w:rFonts w:ascii="Times New Roman" w:hAnsi="Times New Roman" w:cs="Times New Roman"/>
          <w:sz w:val="28"/>
          <w:szCs w:val="28"/>
        </w:rPr>
      </w:pPr>
    </w:p>
    <w:p w14:paraId="4506E0E7" w14:textId="33EEDFDA" w:rsidR="003464F7" w:rsidRDefault="003464F7" w:rsidP="003464F7">
      <w:pPr>
        <w:spacing w:line="360" w:lineRule="auto"/>
        <w:ind w:firstLine="851"/>
        <w:jc w:val="both"/>
        <w:rPr>
          <w:rFonts w:ascii="Times New Roman" w:hAnsi="Times New Roman" w:cs="Times New Roman"/>
          <w:sz w:val="28"/>
          <w:szCs w:val="28"/>
        </w:rPr>
      </w:pPr>
    </w:p>
    <w:p w14:paraId="6E0E712E" w14:textId="3B18DA63" w:rsidR="003464F7" w:rsidRDefault="003464F7" w:rsidP="003464F7">
      <w:pPr>
        <w:spacing w:line="360" w:lineRule="auto"/>
        <w:ind w:firstLine="851"/>
        <w:jc w:val="both"/>
        <w:rPr>
          <w:rFonts w:ascii="Times New Roman" w:hAnsi="Times New Roman" w:cs="Times New Roman"/>
          <w:sz w:val="28"/>
          <w:szCs w:val="28"/>
        </w:rPr>
      </w:pPr>
    </w:p>
    <w:p w14:paraId="437ED85D" w14:textId="743F3DCD" w:rsidR="003464F7" w:rsidRDefault="003464F7" w:rsidP="003464F7">
      <w:pPr>
        <w:spacing w:line="360" w:lineRule="auto"/>
        <w:ind w:firstLine="851"/>
        <w:jc w:val="both"/>
        <w:rPr>
          <w:rFonts w:ascii="Times New Roman" w:hAnsi="Times New Roman" w:cs="Times New Roman"/>
          <w:sz w:val="28"/>
          <w:szCs w:val="28"/>
        </w:rPr>
      </w:pPr>
    </w:p>
    <w:p w14:paraId="3932CF65" w14:textId="6D4B1B26" w:rsidR="003464F7" w:rsidRDefault="003464F7" w:rsidP="003464F7">
      <w:pPr>
        <w:spacing w:line="360" w:lineRule="auto"/>
        <w:ind w:firstLine="851"/>
        <w:jc w:val="both"/>
        <w:rPr>
          <w:rFonts w:ascii="Times New Roman" w:hAnsi="Times New Roman" w:cs="Times New Roman"/>
          <w:sz w:val="28"/>
          <w:szCs w:val="28"/>
        </w:rPr>
      </w:pPr>
    </w:p>
    <w:p w14:paraId="755D6940" w14:textId="1B9BC48C" w:rsidR="003464F7" w:rsidRDefault="003464F7" w:rsidP="003464F7">
      <w:pPr>
        <w:spacing w:line="360" w:lineRule="auto"/>
        <w:ind w:firstLine="851"/>
        <w:jc w:val="both"/>
        <w:rPr>
          <w:rFonts w:ascii="Times New Roman" w:hAnsi="Times New Roman" w:cs="Times New Roman"/>
          <w:sz w:val="28"/>
          <w:szCs w:val="28"/>
        </w:rPr>
      </w:pPr>
    </w:p>
    <w:p w14:paraId="41CFF1EC" w14:textId="6180B403" w:rsidR="003464F7" w:rsidRDefault="003464F7" w:rsidP="003464F7">
      <w:pPr>
        <w:spacing w:line="360" w:lineRule="auto"/>
        <w:ind w:firstLine="851"/>
        <w:jc w:val="both"/>
        <w:rPr>
          <w:rFonts w:ascii="Times New Roman" w:hAnsi="Times New Roman" w:cs="Times New Roman"/>
          <w:sz w:val="28"/>
          <w:szCs w:val="28"/>
        </w:rPr>
      </w:pPr>
    </w:p>
    <w:p w14:paraId="2186C9A8" w14:textId="4AF30174" w:rsidR="003464F7" w:rsidRDefault="003464F7" w:rsidP="003464F7">
      <w:pPr>
        <w:spacing w:line="360" w:lineRule="auto"/>
        <w:ind w:firstLine="851"/>
        <w:jc w:val="both"/>
        <w:rPr>
          <w:rFonts w:ascii="Times New Roman" w:hAnsi="Times New Roman" w:cs="Times New Roman"/>
          <w:sz w:val="28"/>
          <w:szCs w:val="28"/>
        </w:rPr>
      </w:pPr>
    </w:p>
    <w:p w14:paraId="678BADA8" w14:textId="74920329" w:rsidR="003464F7" w:rsidRDefault="003464F7" w:rsidP="003464F7">
      <w:pPr>
        <w:spacing w:line="360" w:lineRule="auto"/>
        <w:ind w:firstLine="851"/>
        <w:jc w:val="both"/>
        <w:rPr>
          <w:rFonts w:ascii="Times New Roman" w:hAnsi="Times New Roman" w:cs="Times New Roman"/>
          <w:sz w:val="28"/>
          <w:szCs w:val="28"/>
        </w:rPr>
      </w:pPr>
    </w:p>
    <w:p w14:paraId="209022C6" w14:textId="5492C88A" w:rsidR="003464F7" w:rsidRDefault="003464F7" w:rsidP="003464F7">
      <w:pPr>
        <w:spacing w:line="360" w:lineRule="auto"/>
        <w:ind w:firstLine="851"/>
        <w:jc w:val="both"/>
        <w:rPr>
          <w:rFonts w:ascii="Times New Roman" w:hAnsi="Times New Roman" w:cs="Times New Roman"/>
          <w:sz w:val="28"/>
          <w:szCs w:val="28"/>
        </w:rPr>
      </w:pPr>
    </w:p>
    <w:p w14:paraId="1E244255" w14:textId="70117571" w:rsidR="003464F7" w:rsidRDefault="003464F7" w:rsidP="003464F7">
      <w:pPr>
        <w:spacing w:line="360" w:lineRule="auto"/>
        <w:ind w:firstLine="851"/>
        <w:jc w:val="both"/>
        <w:rPr>
          <w:rFonts w:ascii="Times New Roman" w:hAnsi="Times New Roman" w:cs="Times New Roman"/>
          <w:sz w:val="28"/>
          <w:szCs w:val="28"/>
        </w:rPr>
      </w:pPr>
    </w:p>
    <w:p w14:paraId="68D36397" w14:textId="10A0754B" w:rsidR="003464F7" w:rsidRDefault="003464F7" w:rsidP="003464F7">
      <w:pPr>
        <w:spacing w:line="360" w:lineRule="auto"/>
        <w:ind w:firstLine="851"/>
        <w:jc w:val="both"/>
        <w:rPr>
          <w:rFonts w:ascii="Times New Roman" w:hAnsi="Times New Roman" w:cs="Times New Roman"/>
          <w:sz w:val="28"/>
          <w:szCs w:val="28"/>
        </w:rPr>
      </w:pPr>
    </w:p>
    <w:p w14:paraId="76C08520" w14:textId="52C01662" w:rsidR="003464F7" w:rsidRDefault="003464F7" w:rsidP="003464F7">
      <w:pPr>
        <w:spacing w:line="360" w:lineRule="auto"/>
        <w:ind w:firstLine="851"/>
        <w:jc w:val="both"/>
        <w:rPr>
          <w:rFonts w:ascii="Times New Roman" w:hAnsi="Times New Roman" w:cs="Times New Roman"/>
          <w:sz w:val="28"/>
          <w:szCs w:val="28"/>
        </w:rPr>
      </w:pPr>
    </w:p>
    <w:p w14:paraId="2E278DE3" w14:textId="3E7B009A" w:rsidR="003464F7" w:rsidRDefault="003464F7" w:rsidP="003464F7">
      <w:pPr>
        <w:spacing w:line="360" w:lineRule="auto"/>
        <w:ind w:firstLine="851"/>
        <w:jc w:val="both"/>
        <w:rPr>
          <w:rFonts w:ascii="Times New Roman" w:hAnsi="Times New Roman" w:cs="Times New Roman"/>
          <w:sz w:val="28"/>
          <w:szCs w:val="28"/>
        </w:rPr>
      </w:pPr>
    </w:p>
    <w:p w14:paraId="0FD2E432" w14:textId="28891A3F" w:rsidR="003464F7" w:rsidRDefault="003464F7" w:rsidP="003464F7">
      <w:pPr>
        <w:spacing w:line="360" w:lineRule="auto"/>
        <w:ind w:firstLine="851"/>
        <w:jc w:val="both"/>
        <w:rPr>
          <w:rFonts w:ascii="Times New Roman" w:hAnsi="Times New Roman" w:cs="Times New Roman"/>
          <w:sz w:val="28"/>
          <w:szCs w:val="28"/>
        </w:rPr>
      </w:pPr>
    </w:p>
    <w:p w14:paraId="2EC0B2B0" w14:textId="3193CE93" w:rsidR="003464F7" w:rsidRDefault="003464F7" w:rsidP="003464F7">
      <w:pPr>
        <w:spacing w:line="360" w:lineRule="auto"/>
        <w:ind w:firstLine="851"/>
        <w:jc w:val="both"/>
        <w:rPr>
          <w:rFonts w:ascii="Times New Roman" w:hAnsi="Times New Roman" w:cs="Times New Roman"/>
          <w:sz w:val="28"/>
          <w:szCs w:val="28"/>
        </w:rPr>
      </w:pPr>
    </w:p>
    <w:p w14:paraId="0E689F91" w14:textId="5EBE4010" w:rsidR="003464F7" w:rsidRDefault="003464F7" w:rsidP="003464F7">
      <w:pPr>
        <w:spacing w:line="360" w:lineRule="auto"/>
        <w:ind w:firstLine="851"/>
        <w:jc w:val="both"/>
        <w:rPr>
          <w:rFonts w:ascii="Times New Roman" w:hAnsi="Times New Roman" w:cs="Times New Roman"/>
          <w:sz w:val="28"/>
          <w:szCs w:val="28"/>
        </w:rPr>
      </w:pPr>
    </w:p>
    <w:p w14:paraId="43AC7D1B" w14:textId="4B483FBD" w:rsidR="003464F7" w:rsidRDefault="003464F7" w:rsidP="003464F7">
      <w:pPr>
        <w:spacing w:line="360" w:lineRule="auto"/>
        <w:ind w:firstLine="851"/>
        <w:jc w:val="both"/>
        <w:rPr>
          <w:rFonts w:ascii="Times New Roman" w:hAnsi="Times New Roman" w:cs="Times New Roman"/>
          <w:sz w:val="28"/>
          <w:szCs w:val="28"/>
        </w:rPr>
      </w:pPr>
    </w:p>
    <w:p w14:paraId="56FBE9E1" w14:textId="77777777" w:rsidR="00382578" w:rsidRDefault="00B97C63" w:rsidP="009602E9">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lastRenderedPageBreak/>
        <w:t>1.3 Анализ потребителей и постановка задачи.</w:t>
      </w:r>
    </w:p>
    <w:p w14:paraId="194830F6" w14:textId="77777777" w:rsidR="00382578" w:rsidRP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t xml:space="preserve">По состоянию на июнь 2019 года сфера туризма у части субъектов остается в ведении министерств культуры (41%), у части субъектов переведена в министерства экономического развития (13%), у части субъектов находится в ведении иных министерств и ведомств, отвечающих, наряду с туризмом, за природные ресурсы, спорт, молодежную политику, потребительский рынок, инвестиционное развитие, промышленность и предпринимательство (30%). </w:t>
      </w:r>
    </w:p>
    <w:p w14:paraId="018B0724" w14:textId="50BC8152" w:rsidR="00382578" w:rsidRP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t xml:space="preserve">Кроме того, 16% субъектов имеют самостоятельные министерства и агентства по туризму. Наличие регионального закона, программы, подпрограммы, стратегии либо концепции развития сельского туризма на </w:t>
      </w:r>
      <w:r w:rsidR="00891760" w:rsidRPr="00382578">
        <w:rPr>
          <w:rFonts w:ascii="Times New Roman" w:hAnsi="Times New Roman" w:cs="Times New Roman"/>
          <w:sz w:val="28"/>
          <w:szCs w:val="28"/>
        </w:rPr>
        <w:t>региональном,</w:t>
      </w:r>
      <w:r w:rsidRPr="00382578">
        <w:rPr>
          <w:rFonts w:ascii="Times New Roman" w:hAnsi="Times New Roman" w:cs="Times New Roman"/>
          <w:sz w:val="28"/>
          <w:szCs w:val="28"/>
        </w:rPr>
        <w:t xml:space="preserve"> либо муниципальном уровнях: </w:t>
      </w:r>
    </w:p>
    <w:p w14:paraId="4D9DA547" w14:textId="77777777" w:rsidR="00382578" w:rsidRP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t xml:space="preserve">– 25 субъектов осуществляют господдержку объектов сельского туризма; </w:t>
      </w:r>
    </w:p>
    <w:p w14:paraId="33DA6D49" w14:textId="77777777" w:rsidR="00382578" w:rsidRP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t xml:space="preserve">– в 13 субъектах РФ термин «сельский/аграрный туризм» введен в законодательство на региональном уровне; </w:t>
      </w:r>
    </w:p>
    <w:p w14:paraId="5D9F5C50" w14:textId="77777777" w:rsidR="00382578" w:rsidRP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t xml:space="preserve">– 7 субъектов имеют подраздел «сельский туризм» внутри муниципальных программ развития туризма; </w:t>
      </w:r>
    </w:p>
    <w:p w14:paraId="45A55E40" w14:textId="77777777" w:rsidR="00382578" w:rsidRP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t xml:space="preserve">– самостоятельную концепцию развития сельского туризма имеют 6 субъектов РФ; </w:t>
      </w:r>
    </w:p>
    <w:p w14:paraId="741D9A62" w14:textId="77777777" w:rsidR="00382578" w:rsidRP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t xml:space="preserve">– еще в 12 субъектах сельский туризм определен как приоритетное направление в рамках существующих региональных стратегий развития внутреннего и въездного туризма; </w:t>
      </w:r>
    </w:p>
    <w:p w14:paraId="2EB89957" w14:textId="77777777" w:rsidR="00382578" w:rsidRP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t xml:space="preserve">– в планах мероприятий и дорожных картах по развитию туризма, утвержденных администрациями субъектов, развитие сельского туризма имеют еще 4 субъекта РФ. </w:t>
      </w:r>
    </w:p>
    <w:p w14:paraId="7ADF5C45" w14:textId="77777777" w:rsidR="00382578" w:rsidRP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lastRenderedPageBreak/>
        <w:t>В 30 субъектах Российской Федерации понятия «сельский туризм» и/или «аграрный туризм» фигурируют в законах, госпрограммах, концепциях и стратегиях на региональном и муниципальном уровнях.</w:t>
      </w:r>
    </w:p>
    <w:p w14:paraId="65E3AFB6" w14:textId="77777777" w:rsidR="00382578" w:rsidRP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t xml:space="preserve">По состоянию на 2019 год в стране функционируют около 4500 сельских объектов размещения туристов, из них 3500 сельских гостевых домов и около 1000 </w:t>
      </w:r>
      <w:proofErr w:type="spellStart"/>
      <w:r w:rsidRPr="00382578">
        <w:rPr>
          <w:rFonts w:ascii="Times New Roman" w:hAnsi="Times New Roman" w:cs="Times New Roman"/>
          <w:sz w:val="28"/>
          <w:szCs w:val="28"/>
        </w:rPr>
        <w:t>агротуристических</w:t>
      </w:r>
      <w:proofErr w:type="spellEnd"/>
      <w:r w:rsidRPr="00382578">
        <w:rPr>
          <w:rFonts w:ascii="Times New Roman" w:hAnsi="Times New Roman" w:cs="Times New Roman"/>
          <w:sz w:val="28"/>
          <w:szCs w:val="28"/>
        </w:rPr>
        <w:t xml:space="preserve"> ферм.</w:t>
      </w:r>
    </w:p>
    <w:p w14:paraId="6AD8C1A4" w14:textId="77777777" w:rsidR="00382578" w:rsidRP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t xml:space="preserve"> Таким образом, количество объектов размещения агротуризма составляет только 22% от общего предложения размещения в сфере сельского туризма. Согласно экспертному мнению, процентное соотношение зарегистрированных средств размещения к теневым составляет более чем 1 к 3 (среднее значение по стране). </w:t>
      </w:r>
    </w:p>
    <w:p w14:paraId="18899955" w14:textId="77777777" w:rsidR="00382578" w:rsidRP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t xml:space="preserve">Так, по предварительной оценке экспертов, предполагается, что реальное количество функционирующих гостевых домов в стране – около 20 000. При средней загрузке гостевого дома в 20-22% по году, среднем чеке за размещение и питание в 2000 рублей/сутки, средней продолжительности пребывания 2-3 суток, суммарный годовой доход зарегистрированных сельских гостевых домов в стране достигает примерно 2 млрд рублей. Общий доход рынка гостевых домов в России, по оценкам экспертов, составляет около 8 млрд рублей в год. </w:t>
      </w:r>
    </w:p>
    <w:p w14:paraId="71CC02F4" w14:textId="77777777" w:rsidR="00382578" w:rsidRP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t xml:space="preserve">Иных объектов сельского туризма (ремесленных домов, мастерских промыслов и ремесел, сельских «музеев традиционного быта», сельских маршрутов, объектов показа, интерактивных программ и т.д.) – около 10 000. Количество проводимых сельских событийных мероприятий в стране – более 7000. </w:t>
      </w:r>
    </w:p>
    <w:p w14:paraId="3A9A49DF" w14:textId="77777777" w:rsidR="00382578" w:rsidRP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t>Исходя из приведенной статистики, сельский туризм составляет лишь около 6% от общего предложения сельского туризма в стране. Это следует принять во внимание при разработке определений сельского и – отдельно – аграрного туризма.</w:t>
      </w:r>
    </w:p>
    <w:p w14:paraId="47629D2B" w14:textId="567180F0" w:rsidR="009602E9" w:rsidRPr="009602E9"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lastRenderedPageBreak/>
        <w:t xml:space="preserve">Каждый пятый турист внутреннего туризма путешествует по селам и деревням страны, посещает крупные туристические бренды регионов (объекты, события), расположенные вне городов, в том числе объекты и маршруты сельского туризма. </w:t>
      </w:r>
      <w:r w:rsidRPr="009602E9">
        <w:rPr>
          <w:rFonts w:ascii="Times New Roman" w:hAnsi="Times New Roman" w:cs="Times New Roman"/>
          <w:sz w:val="28"/>
          <w:szCs w:val="28"/>
        </w:rPr>
        <w:t xml:space="preserve"> </w:t>
      </w:r>
    </w:p>
    <w:p w14:paraId="5DBD9771" w14:textId="77777777" w:rsidR="00382578" w:rsidRP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t>Откуда едут туристы на сельские объекты регионов (в процентном соотношении): – из регионального центра – 39% – из ближайших городов региона – 20% – из других регионов – 14% – из Москвы и Санкт-Петербурга – 20% – иностранные туристы – 7%.</w:t>
      </w:r>
    </w:p>
    <w:p w14:paraId="4D67C216" w14:textId="77777777" w:rsidR="00382578" w:rsidRP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noProof/>
          <w:sz w:val="28"/>
          <w:szCs w:val="28"/>
        </w:rPr>
        <w:drawing>
          <wp:inline distT="0" distB="0" distL="0" distR="0" wp14:anchorId="474BD0C5" wp14:editId="4294E19E">
            <wp:extent cx="5257800" cy="3086100"/>
            <wp:effectExtent l="0" t="0" r="0" b="0"/>
            <wp:docPr id="2" name="Диаграмма 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08D9F62" w14:textId="3463F433" w:rsidR="00382578" w:rsidRP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t>Рисунок 1.</w:t>
      </w:r>
      <w:r>
        <w:rPr>
          <w:rFonts w:ascii="Times New Roman" w:hAnsi="Times New Roman" w:cs="Times New Roman"/>
          <w:sz w:val="28"/>
          <w:szCs w:val="28"/>
        </w:rPr>
        <w:t>8</w:t>
      </w:r>
      <w:r w:rsidRPr="00382578">
        <w:rPr>
          <w:rFonts w:ascii="Times New Roman" w:hAnsi="Times New Roman" w:cs="Times New Roman"/>
          <w:sz w:val="28"/>
          <w:szCs w:val="28"/>
        </w:rPr>
        <w:t xml:space="preserve"> География туристов, посещающих объекты сельского туризма</w:t>
      </w:r>
    </w:p>
    <w:p w14:paraId="742840D3" w14:textId="5B6C481C" w:rsid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t xml:space="preserve">Средняя продолжительность посещения – 2-3 дня. Соответственно, по предварительной оценке, усредненный доход местных жителей, занятых в сфере сельского туризма в России, составляет </w:t>
      </w:r>
      <w:proofErr w:type="gramStart"/>
      <w:r w:rsidRPr="00382578">
        <w:rPr>
          <w:rFonts w:ascii="Times New Roman" w:hAnsi="Times New Roman" w:cs="Times New Roman"/>
          <w:sz w:val="28"/>
          <w:szCs w:val="28"/>
        </w:rPr>
        <w:t>около :</w:t>
      </w:r>
      <w:proofErr w:type="gramEnd"/>
      <w:r w:rsidRPr="00382578">
        <w:rPr>
          <w:rFonts w:ascii="Times New Roman" w:hAnsi="Times New Roman" w:cs="Times New Roman"/>
          <w:sz w:val="28"/>
          <w:szCs w:val="28"/>
        </w:rPr>
        <w:t xml:space="preserve"> 30 млрд рублей в год. </w:t>
      </w:r>
    </w:p>
    <w:p w14:paraId="64173A9A" w14:textId="73BAC23B" w:rsidR="00382578" w:rsidRDefault="00382578" w:rsidP="00382578">
      <w:pPr>
        <w:spacing w:line="360" w:lineRule="auto"/>
        <w:ind w:firstLine="851"/>
        <w:rPr>
          <w:rFonts w:ascii="Times New Roman" w:hAnsi="Times New Roman" w:cs="Times New Roman"/>
          <w:sz w:val="28"/>
          <w:szCs w:val="28"/>
        </w:rPr>
      </w:pPr>
      <w:r>
        <w:rPr>
          <w:rFonts w:ascii="Times New Roman" w:hAnsi="Times New Roman" w:cs="Times New Roman"/>
          <w:sz w:val="28"/>
          <w:szCs w:val="28"/>
        </w:rPr>
        <w:t xml:space="preserve">Исходя из аналитической программы руководство определило количество клиентов и приняло решение об </w:t>
      </w:r>
      <w:r w:rsidR="00891760">
        <w:rPr>
          <w:rFonts w:ascii="Times New Roman" w:hAnsi="Times New Roman" w:cs="Times New Roman"/>
          <w:sz w:val="28"/>
          <w:szCs w:val="28"/>
        </w:rPr>
        <w:t>создании</w:t>
      </w:r>
      <w:r>
        <w:rPr>
          <w:rFonts w:ascii="Times New Roman" w:hAnsi="Times New Roman" w:cs="Times New Roman"/>
          <w:sz w:val="28"/>
          <w:szCs w:val="28"/>
        </w:rPr>
        <w:t xml:space="preserve"> </w:t>
      </w:r>
      <w:r w:rsidR="00EC1B50">
        <w:rPr>
          <w:rFonts w:ascii="Times New Roman" w:hAnsi="Times New Roman" w:cs="Times New Roman"/>
          <w:sz w:val="28"/>
          <w:szCs w:val="28"/>
        </w:rPr>
        <w:t>компании по предоставлению</w:t>
      </w:r>
      <w:r>
        <w:rPr>
          <w:rFonts w:ascii="Times New Roman" w:hAnsi="Times New Roman" w:cs="Times New Roman"/>
          <w:sz w:val="28"/>
          <w:szCs w:val="28"/>
        </w:rPr>
        <w:t xml:space="preserve"> </w:t>
      </w:r>
      <w:r w:rsidR="00EC1B50">
        <w:rPr>
          <w:rFonts w:ascii="Times New Roman" w:hAnsi="Times New Roman" w:cs="Times New Roman"/>
          <w:sz w:val="28"/>
          <w:szCs w:val="28"/>
        </w:rPr>
        <w:t>услуг</w:t>
      </w:r>
      <w:r>
        <w:rPr>
          <w:rFonts w:ascii="Times New Roman" w:hAnsi="Times New Roman" w:cs="Times New Roman"/>
          <w:sz w:val="28"/>
          <w:szCs w:val="28"/>
        </w:rPr>
        <w:t xml:space="preserve"> сельского туризма</w:t>
      </w:r>
      <w:r w:rsidR="00891760">
        <w:rPr>
          <w:rFonts w:ascii="Times New Roman" w:hAnsi="Times New Roman" w:cs="Times New Roman"/>
          <w:sz w:val="28"/>
          <w:szCs w:val="28"/>
        </w:rPr>
        <w:t xml:space="preserve"> и для его реализации сайт-визитка и корпоративный сайт</w:t>
      </w:r>
      <w:r>
        <w:rPr>
          <w:rFonts w:ascii="Times New Roman" w:hAnsi="Times New Roman" w:cs="Times New Roman"/>
          <w:sz w:val="28"/>
          <w:szCs w:val="28"/>
        </w:rPr>
        <w:t>.</w:t>
      </w:r>
      <w:r w:rsidR="00891760">
        <w:rPr>
          <w:rFonts w:ascii="Times New Roman" w:hAnsi="Times New Roman" w:cs="Times New Roman"/>
          <w:sz w:val="28"/>
          <w:szCs w:val="28"/>
        </w:rPr>
        <w:t xml:space="preserve"> Корпоративная часть сайта даст работникам определенное информативное поле для получения информации от </w:t>
      </w:r>
      <w:r w:rsidR="00891760">
        <w:rPr>
          <w:rFonts w:ascii="Times New Roman" w:hAnsi="Times New Roman" w:cs="Times New Roman"/>
          <w:sz w:val="28"/>
          <w:szCs w:val="28"/>
        </w:rPr>
        <w:lastRenderedPageBreak/>
        <w:t>руководства, нужных новостей в мире, обмена информацией с бухгалтерией и кадровым учётом.</w:t>
      </w:r>
      <w:r>
        <w:rPr>
          <w:rFonts w:ascii="Times New Roman" w:hAnsi="Times New Roman" w:cs="Times New Roman"/>
          <w:sz w:val="28"/>
          <w:szCs w:val="28"/>
        </w:rPr>
        <w:t xml:space="preserve">  Далее следует обсуждение об использовании сайта, а конкретно</w:t>
      </w:r>
      <w:r w:rsidRPr="00382578">
        <w:rPr>
          <w:rFonts w:ascii="Times New Roman" w:hAnsi="Times New Roman" w:cs="Times New Roman"/>
          <w:sz w:val="28"/>
          <w:szCs w:val="28"/>
        </w:rPr>
        <w:t>:</w:t>
      </w:r>
      <w:r>
        <w:rPr>
          <w:rFonts w:ascii="Times New Roman" w:hAnsi="Times New Roman" w:cs="Times New Roman"/>
          <w:sz w:val="28"/>
          <w:szCs w:val="28"/>
        </w:rPr>
        <w:t xml:space="preserve"> использовать сайт банка или создавать новый.</w:t>
      </w:r>
    </w:p>
    <w:p w14:paraId="1000F4F8" w14:textId="77777777" w:rsidR="00891760" w:rsidRDefault="00891760" w:rsidP="00891760">
      <w:pPr>
        <w:spacing w:line="360" w:lineRule="auto"/>
        <w:ind w:firstLine="851"/>
        <w:rPr>
          <w:rFonts w:ascii="Times New Roman" w:hAnsi="Times New Roman" w:cs="Times New Roman"/>
          <w:sz w:val="28"/>
          <w:szCs w:val="28"/>
        </w:rPr>
      </w:pPr>
      <w:r>
        <w:rPr>
          <w:rFonts w:ascii="Times New Roman" w:hAnsi="Times New Roman" w:cs="Times New Roman"/>
          <w:sz w:val="28"/>
          <w:szCs w:val="28"/>
        </w:rPr>
        <w:t>Есть сайт банка, но д</w:t>
      </w:r>
      <w:r w:rsidR="00382578">
        <w:rPr>
          <w:rFonts w:ascii="Times New Roman" w:hAnsi="Times New Roman" w:cs="Times New Roman"/>
          <w:sz w:val="28"/>
          <w:szCs w:val="28"/>
        </w:rPr>
        <w:t>еятельность сайта банка является финансовой таким образом она не подходит для создания новой компании. Это показано на основе сравнительной таблицы рисунок 1.9.</w:t>
      </w:r>
    </w:p>
    <w:p w14:paraId="4C692F92" w14:textId="2ECD2B40" w:rsidR="009602E9" w:rsidRPr="009602E9" w:rsidRDefault="00891760" w:rsidP="00891760">
      <w:pPr>
        <w:spacing w:line="360" w:lineRule="auto"/>
        <w:ind w:firstLine="851"/>
      </w:pPr>
      <w:r w:rsidRPr="009602E9">
        <w:t xml:space="preserve"> </w:t>
      </w:r>
      <w:bookmarkStart w:id="0" w:name="_GoBack"/>
      <w:bookmarkEnd w:id="0"/>
    </w:p>
    <w:sectPr w:rsidR="009602E9" w:rsidRPr="009602E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027BE"/>
    <w:multiLevelType w:val="hybridMultilevel"/>
    <w:tmpl w:val="70AA90C6"/>
    <w:lvl w:ilvl="0" w:tplc="E09A0FE6">
      <w:start w:val="3"/>
      <w:numFmt w:val="decimal"/>
      <w:lvlText w:val="%1."/>
      <w:lvlJc w:val="left"/>
      <w:pPr>
        <w:ind w:left="1080" w:hanging="360"/>
      </w:pPr>
      <w:rPr>
        <w:rFonts w:hint="default"/>
        <w:color w:val="00000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179"/>
    <w:rsid w:val="0000479A"/>
    <w:rsid w:val="0001773C"/>
    <w:rsid w:val="00024F21"/>
    <w:rsid w:val="000B170B"/>
    <w:rsid w:val="000C73F8"/>
    <w:rsid w:val="00141D7E"/>
    <w:rsid w:val="001965A9"/>
    <w:rsid w:val="001B51E4"/>
    <w:rsid w:val="00236629"/>
    <w:rsid w:val="002D1A57"/>
    <w:rsid w:val="002F1A4F"/>
    <w:rsid w:val="003170EC"/>
    <w:rsid w:val="003464F7"/>
    <w:rsid w:val="0036678B"/>
    <w:rsid w:val="00382578"/>
    <w:rsid w:val="003C7DBF"/>
    <w:rsid w:val="003F0E52"/>
    <w:rsid w:val="00494E17"/>
    <w:rsid w:val="00521179"/>
    <w:rsid w:val="005509B4"/>
    <w:rsid w:val="005A635C"/>
    <w:rsid w:val="006A5CD3"/>
    <w:rsid w:val="006E0BD0"/>
    <w:rsid w:val="0071426B"/>
    <w:rsid w:val="00770B17"/>
    <w:rsid w:val="00774B1A"/>
    <w:rsid w:val="007D3B58"/>
    <w:rsid w:val="00832857"/>
    <w:rsid w:val="0087497C"/>
    <w:rsid w:val="00891760"/>
    <w:rsid w:val="008B1AB7"/>
    <w:rsid w:val="00912F27"/>
    <w:rsid w:val="009602E9"/>
    <w:rsid w:val="00966311"/>
    <w:rsid w:val="0098130D"/>
    <w:rsid w:val="00A318C4"/>
    <w:rsid w:val="00A42089"/>
    <w:rsid w:val="00A534D9"/>
    <w:rsid w:val="00A73385"/>
    <w:rsid w:val="00AF4F16"/>
    <w:rsid w:val="00B84406"/>
    <w:rsid w:val="00B97C63"/>
    <w:rsid w:val="00BB0309"/>
    <w:rsid w:val="00D760C4"/>
    <w:rsid w:val="00D91578"/>
    <w:rsid w:val="00D92D5C"/>
    <w:rsid w:val="00DA3B95"/>
    <w:rsid w:val="00DB47C6"/>
    <w:rsid w:val="00DB4A2E"/>
    <w:rsid w:val="00E70E66"/>
    <w:rsid w:val="00EC1B50"/>
    <w:rsid w:val="00ED18C6"/>
    <w:rsid w:val="00F06A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88A15"/>
  <w15:chartTrackingRefBased/>
  <w15:docId w15:val="{EF316AE5-86E1-4226-8563-163CC6F88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844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A3B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4406"/>
    <w:rPr>
      <w:rFonts w:asciiTheme="majorHAnsi" w:eastAsiaTheme="majorEastAsia" w:hAnsiTheme="majorHAnsi" w:cstheme="majorBidi"/>
      <w:color w:val="2F5496" w:themeColor="accent1" w:themeShade="BF"/>
      <w:sz w:val="32"/>
      <w:szCs w:val="32"/>
    </w:rPr>
  </w:style>
  <w:style w:type="paragraph" w:styleId="a3">
    <w:name w:val="Title"/>
    <w:basedOn w:val="a"/>
    <w:next w:val="a"/>
    <w:link w:val="a4"/>
    <w:uiPriority w:val="10"/>
    <w:qFormat/>
    <w:rsid w:val="00D92D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92D5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rsid w:val="00D92D5C"/>
    <w:pPr>
      <w:numPr>
        <w:ilvl w:val="1"/>
      </w:numPr>
    </w:pPr>
    <w:rPr>
      <w:rFonts w:ascii="Times New Roman" w:eastAsiaTheme="minorEastAsia" w:hAnsi="Times New Roman"/>
      <w:spacing w:val="15"/>
      <w:sz w:val="28"/>
    </w:rPr>
  </w:style>
  <w:style w:type="character" w:customStyle="1" w:styleId="a6">
    <w:name w:val="Подзаголовок Знак"/>
    <w:basedOn w:val="a0"/>
    <w:link w:val="a5"/>
    <w:uiPriority w:val="11"/>
    <w:rsid w:val="00D92D5C"/>
    <w:rPr>
      <w:rFonts w:ascii="Times New Roman" w:eastAsiaTheme="minorEastAsia" w:hAnsi="Times New Roman"/>
      <w:spacing w:val="15"/>
      <w:sz w:val="28"/>
    </w:rPr>
  </w:style>
  <w:style w:type="paragraph" w:styleId="a7">
    <w:name w:val="List Paragraph"/>
    <w:aliases w:val="Мой список,Абзац списка1,Надпись к иллюстрации,Список источников"/>
    <w:basedOn w:val="a"/>
    <w:link w:val="a8"/>
    <w:qFormat/>
    <w:rsid w:val="00DA3B95"/>
    <w:pPr>
      <w:spacing w:after="0" w:line="360" w:lineRule="auto"/>
      <w:ind w:left="720" w:firstLine="720"/>
      <w:contextualSpacing/>
      <w:jc w:val="both"/>
    </w:pPr>
    <w:rPr>
      <w:rFonts w:ascii="Times New Roman" w:hAnsi="Times New Roman"/>
      <w:sz w:val="28"/>
      <w:lang w:val="en-US"/>
    </w:rPr>
  </w:style>
  <w:style w:type="character" w:customStyle="1" w:styleId="a8">
    <w:name w:val="Абзац списка Знак"/>
    <w:aliases w:val="Мой список Знак,Абзац списка1 Знак,Надпись к иллюстрации Знак,Список источников Знак"/>
    <w:link w:val="a7"/>
    <w:rsid w:val="00DA3B95"/>
    <w:rPr>
      <w:rFonts w:ascii="Times New Roman" w:hAnsi="Times New Roman"/>
      <w:sz w:val="28"/>
      <w:lang w:val="en-US"/>
    </w:rPr>
  </w:style>
  <w:style w:type="character" w:customStyle="1" w:styleId="20">
    <w:name w:val="Заголовок 2 Знак"/>
    <w:basedOn w:val="a0"/>
    <w:link w:val="2"/>
    <w:uiPriority w:val="9"/>
    <w:rsid w:val="00DA3B9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474725">
      <w:bodyDiv w:val="1"/>
      <w:marLeft w:val="0"/>
      <w:marRight w:val="0"/>
      <w:marTop w:val="0"/>
      <w:marBottom w:val="0"/>
      <w:divBdr>
        <w:top w:val="none" w:sz="0" w:space="0" w:color="auto"/>
        <w:left w:val="none" w:sz="0" w:space="0" w:color="auto"/>
        <w:bottom w:val="none" w:sz="0" w:space="0" w:color="auto"/>
        <w:right w:val="none" w:sz="0" w:space="0" w:color="auto"/>
      </w:divBdr>
    </w:div>
    <w:div w:id="355277621">
      <w:bodyDiv w:val="1"/>
      <w:marLeft w:val="0"/>
      <w:marRight w:val="0"/>
      <w:marTop w:val="0"/>
      <w:marBottom w:val="0"/>
      <w:divBdr>
        <w:top w:val="none" w:sz="0" w:space="0" w:color="auto"/>
        <w:left w:val="none" w:sz="0" w:space="0" w:color="auto"/>
        <w:bottom w:val="none" w:sz="0" w:space="0" w:color="auto"/>
        <w:right w:val="none" w:sz="0" w:space="0" w:color="auto"/>
      </w:divBdr>
    </w:div>
    <w:div w:id="617952437">
      <w:bodyDiv w:val="1"/>
      <w:marLeft w:val="0"/>
      <w:marRight w:val="0"/>
      <w:marTop w:val="0"/>
      <w:marBottom w:val="0"/>
      <w:divBdr>
        <w:top w:val="none" w:sz="0" w:space="0" w:color="auto"/>
        <w:left w:val="none" w:sz="0" w:space="0" w:color="auto"/>
        <w:bottom w:val="none" w:sz="0" w:space="0" w:color="auto"/>
        <w:right w:val="none" w:sz="0" w:space="0" w:color="auto"/>
      </w:divBdr>
    </w:div>
    <w:div w:id="2040036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chart" Target="charts/chart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536044362292052"/>
          <c:y val="0.22222222222222221"/>
          <c:w val="0.40110905730129393"/>
          <c:h val="0.68888888888888888"/>
        </c:manualLayout>
      </c:layout>
      <c:pieChart>
        <c:varyColors val="1"/>
        <c:ser>
          <c:idx val="0"/>
          <c:order val="0"/>
          <c:tx>
            <c:strRef>
              <c:f>Sheet1!$A$2</c:f>
              <c:strCache>
                <c:ptCount val="1"/>
                <c:pt idx="0">
                  <c:v>Количество</c:v>
                </c:pt>
              </c:strCache>
            </c:strRef>
          </c:tx>
          <c:spPr>
            <a:solidFill>
              <a:srgbClr val="9999FF"/>
            </a:solidFill>
            <a:ln w="12661">
              <a:solidFill>
                <a:srgbClr val="000000"/>
              </a:solidFill>
              <a:prstDash val="solid"/>
            </a:ln>
          </c:spPr>
          <c:explosion val="4"/>
          <c:dPt>
            <c:idx val="0"/>
            <c:bubble3D val="0"/>
            <c:extLst>
              <c:ext xmlns:c16="http://schemas.microsoft.com/office/drawing/2014/chart" uri="{C3380CC4-5D6E-409C-BE32-E72D297353CC}">
                <c16:uniqueId val="{00000000-F260-420C-8BB0-63682FED3A82}"/>
              </c:ext>
            </c:extLst>
          </c:dPt>
          <c:dPt>
            <c:idx val="1"/>
            <c:bubble3D val="0"/>
            <c:spPr>
              <a:solidFill>
                <a:srgbClr val="993366"/>
              </a:solidFill>
              <a:ln w="12661">
                <a:solidFill>
                  <a:srgbClr val="000000"/>
                </a:solidFill>
                <a:prstDash val="solid"/>
              </a:ln>
            </c:spPr>
            <c:extLst>
              <c:ext xmlns:c16="http://schemas.microsoft.com/office/drawing/2014/chart" uri="{C3380CC4-5D6E-409C-BE32-E72D297353CC}">
                <c16:uniqueId val="{00000002-F260-420C-8BB0-63682FED3A82}"/>
              </c:ext>
            </c:extLst>
          </c:dPt>
          <c:dPt>
            <c:idx val="2"/>
            <c:bubble3D val="0"/>
            <c:spPr>
              <a:solidFill>
                <a:srgbClr val="FFFFCC"/>
              </a:solidFill>
              <a:ln w="12661">
                <a:solidFill>
                  <a:srgbClr val="000000"/>
                </a:solidFill>
                <a:prstDash val="solid"/>
              </a:ln>
            </c:spPr>
            <c:extLst>
              <c:ext xmlns:c16="http://schemas.microsoft.com/office/drawing/2014/chart" uri="{C3380CC4-5D6E-409C-BE32-E72D297353CC}">
                <c16:uniqueId val="{00000004-F260-420C-8BB0-63682FED3A8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06-F260-420C-8BB0-63682FED3A82}"/>
              </c:ext>
            </c:extLst>
          </c:dPt>
          <c:dPt>
            <c:idx val="4"/>
            <c:bubble3D val="0"/>
            <c:explosion val="0"/>
            <c:spPr>
              <a:solidFill>
                <a:srgbClr val="660066"/>
              </a:solidFill>
              <a:ln w="12661">
                <a:solidFill>
                  <a:srgbClr val="000000"/>
                </a:solidFill>
                <a:prstDash val="solid"/>
              </a:ln>
            </c:spPr>
            <c:extLst>
              <c:ext xmlns:c16="http://schemas.microsoft.com/office/drawing/2014/chart" uri="{C3380CC4-5D6E-409C-BE32-E72D297353CC}">
                <c16:uniqueId val="{00000008-F260-420C-8BB0-63682FED3A8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0A-F260-420C-8BB0-63682FED3A82}"/>
              </c:ext>
            </c:extLst>
          </c:dPt>
          <c:dLbls>
            <c:dLbl>
              <c:idx val="0"/>
              <c:layout>
                <c:manualLayout>
                  <c:x val="-5.8259397937710566E-2"/>
                  <c:y val="9.7166881917538084E-2"/>
                </c:manualLayout>
              </c:layout>
              <c:numFmt formatCode="0%" sourceLinked="0"/>
              <c:spPr>
                <a:noFill/>
                <a:ln w="25322">
                  <a:noFill/>
                </a:ln>
              </c:spPr>
              <c:txPr>
                <a:bodyPr/>
                <a:lstStyle/>
                <a:p>
                  <a:pPr>
                    <a:defRPr sz="1446" b="1" i="0" u="none" strike="noStrike" baseline="0">
                      <a:solidFill>
                        <a:srgbClr val="000000"/>
                      </a:solidFill>
                      <a:latin typeface="Calibri"/>
                      <a:ea typeface="Calibri"/>
                      <a:cs typeface="Calibri"/>
                    </a:defRPr>
                  </a:pPr>
                  <a:endParaRPr lang="ru-RU"/>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0-F260-420C-8BB0-63682FED3A82}"/>
                </c:ext>
              </c:extLst>
            </c:dLbl>
            <c:dLbl>
              <c:idx val="4"/>
              <c:layout>
                <c:manualLayout>
                  <c:x val="1.8326039179603903E-2"/>
                  <c:y val="-0.15176376101135514"/>
                </c:manualLayout>
              </c:layout>
              <c:numFmt formatCode="0%" sourceLinked="0"/>
              <c:spPr>
                <a:noFill/>
                <a:ln w="25322">
                  <a:noFill/>
                </a:ln>
              </c:spPr>
              <c:txPr>
                <a:bodyPr/>
                <a:lstStyle/>
                <a:p>
                  <a:pPr>
                    <a:defRPr sz="1446" b="1" i="0" u="none" strike="noStrike" baseline="0">
                      <a:solidFill>
                        <a:srgbClr val="000000"/>
                      </a:solidFill>
                      <a:latin typeface="Calibri"/>
                      <a:ea typeface="Calibri"/>
                      <a:cs typeface="Calibri"/>
                    </a:defRPr>
                  </a:pPr>
                  <a:endParaRPr lang="ru-RU"/>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8-F260-420C-8BB0-63682FED3A82}"/>
                </c:ext>
              </c:extLst>
            </c:dLbl>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Sheet1!$B$2:$G$2</c:f>
              <c:numCache>
                <c:formatCode>\О\с\н\о\в\н\о\й</c:formatCode>
                <c:ptCount val="6"/>
                <c:pt idx="0">
                  <c:v>9</c:v>
                </c:pt>
                <c:pt idx="1">
                  <c:v>6</c:v>
                </c:pt>
                <c:pt idx="2">
                  <c:v>10</c:v>
                </c:pt>
                <c:pt idx="3">
                  <c:v>20</c:v>
                </c:pt>
                <c:pt idx="4">
                  <c:v>15</c:v>
                </c:pt>
                <c:pt idx="5">
                  <c:v>40</c:v>
                </c:pt>
              </c:numCache>
            </c:numRef>
          </c:val>
          <c:extLst>
            <c:ext xmlns:c16="http://schemas.microsoft.com/office/drawing/2014/chart" uri="{C3380CC4-5D6E-409C-BE32-E72D297353CC}">
              <c16:uniqueId val="{0000000B-F260-420C-8BB0-63682FED3A82}"/>
            </c:ext>
          </c:extLst>
        </c:ser>
        <c:ser>
          <c:idx val="1"/>
          <c:order val="1"/>
          <c:tx>
            <c:strRef>
              <c:f>Sheet1!$A$3</c:f>
              <c:strCache>
                <c:ptCount val="1"/>
              </c:strCache>
            </c:strRef>
          </c:tx>
          <c:spPr>
            <a:solidFill>
              <a:srgbClr val="993366"/>
            </a:solidFill>
            <a:ln w="12661">
              <a:solidFill>
                <a:srgbClr val="000000"/>
              </a:solidFill>
              <a:prstDash val="solid"/>
            </a:ln>
          </c:spPr>
          <c:explosion val="4"/>
          <c:dPt>
            <c:idx val="0"/>
            <c:bubble3D val="0"/>
            <c:spPr>
              <a:solidFill>
                <a:srgbClr val="9999FF"/>
              </a:solidFill>
              <a:ln w="12661">
                <a:solidFill>
                  <a:srgbClr val="000000"/>
                </a:solidFill>
                <a:prstDash val="solid"/>
              </a:ln>
            </c:spPr>
            <c:extLst>
              <c:ext xmlns:c16="http://schemas.microsoft.com/office/drawing/2014/chart" uri="{C3380CC4-5D6E-409C-BE32-E72D297353CC}">
                <c16:uniqueId val="{0000000D-F260-420C-8BB0-63682FED3A82}"/>
              </c:ext>
            </c:extLst>
          </c:dPt>
          <c:dPt>
            <c:idx val="1"/>
            <c:bubble3D val="0"/>
            <c:extLst>
              <c:ext xmlns:c16="http://schemas.microsoft.com/office/drawing/2014/chart" uri="{C3380CC4-5D6E-409C-BE32-E72D297353CC}">
                <c16:uniqueId val="{0000000E-F260-420C-8BB0-63682FED3A82}"/>
              </c:ext>
            </c:extLst>
          </c:dPt>
          <c:dPt>
            <c:idx val="2"/>
            <c:bubble3D val="0"/>
            <c:spPr>
              <a:solidFill>
                <a:srgbClr val="FFFFCC"/>
              </a:solidFill>
              <a:ln w="12661">
                <a:solidFill>
                  <a:srgbClr val="000000"/>
                </a:solidFill>
                <a:prstDash val="solid"/>
              </a:ln>
            </c:spPr>
            <c:extLst>
              <c:ext xmlns:c16="http://schemas.microsoft.com/office/drawing/2014/chart" uri="{C3380CC4-5D6E-409C-BE32-E72D297353CC}">
                <c16:uniqueId val="{00000010-F260-420C-8BB0-63682FED3A8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12-F260-420C-8BB0-63682FED3A82}"/>
              </c:ext>
            </c:extLst>
          </c:dPt>
          <c:dPt>
            <c:idx val="4"/>
            <c:bubble3D val="0"/>
            <c:spPr>
              <a:solidFill>
                <a:srgbClr val="660066"/>
              </a:solidFill>
              <a:ln w="12661">
                <a:solidFill>
                  <a:srgbClr val="000000"/>
                </a:solidFill>
                <a:prstDash val="solid"/>
              </a:ln>
            </c:spPr>
            <c:extLst>
              <c:ext xmlns:c16="http://schemas.microsoft.com/office/drawing/2014/chart" uri="{C3380CC4-5D6E-409C-BE32-E72D297353CC}">
                <c16:uniqueId val="{00000014-F260-420C-8BB0-63682FED3A8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16-F260-420C-8BB0-63682FED3A82}"/>
              </c:ext>
            </c:extLst>
          </c:dPt>
          <c:dLbls>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Sheet1!$B$3:$G$3</c:f>
              <c:numCache>
                <c:formatCode>General</c:formatCode>
                <c:ptCount val="6"/>
              </c:numCache>
            </c:numRef>
          </c:val>
          <c:extLst>
            <c:ext xmlns:c16="http://schemas.microsoft.com/office/drawing/2014/chart" uri="{C3380CC4-5D6E-409C-BE32-E72D297353CC}">
              <c16:uniqueId val="{00000017-F260-420C-8BB0-63682FED3A82}"/>
            </c:ext>
          </c:extLst>
        </c:ser>
        <c:ser>
          <c:idx val="2"/>
          <c:order val="2"/>
          <c:tx>
            <c:strRef>
              <c:f>Sheet1!$A$4</c:f>
              <c:strCache>
                <c:ptCount val="1"/>
              </c:strCache>
            </c:strRef>
          </c:tx>
          <c:spPr>
            <a:solidFill>
              <a:srgbClr val="FFFFCC"/>
            </a:solidFill>
            <a:ln w="12661">
              <a:solidFill>
                <a:srgbClr val="000000"/>
              </a:solidFill>
              <a:prstDash val="solid"/>
            </a:ln>
          </c:spPr>
          <c:explosion val="4"/>
          <c:dPt>
            <c:idx val="0"/>
            <c:bubble3D val="0"/>
            <c:spPr>
              <a:solidFill>
                <a:srgbClr val="9999FF"/>
              </a:solidFill>
              <a:ln w="12661">
                <a:solidFill>
                  <a:srgbClr val="000000"/>
                </a:solidFill>
                <a:prstDash val="solid"/>
              </a:ln>
            </c:spPr>
            <c:extLst>
              <c:ext xmlns:c16="http://schemas.microsoft.com/office/drawing/2014/chart" uri="{C3380CC4-5D6E-409C-BE32-E72D297353CC}">
                <c16:uniqueId val="{00000019-F260-420C-8BB0-63682FED3A82}"/>
              </c:ext>
            </c:extLst>
          </c:dPt>
          <c:dPt>
            <c:idx val="1"/>
            <c:bubble3D val="0"/>
            <c:spPr>
              <a:solidFill>
                <a:srgbClr val="993366"/>
              </a:solidFill>
              <a:ln w="12661">
                <a:solidFill>
                  <a:srgbClr val="000000"/>
                </a:solidFill>
                <a:prstDash val="solid"/>
              </a:ln>
            </c:spPr>
            <c:extLst>
              <c:ext xmlns:c16="http://schemas.microsoft.com/office/drawing/2014/chart" uri="{C3380CC4-5D6E-409C-BE32-E72D297353CC}">
                <c16:uniqueId val="{0000001B-F260-420C-8BB0-63682FED3A82}"/>
              </c:ext>
            </c:extLst>
          </c:dPt>
          <c:dPt>
            <c:idx val="2"/>
            <c:bubble3D val="0"/>
            <c:extLst>
              <c:ext xmlns:c16="http://schemas.microsoft.com/office/drawing/2014/chart" uri="{C3380CC4-5D6E-409C-BE32-E72D297353CC}">
                <c16:uniqueId val="{0000001C-F260-420C-8BB0-63682FED3A8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1E-F260-420C-8BB0-63682FED3A82}"/>
              </c:ext>
            </c:extLst>
          </c:dPt>
          <c:dPt>
            <c:idx val="4"/>
            <c:bubble3D val="0"/>
            <c:spPr>
              <a:solidFill>
                <a:srgbClr val="660066"/>
              </a:solidFill>
              <a:ln w="12661">
                <a:solidFill>
                  <a:srgbClr val="000000"/>
                </a:solidFill>
                <a:prstDash val="solid"/>
              </a:ln>
            </c:spPr>
            <c:extLst>
              <c:ext xmlns:c16="http://schemas.microsoft.com/office/drawing/2014/chart" uri="{C3380CC4-5D6E-409C-BE32-E72D297353CC}">
                <c16:uniqueId val="{00000020-F260-420C-8BB0-63682FED3A8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22-F260-420C-8BB0-63682FED3A82}"/>
              </c:ext>
            </c:extLst>
          </c:dPt>
          <c:dLbls>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Sheet1!$B$4:$G$4</c:f>
              <c:numCache>
                <c:formatCode>General</c:formatCode>
                <c:ptCount val="6"/>
              </c:numCache>
            </c:numRef>
          </c:val>
          <c:extLst>
            <c:ext xmlns:c16="http://schemas.microsoft.com/office/drawing/2014/chart" uri="{C3380CC4-5D6E-409C-BE32-E72D297353CC}">
              <c16:uniqueId val="{00000023-F260-420C-8BB0-63682FED3A82}"/>
            </c:ext>
          </c:extLst>
        </c:ser>
        <c:dLbls>
          <c:showLegendKey val="0"/>
          <c:showVal val="0"/>
          <c:showCatName val="0"/>
          <c:showSerName val="0"/>
          <c:showPercent val="1"/>
          <c:showBubbleSize val="0"/>
          <c:showLeaderLines val="1"/>
        </c:dLbls>
        <c:firstSliceAng val="0"/>
      </c:pieChart>
      <c:spPr>
        <a:solidFill>
          <a:srgbClr val="C0C0C0"/>
        </a:solidFill>
        <a:ln w="12661">
          <a:solidFill>
            <a:srgbClr val="808080"/>
          </a:solidFill>
          <a:prstDash val="solid"/>
        </a:ln>
      </c:spPr>
    </c:plotArea>
    <c:legend>
      <c:legendPos val="r"/>
      <c:layout>
        <c:manualLayout>
          <c:xMode val="edge"/>
          <c:yMode val="edge"/>
          <c:x val="0.66358595194085024"/>
          <c:y val="9.2063492063492069E-2"/>
          <c:w val="0.32902033271719039"/>
          <c:h val="0.82222222222222219"/>
        </c:manualLayout>
      </c:layout>
      <c:overlay val="0"/>
      <c:spPr>
        <a:noFill/>
        <a:ln w="3165">
          <a:solidFill>
            <a:srgbClr val="000000"/>
          </a:solidFill>
          <a:prstDash val="solid"/>
        </a:ln>
      </c:spPr>
      <c:txPr>
        <a:bodyPr/>
        <a:lstStyle/>
        <a:p>
          <a:pPr>
            <a:defRPr sz="1097" b="1" i="0" u="none" strike="noStrike" baseline="0">
              <a:solidFill>
                <a:srgbClr val="000000"/>
              </a:solidFill>
              <a:latin typeface="Calibri"/>
              <a:ea typeface="Calibri"/>
              <a:cs typeface="Calibri"/>
            </a:defRPr>
          </a:pPr>
          <a:endParaRPr lang="ru-RU"/>
        </a:p>
      </c:txPr>
    </c:legend>
    <c:plotVisOnly val="1"/>
    <c:dispBlanksAs val="zero"/>
    <c:showDLblsOverMax val="0"/>
  </c:chart>
  <c:spPr>
    <a:noFill/>
    <a:ln>
      <a:noFill/>
    </a:ln>
  </c:spPr>
  <c:txPr>
    <a:bodyPr/>
    <a:lstStyle/>
    <a:p>
      <a:pPr>
        <a:defRPr sz="1196" b="1" i="0" u="none" strike="noStrike" baseline="0">
          <a:solidFill>
            <a:srgbClr val="000000"/>
          </a:solidFill>
          <a:latin typeface="Calibri"/>
          <a:ea typeface="Calibri"/>
          <a:cs typeface="Calibri"/>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2413</TotalTime>
  <Pages>16</Pages>
  <Words>2563</Words>
  <Characters>14614</Characters>
  <Application>Microsoft Office Word</Application>
  <DocSecurity>0</DocSecurity>
  <Lines>121</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Fruit</dc:creator>
  <cp:keywords/>
  <dc:description/>
  <cp:lastModifiedBy>Fruit</cp:lastModifiedBy>
  <cp:revision>21</cp:revision>
  <dcterms:created xsi:type="dcterms:W3CDTF">2020-01-14T13:13:00Z</dcterms:created>
  <dcterms:modified xsi:type="dcterms:W3CDTF">2020-02-03T13:28:00Z</dcterms:modified>
</cp:coreProperties>
</file>