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r>
        <w:rPr>
          <w:b/>
          <w:bCs/>
          <w:color w:val="595959"/>
          <w:sz w:val="28"/>
          <w:szCs w:val="28"/>
        </w:rPr>
        <w:t xml:space="preserve">HomeRates.ai</w:t>
      </w:r>
    </w:p>
    <w:p>
      <w:pPr>
        <w:pStyle w:val="Title"/>
        <w:spacing w:after="80" w:before="80"/>
      </w:pPr>
      <w:r>
        <w:t xml:space="preserve">Data Retention and Disposal Policy</w:t>
      </w:r>
    </w:p>
    <w:p>
      <w:pPr>
        <w:spacing w:after="40"/>
      </w:pPr>
      <w:r>
        <w:rPr>
          <w:color w:val="595959"/>
          <w:sz w:val="24"/>
          <w:szCs w:val="24"/>
        </w:rPr>
        <w:t xml:space="preserve">Gramm-Leach-Bliley Act — FTC Safeguards Rule, 16 CFR § 314.4(c)(6)</w:t>
      </w:r>
    </w:p>
    <w:p>
      <w:pPr>
        <w:pBdr>
          <w:bottom w:val="single" w:color="1F4E79" w:sz="12" w:space="8"/>
        </w:pBdr>
        <w:spacing w:after="6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spacing w:after="0" w:line="264"/>
            </w:pPr>
            <w:r>
              <w:rPr>
                <w:b/>
                <w:bCs/>
              </w:rPr>
              <w:t xml:space="preserve">Legal entity</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pPr>
            <w:r>
              <w:t xml:space="preserve">[LEGAL ENTITY NAME, LLC] (d/b/a HomeRates.ai)</w:t>
            </w:r>
          </w:p>
        </w:tc>
      </w:tr>
      <w:tr>
        <w:tc>
          <w:tcPr>
            <w:tcW w:type="dxa" w:w="30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spacing w:after="0" w:line="264"/>
            </w:pPr>
            <w:r>
              <w:rPr>
                <w:b/>
                <w:bCs/>
              </w:rPr>
              <w:t xml:space="preserve">Companion documents</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pPr>
            <w:r>
              <w:t xml:space="preserve">Written Information Security Program; Incident Response Plan</w:t>
            </w:r>
          </w:p>
        </w:tc>
      </w:tr>
      <w:tr>
        <w:tc>
          <w:tcPr>
            <w:tcW w:type="dxa" w:w="30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spacing w:after="0" w:line="264"/>
            </w:pPr>
            <w:r>
              <w:rPr>
                <w:b/>
                <w:bCs/>
              </w:rPr>
              <w:t xml:space="preserve">Policy owner</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pPr>
            <w:r>
              <w:t xml:space="preserve">[QUALIFIED INDIVIDUAL] — currently Rayaan, Founder</w:t>
            </w:r>
          </w:p>
        </w:tc>
      </w:tr>
      <w:tr>
        <w:tc>
          <w:tcPr>
            <w:tcW w:type="dxa" w:w="30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spacing w:after="0" w:line="264"/>
            </w:pPr>
            <w:r>
              <w:rPr>
                <w:b/>
                <w:bCs/>
              </w:rPr>
              <w:t xml:space="preserve">Version</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pPr>
            <w:r>
              <w:t xml:space="preserve">0.1 — DRAFT for legal review</w:t>
            </w:r>
          </w:p>
        </w:tc>
      </w:tr>
      <w:tr>
        <w:tc>
          <w:tcPr>
            <w:tcW w:type="dxa" w:w="30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spacing w:after="0" w:line="264"/>
            </w:pPr>
            <w:r>
              <w:rPr>
                <w:b/>
                <w:bCs/>
              </w:rPr>
              <w:t xml:space="preserve">Effective date</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pPr>
            <w:r>
              <w:t xml:space="preserve">[DATE OF ADOPTION]</w:t>
            </w:r>
          </w:p>
        </w:tc>
      </w:tr>
      <w:tr>
        <w:tc>
          <w:tcPr>
            <w:tcW w:type="dxa" w:w="30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spacing w:after="0" w:line="264"/>
            </w:pPr>
            <w:r>
              <w:rPr>
                <w:b/>
                <w:bCs/>
              </w:rPr>
              <w:t xml:space="preserve">Last reviewed</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pPr>
            <w:r>
              <w:t xml:space="preserve">June 26, 2026</w:t>
            </w:r>
          </w:p>
        </w:tc>
      </w:tr>
      <w:tr>
        <w:tc>
          <w:tcPr>
            <w:tcW w:type="dxa" w:w="30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spacing w:after="0" w:line="264"/>
            </w:pPr>
            <w:r>
              <w:rPr>
                <w:b/>
                <w:bCs/>
              </w:rPr>
              <w:t xml:space="preserve">Classification</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pPr>
            <w:r>
              <w:t xml:space="preserve">Confidential — Internal</w:t>
            </w:r>
          </w:p>
        </w:tc>
      </w:tr>
    </w:tbl>
    <w:p>
      <w:pPr>
        <w:spacing w:before="700"/>
      </w:pPr>
      <w:r>
        <w:rPr>
          <w:b/>
          <w:bCs/>
          <w:color w:val="C00000"/>
        </w:rPr>
        <w:t xml:space="preserve">DRAFT — NOT YET ADOPTED. </w:t>
      </w:r>
      <w:r>
        <w:rPr>
          <w:i/>
          <w:iCs/>
          <w:color w:val="595959"/>
          <w:sz w:val="18"/>
          <w:szCs w:val="18"/>
        </w:rPr>
        <w:t xml:space="preserve">Retention periods in this policy are starting suggestions and must be set by the Company with counsel based on business need and applicable law. This document is not legal advice.</w:t>
      </w:r>
    </w:p>
    <w:p>
      <w:r>
        <w:br w:type="page"/>
      </w:r>
    </w:p>
    <w:p>
      <w:pPr>
        <w:spacing w:after="160"/>
      </w:pPr>
      <w:r>
        <w:rPr>
          <w:b/>
          <w:bCs/>
          <w:color w:val="1F4E79"/>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Purpose and Scope</w:t>
      </w:r>
    </w:p>
    <w:p>
      <w:pPr>
        <w:spacing w:after="120" w:line="276"/>
      </w:pPr>
      <w:r>
        <w:t xml:space="preserve">This policy governs how long the Company retains customer information and other records, and how that information is securely disposed of when retention is no longer justified. It implements the data-retention and disposal requirements of the FTC Safeguards Rule and supports the Company’s Written Information Security Program.</w:t>
      </w:r>
    </w:p>
    <w:p>
      <w:pPr>
        <w:spacing w:after="120" w:line="276"/>
      </w:pPr>
      <w:r>
        <w:t xml:space="preserve">It applies to all customer information in any format, and to all systems and service providers that store it on the Company’s behalf.</w:t>
      </w:r>
    </w:p>
    <w:p>
      <w:pPr>
        <w:pStyle w:val="Heading1"/>
      </w:pPr>
      <w:r>
        <w:t xml:space="preserve">2. Governing Principles</w:t>
      </w:r>
    </w:p>
    <w:p>
      <w:pPr>
        <w:pStyle w:val="ListParagraph"/>
        <w:numPr>
          <w:ilvl w:val="0"/>
          <w:numId w:val="2"/>
        </w:numPr>
        <w:spacing w:after="80" w:line="276"/>
      </w:pPr>
      <w:r>
        <w:rPr>
          <w:b/>
          <w:bCs/>
        </w:rPr>
        <w:t xml:space="preserve">Data minimization. </w:t>
      </w:r>
      <w:r>
        <w:t xml:space="preserve">Collect and keep only what is needed to provide a calculation or maintain an account. Avoid Social Security numbers, full account numbers, and government identifiers.</w:t>
      </w:r>
    </w:p>
    <w:p>
      <w:pPr>
        <w:pStyle w:val="ListParagraph"/>
        <w:numPr>
          <w:ilvl w:val="0"/>
          <w:numId w:val="2"/>
        </w:numPr>
        <w:spacing w:after="80" w:line="276"/>
      </w:pPr>
      <w:r>
        <w:rPr>
          <w:b/>
          <w:bCs/>
        </w:rPr>
        <w:t xml:space="preserve">Purpose limitation. </w:t>
      </w:r>
      <w:r>
        <w:t xml:space="preserve">Retain customer information only while it serves the purpose for which it was collected or a documented legitimate business or legal purpose.</w:t>
      </w:r>
    </w:p>
    <w:p>
      <w:pPr>
        <w:spacing w:after="120" w:line="276"/>
      </w:pPr>
      <w:r>
        <w:rPr>
          <w:b/>
          <w:bCs/>
        </w:rPr>
        <w:t xml:space="preserve">The two-year backstop. </w:t>
      </w:r>
      <w:r>
        <w:t xml:space="preserve">Under the Safeguards Rule, customer information must be securely disposed of </w:t>
      </w:r>
      <w:r>
        <w:rPr>
          <w:b/>
          <w:bCs/>
        </w:rPr>
        <w:t xml:space="preserve">no later than two years after the last date it was used</w:t>
      </w:r>
      <w:r>
        <w:t xml:space="preserve"> in connection with providing a product or service to the customer — unless (a) it is necessary for business operations or other legitimate business purposes, (b) it is required to be retained by law or regulation, or (c) targeted disposal is not reasonably feasible given how the information is maintained. The Company adopts this two-year period as its maximum default and may set shorter periods below.</w:t>
      </w:r>
    </w:p>
    <w:p>
      <w:pPr>
        <w:pStyle w:val="ListParagraph"/>
        <w:numPr>
          <w:ilvl w:val="0"/>
          <w:numId w:val="2"/>
        </w:numPr>
        <w:spacing w:after="80" w:line="276"/>
      </w:pPr>
      <w:r>
        <w:rPr>
          <w:b/>
          <w:bCs/>
        </w:rPr>
        <w:t xml:space="preserve">Periodic review. </w:t>
      </w:r>
      <w:r>
        <w:t xml:space="preserve">This policy and the retention schedule are reviewed at least annually to minimize unnecessary retention.</w:t>
      </w:r>
    </w:p>
    <w:p>
      <w:pPr>
        <w:spacing w:after="120" w:line="276"/>
      </w:pPr>
      <w:r>
        <w:rPr>
          <w:i/>
          <w:iCs/>
          <w:color w:val="595959"/>
          <w:sz w:val="19"/>
          <w:szCs w:val="19"/>
        </w:rPr>
        <w:t xml:space="preserve">Note: the Safeguards Rule’s small-entity carve-outs (for institutions holding information on fewer than 5,000 consumers) do not exempt the secure-disposal obligation. Treat the disposal principle as applicable regardless of size.</w:t>
      </w:r>
    </w:p>
    <w:p>
      <w:pPr>
        <w:pStyle w:val="Heading1"/>
      </w:pPr>
      <w:r>
        <w:t xml:space="preserve">3. Retention Schedule</w:t>
      </w:r>
    </w:p>
    <w:p>
      <w:pPr>
        <w:spacing w:after="120" w:line="276"/>
      </w:pPr>
      <w:r>
        <w:t xml:space="preserve">Periods marked [ ] are placeholders for the Company and counsel to set. Suggested defaults are a starting point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100"/>
        <w:gridCol w:w="2280"/>
        <w:gridCol w:w="2280"/>
      </w:tblGrid>
      <w:tr>
        <w:trPr>
          <w:tblHeader/>
        </w:trPr>
        <w:tc>
          <w:tcPr>
            <w:tcW w:type="dxa" w:w="27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spacing w:after="0" w:line="264"/>
            </w:pPr>
            <w:r>
              <w:rPr>
                <w:b/>
                <w:bCs/>
                <w:color w:val="FFFFFF"/>
              </w:rPr>
              <w:t xml:space="preserve">Data category</w:t>
            </w:r>
          </w:p>
        </w:tc>
        <w:tc>
          <w:tcPr>
            <w:tcW w:type="dxa" w:w="21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spacing w:after="0" w:line="264"/>
            </w:pPr>
            <w:r>
              <w:rPr>
                <w:b/>
                <w:bCs/>
                <w:color w:val="FFFFFF"/>
              </w:rPr>
              <w:t xml:space="preserve">System</w:t>
            </w:r>
          </w:p>
        </w:tc>
        <w:tc>
          <w:tcPr>
            <w:tcW w:type="dxa" w:w="228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spacing w:after="0" w:line="264"/>
            </w:pPr>
            <w:r>
              <w:rPr>
                <w:b/>
                <w:bCs/>
                <w:color w:val="FFFFFF"/>
              </w:rPr>
              <w:t xml:space="preserve">Suggested retention</w:t>
            </w:r>
          </w:p>
        </w:tc>
        <w:tc>
          <w:tcPr>
            <w:tcW w:type="dxa" w:w="228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spacing w:after="0" w:line="264"/>
            </w:pPr>
            <w:r>
              <w:rPr>
                <w:b/>
                <w:bCs/>
                <w:color w:val="FFFFFF"/>
              </w:rPr>
              <w:t xml:space="preserve">Disposal trigger</w:t>
            </w:r>
          </w:p>
        </w:tc>
      </w:tr>
      <w:tr>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pPr>
            <w:r>
              <w:t xml:space="preserve">Account identity (name, email, credentials)</w:t>
            </w:r>
          </w:p>
        </w:tc>
        <w:tc>
          <w:tcPr>
            <w:tcW w:type="dxa" w:w="2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pPr>
            <w:r>
              <w:t xml:space="preserve">Clerk</w:t>
            </w:r>
          </w:p>
        </w:tc>
        <w:tc>
          <w:tcPr>
            <w:tcW w:type="dxa" w:w="228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pPr>
            <w:r>
              <w:t xml:space="preserve">Life of account + [30–90 days]</w:t>
            </w:r>
          </w:p>
        </w:tc>
        <w:tc>
          <w:tcPr>
            <w:tcW w:type="dxa" w:w="228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pPr>
            <w:r>
              <w:t xml:space="preserve">Account deletion / closure</w:t>
            </w:r>
          </w:p>
        </w:tc>
      </w:tr>
      <w:tr>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pPr>
            <w:r>
              <w:t xml:space="preserve">Financial scenario inputs (income, debts, loan amount, property value, down payment, rents)</w:t>
            </w:r>
          </w:p>
        </w:tc>
        <w:tc>
          <w:tcPr>
            <w:tcW w:type="dxa" w:w="2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pPr>
            <w:r>
              <w:t xml:space="preserve">Supabase (user_answers, memory_items, projects)</w:t>
            </w:r>
          </w:p>
        </w:tc>
        <w:tc>
          <w:tcPr>
            <w:tcW w:type="dxa" w:w="228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pPr>
            <w:r>
              <w:t xml:space="preserve">[12–24 months] from last use</w:t>
            </w:r>
          </w:p>
        </w:tc>
        <w:tc>
          <w:tcPr>
            <w:tcW w:type="dxa" w:w="228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pPr>
            <w:r>
              <w:t xml:space="preserve">Inactivity, user deletion, or 2-yr backstop</w:t>
            </w:r>
          </w:p>
        </w:tc>
      </w:tr>
      <w:tr>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pPr>
            <w:r>
              <w:t xml:space="preserve">Chat / conversation history</w:t>
            </w:r>
          </w:p>
        </w:tc>
        <w:tc>
          <w:tcPr>
            <w:tcW w:type="dxa" w:w="2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pPr>
            <w:r>
              <w:t xml:space="preserve">Supabase (chat_threads, memory_threads)</w:t>
            </w:r>
          </w:p>
        </w:tc>
        <w:tc>
          <w:tcPr>
            <w:tcW w:type="dxa" w:w="228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pPr>
            <w:r>
              <w:t xml:space="preserve">[12–24 months] from last activity</w:t>
            </w:r>
          </w:p>
        </w:tc>
        <w:tc>
          <w:tcPr>
            <w:tcW w:type="dxa" w:w="228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pPr>
            <w:r>
              <w:t xml:space="preserve">Inactivity or user deletion</w:t>
            </w:r>
          </w:p>
        </w:tc>
      </w:tr>
      <w:tr>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pPr>
            <w:r>
              <w:t xml:space="preserve">Shared thread links</w:t>
            </w:r>
          </w:p>
        </w:tc>
        <w:tc>
          <w:tcPr>
            <w:tcW w:type="dxa" w:w="2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pPr>
            <w:r>
              <w:t xml:space="preserve">Supabase (shared_threads)</w:t>
            </w:r>
          </w:p>
        </w:tc>
        <w:tc>
          <w:tcPr>
            <w:tcW w:type="dxa" w:w="228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pPr>
            <w:r>
              <w:t xml:space="preserve">Until revoked or [X months]</w:t>
            </w:r>
          </w:p>
        </w:tc>
        <w:tc>
          <w:tcPr>
            <w:tcW w:type="dxa" w:w="228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pPr>
            <w:r>
              <w:t xml:space="preserve">Revocation or expiry</w:t>
            </w:r>
          </w:p>
        </w:tc>
      </w:tr>
      <w:tr>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pPr>
            <w:r>
              <w:t xml:space="preserve">Payment / subscription records</w:t>
            </w:r>
          </w:p>
        </w:tc>
        <w:tc>
          <w:tcPr>
            <w:tcW w:type="dxa" w:w="2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pPr>
            <w:r>
              <w:t xml:space="preserve">Stripe</w:t>
            </w:r>
          </w:p>
        </w:tc>
        <w:tc>
          <w:tcPr>
            <w:tcW w:type="dxa" w:w="228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pPr>
            <w:r>
              <w:t xml:space="preserve">Per Stripe + tax/accounting (often [7 years])</w:t>
            </w:r>
          </w:p>
        </w:tc>
        <w:tc>
          <w:tcPr>
            <w:tcW w:type="dxa" w:w="228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pPr>
            <w:r>
              <w:t xml:space="preserve">Legal/tax retention expiry</w:t>
            </w:r>
          </w:p>
        </w:tc>
      </w:tr>
      <w:tr>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pPr>
            <w:r>
              <w:t xml:space="preserve">Prompt context sent to model/search</w:t>
            </w:r>
          </w:p>
        </w:tc>
        <w:tc>
          <w:tcPr>
            <w:tcW w:type="dxa" w:w="2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pPr>
            <w:r>
              <w:t xml:space="preserve">xAI; Tavily (transient)</w:t>
            </w:r>
          </w:p>
        </w:tc>
        <w:tc>
          <w:tcPr>
            <w:tcW w:type="dxa" w:w="228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pPr>
            <w:r>
              <w:t xml:space="preserve">Not retained by Company; confirm vendor</w:t>
            </w:r>
          </w:p>
        </w:tc>
        <w:tc>
          <w:tcPr>
            <w:tcW w:type="dxa" w:w="228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pPr>
            <w:r>
              <w:t xml:space="preserve">Governed by vendor terms (§6)</w:t>
            </w:r>
          </w:p>
        </w:tc>
      </w:tr>
      <w:tr>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pPr>
            <w:r>
              <w:t xml:space="preserve">Application / access logs</w:t>
            </w:r>
          </w:p>
        </w:tc>
        <w:tc>
          <w:tcPr>
            <w:tcW w:type="dxa" w:w="2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pPr>
            <w:r>
              <w:t xml:space="preserve">Vercel, Supabase, Clerk</w:t>
            </w:r>
          </w:p>
        </w:tc>
        <w:tc>
          <w:tcPr>
            <w:tcW w:type="dxa" w:w="228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pPr>
            <w:r>
              <w:t xml:space="preserve">[30–365 days]</w:t>
            </w:r>
          </w:p>
        </w:tc>
        <w:tc>
          <w:tcPr>
            <w:tcW w:type="dxa" w:w="228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pPr>
            <w:r>
              <w:t xml:space="preserve">Rolling window</w:t>
            </w:r>
          </w:p>
        </w:tc>
      </w:tr>
      <w:tr>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pPr>
            <w:r>
              <w:t xml:space="preserve">Backups / snapshots</w:t>
            </w:r>
          </w:p>
        </w:tc>
        <w:tc>
          <w:tcPr>
            <w:tcW w:type="dxa" w:w="2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pPr>
            <w:r>
              <w:t xml:space="preserve">Supabase / [backup location]</w:t>
            </w:r>
          </w:p>
        </w:tc>
        <w:tc>
          <w:tcPr>
            <w:tcW w:type="dxa" w:w="228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pPr>
            <w:r>
              <w:t xml:space="preserve">[X days/weeks] rolling</w:t>
            </w:r>
          </w:p>
        </w:tc>
        <w:tc>
          <w:tcPr>
            <w:tcW w:type="dxa" w:w="228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pPr>
            <w:r>
              <w:t xml:space="preserve">Backup rotation (§5)</w:t>
            </w:r>
          </w:p>
        </w:tc>
      </w:tr>
      <w:tr>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pPr>
            <w:r>
              <w:t xml:space="preserve">Source code &amp; config (no PII)</w:t>
            </w:r>
          </w:p>
        </w:tc>
        <w:tc>
          <w:tcPr>
            <w:tcW w:type="dxa" w:w="2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pPr>
            <w:r>
              <w:t xml:space="preserve">GitHub, Vercel</w:t>
            </w:r>
          </w:p>
        </w:tc>
        <w:tc>
          <w:tcPr>
            <w:tcW w:type="dxa" w:w="228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pPr>
            <w:r>
              <w:t xml:space="preserve">Indefinite</w:t>
            </w:r>
          </w:p>
        </w:tc>
        <w:tc>
          <w:tcPr>
            <w:tcW w:type="dxa" w:w="228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pPr>
            <w:r>
              <w:t xml:space="preserve">N/A</w:t>
            </w:r>
          </w:p>
        </w:tc>
      </w:tr>
      <w:tr>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pPr>
            <w:r>
              <w:t xml:space="preserve">Security incident records</w:t>
            </w:r>
          </w:p>
        </w:tc>
        <w:tc>
          <w:tcPr>
            <w:tcW w:type="dxa" w:w="2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pPr>
            <w:r>
              <w:t xml:space="preserve">[location]</w:t>
            </w:r>
          </w:p>
        </w:tc>
        <w:tc>
          <w:tcPr>
            <w:tcW w:type="dxa" w:w="228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pPr>
            <w:r>
              <w:t xml:space="preserve">[≥ WISP §9 requirement]</w:t>
            </w:r>
          </w:p>
        </w:tc>
        <w:tc>
          <w:tcPr>
            <w:tcW w:type="dxa" w:w="228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pPr>
            <w:r>
              <w:t xml:space="preserve">Per WISP recordkeeping</w:t>
            </w:r>
          </w:p>
        </w:tc>
      </w:tr>
    </w:tbl>
    <w:p>
      <w:pPr>
        <w:spacing w:after="120" w:line="276"/>
      </w:pPr>
      <w:r>
        <w:rPr>
          <w:b/>
          <w:bCs/>
          <w:color w:val="C00000"/>
          <w:sz w:val="19"/>
          <w:szCs w:val="19"/>
        </w:rPr>
        <w:t xml:space="preserve">ACTION (counsel / owner): Set each [ ] value. Reconcile Stripe-related financial-record retention with tax/accounting obligations, which often require multi-year retention that overrides shorter app-data periods.</w:t>
      </w:r>
    </w:p>
    <w:p>
      <w:pPr>
        <w:pStyle w:val="Heading1"/>
      </w:pPr>
      <w:r>
        <w:t xml:space="preserve">4. Secure Disposal</w:t>
      </w:r>
    </w:p>
    <w:p>
      <w:pPr>
        <w:pStyle w:val="ListParagraph"/>
        <w:numPr>
          <w:ilvl w:val="0"/>
          <w:numId w:val="2"/>
        </w:numPr>
        <w:spacing w:after="80" w:line="276"/>
      </w:pPr>
      <w:r>
        <w:rPr>
          <w:b/>
          <w:bCs/>
        </w:rPr>
        <w:t xml:space="preserve">Database records: </w:t>
      </w:r>
      <w:r>
        <w:t xml:space="preserve">Hard-delete from Supabase (not soft-delete/flagging) when the retention period lapses; confirm row removal under RLS.</w:t>
      </w:r>
    </w:p>
    <w:p>
      <w:pPr>
        <w:pStyle w:val="ListParagraph"/>
        <w:numPr>
          <w:ilvl w:val="0"/>
          <w:numId w:val="2"/>
        </w:numPr>
        <w:spacing w:after="80" w:line="276"/>
      </w:pPr>
      <w:r>
        <w:rPr>
          <w:b/>
          <w:bCs/>
        </w:rPr>
        <w:t xml:space="preserve">Identity records: </w:t>
      </w:r>
      <w:r>
        <w:t xml:space="preserve">Delete via Clerk’s deletion flow on account closure or request.</w:t>
      </w:r>
    </w:p>
    <w:p>
      <w:pPr>
        <w:pStyle w:val="ListParagraph"/>
        <w:numPr>
          <w:ilvl w:val="0"/>
          <w:numId w:val="2"/>
        </w:numPr>
        <w:spacing w:after="80" w:line="276"/>
      </w:pPr>
      <w:r>
        <w:rPr>
          <w:b/>
          <w:bCs/>
        </w:rPr>
        <w:t xml:space="preserve">Payment records: </w:t>
      </w:r>
      <w:r>
        <w:t xml:space="preserve">Rely on Stripe’s controls; the Company does not store card data.</w:t>
      </w:r>
    </w:p>
    <w:p>
      <w:pPr>
        <w:pStyle w:val="ListParagraph"/>
        <w:numPr>
          <w:ilvl w:val="0"/>
          <w:numId w:val="2"/>
        </w:numPr>
        <w:spacing w:after="80" w:line="276"/>
      </w:pPr>
      <w:r>
        <w:rPr>
          <w:b/>
          <w:bCs/>
        </w:rPr>
        <w:t xml:space="preserve">Logs and backups: </w:t>
      </w:r>
      <w:r>
        <w:t xml:space="preserve">Allow rolling windows to expire; do not extend beyond policy without documented justification.</w:t>
      </w:r>
    </w:p>
    <w:p>
      <w:pPr>
        <w:pStyle w:val="ListParagraph"/>
        <w:numPr>
          <w:ilvl w:val="0"/>
          <w:numId w:val="2"/>
        </w:numPr>
        <w:spacing w:after="80" w:line="276"/>
      </w:pPr>
      <w:r>
        <w:rPr>
          <w:b/>
          <w:bCs/>
        </w:rPr>
        <w:t xml:space="preserve">Endpoints: </w:t>
      </w:r>
      <w:r>
        <w:t xml:space="preserve">Any customer information temporarily on a developer workstation is deleted securely after use; disks are encrypted.</w:t>
      </w:r>
    </w:p>
    <w:p>
      <w:pPr>
        <w:pStyle w:val="ListParagraph"/>
        <w:numPr>
          <w:ilvl w:val="0"/>
          <w:numId w:val="2"/>
        </w:numPr>
        <w:spacing w:after="80" w:line="276"/>
      </w:pPr>
      <w:r>
        <w:rPr>
          <w:b/>
          <w:bCs/>
        </w:rPr>
        <w:t xml:space="preserve">Verification: </w:t>
      </w:r>
      <w:r>
        <w:t xml:space="preserve">The Qualified Individual periodically confirms that scheduled disposals actually occur (e.g., inactive records past their window are purged).</w:t>
      </w:r>
    </w:p>
    <w:p>
      <w:pPr>
        <w:pStyle w:val="Heading1"/>
      </w:pPr>
      <w:r>
        <w:t xml:space="preserve">5. Backups and Deletion Propagation</w:t>
      </w:r>
    </w:p>
    <w:p>
      <w:pPr>
        <w:spacing w:after="120" w:line="276"/>
      </w:pPr>
      <w:r>
        <w:t xml:space="preserve">Deletion from production does not instantly remove data from backups. The Company:</w:t>
      </w:r>
    </w:p>
    <w:p>
      <w:pPr>
        <w:pStyle w:val="ListParagraph"/>
        <w:numPr>
          <w:ilvl w:val="0"/>
          <w:numId w:val="2"/>
        </w:numPr>
        <w:spacing w:after="80" w:line="276"/>
      </w:pPr>
      <w:r>
        <w:t xml:space="preserve">Maintains backups on a defined rolling schedule ([retention window]), after which backups expire and deleted data ages out.</w:t>
      </w:r>
    </w:p>
    <w:p>
      <w:pPr>
        <w:pStyle w:val="ListParagraph"/>
        <w:numPr>
          <w:ilvl w:val="0"/>
          <w:numId w:val="2"/>
        </w:numPr>
        <w:spacing w:after="80" w:line="276"/>
      </w:pPr>
      <w:r>
        <w:t xml:space="preserve">Documents this lag so a deletion request is honored in production immediately and in backups within the backup-retention window.</w:t>
      </w:r>
    </w:p>
    <w:p>
      <w:pPr>
        <w:pStyle w:val="ListParagraph"/>
        <w:numPr>
          <w:ilvl w:val="0"/>
          <w:numId w:val="2"/>
        </w:numPr>
        <w:spacing w:after="80" w:line="276"/>
      </w:pPr>
      <w:r>
        <w:t xml:space="preserve">Does not restore deleted customer information except for legitimate recovery, after which any re-introduced data subject to deletion is re-purged.</w:t>
      </w:r>
    </w:p>
    <w:p>
      <w:pPr>
        <w:pStyle w:val="Heading1"/>
      </w:pPr>
      <w:r>
        <w:t xml:space="preserve">6. Service-Provider Retention</w:t>
      </w:r>
    </w:p>
    <w:p>
      <w:pPr>
        <w:spacing w:after="120" w:line="276"/>
      </w:pPr>
      <w:r>
        <w:t xml:space="preserve">The Company’s retention obligations extend to information held by service providers on its behalf.</w:t>
      </w:r>
    </w:p>
    <w:p>
      <w:pPr>
        <w:pStyle w:val="ListParagraph"/>
        <w:numPr>
          <w:ilvl w:val="0"/>
          <w:numId w:val="2"/>
        </w:numPr>
        <w:spacing w:after="80" w:line="276"/>
      </w:pPr>
      <w:r>
        <w:rPr>
          <w:b/>
          <w:bCs/>
        </w:rPr>
        <w:t xml:space="preserve">Supabase, Clerk, Stripe: </w:t>
      </w:r>
      <w:r>
        <w:t xml:space="preserve">Retention and deletion governed by the Company’s configuration plus each provider’s terms; deletion requests propagate to these systems.</w:t>
      </w:r>
    </w:p>
    <w:p>
      <w:pPr>
        <w:pStyle w:val="ListParagraph"/>
        <w:numPr>
          <w:ilvl w:val="0"/>
          <w:numId w:val="2"/>
        </w:numPr>
        <w:spacing w:after="80" w:line="276"/>
      </w:pPr>
      <w:r>
        <w:rPr>
          <w:b/>
          <w:bCs/>
        </w:rPr>
        <w:t xml:space="preserve">xAI (Grok), Tavily: </w:t>
      </w:r>
      <w:r>
        <w:t xml:space="preserve">Prompt context and queries may include customer information. Confirm in writing whether these providers retain or train on submitted content, and for how long — or eliminate customer information from prompts.</w:t>
      </w:r>
    </w:p>
    <w:p>
      <w:pPr>
        <w:spacing w:after="120" w:line="276"/>
      </w:pPr>
      <w:r>
        <w:rPr>
          <w:b/>
          <w:bCs/>
          <w:color w:val="C00000"/>
          <w:sz w:val="19"/>
          <w:szCs w:val="19"/>
        </w:rPr>
        <w:t xml:space="preserve">ACTION: Execute DPAs that specify deletion and retention terms with every provider that handles customer information.</w:t>
      </w:r>
    </w:p>
    <w:p>
      <w:pPr>
        <w:pStyle w:val="Heading1"/>
      </w:pPr>
      <w:r>
        <w:t xml:space="preserve">7. Legal Holds</w:t>
      </w:r>
    </w:p>
    <w:p>
      <w:pPr>
        <w:spacing w:after="120" w:line="276"/>
      </w:pPr>
      <w:r>
        <w:t xml:space="preserve">When litigation, investigation, regulatory inquiry, or a security incident is reasonably anticipated, the Qualified Individual issues a legal hold that suspends routine disposal of potentially relevant records until the hold is lifted. A legal hold overrides the retention schedule.</w:t>
      </w:r>
    </w:p>
    <w:p>
      <w:pPr>
        <w:pStyle w:val="Heading1"/>
      </w:pPr>
      <w:r>
        <w:t xml:space="preserve">8. Consumer Deletion Requests</w:t>
      </w:r>
    </w:p>
    <w:p>
      <w:pPr>
        <w:spacing w:after="120" w:line="276"/>
      </w:pPr>
      <w:r>
        <w:t xml:space="preserve">Where a consumer requests deletion of their data (e.g., under CCPA/CPRA or other applicable law), the Company:</w:t>
      </w:r>
    </w:p>
    <w:p>
      <w:pPr>
        <w:pStyle w:val="ListParagraph"/>
        <w:numPr>
          <w:ilvl w:val="0"/>
          <w:numId w:val="3"/>
        </w:numPr>
        <w:spacing w:after="80" w:line="276"/>
      </w:pPr>
      <w:r>
        <w:t xml:space="preserve">Verifies the request per [verification process].</w:t>
      </w:r>
    </w:p>
    <w:p>
      <w:pPr>
        <w:pStyle w:val="ListParagraph"/>
        <w:numPr>
          <w:ilvl w:val="0"/>
          <w:numId w:val="3"/>
        </w:numPr>
        <w:spacing w:after="80" w:line="276"/>
      </w:pPr>
      <w:r>
        <w:t xml:space="preserve">Deletes or de-identifies the consumer’s records in production within [statutory timeframe].</w:t>
      </w:r>
    </w:p>
    <w:p>
      <w:pPr>
        <w:pStyle w:val="ListParagraph"/>
        <w:numPr>
          <w:ilvl w:val="0"/>
          <w:numId w:val="3"/>
        </w:numPr>
        <w:spacing w:after="80" w:line="276"/>
      </w:pPr>
      <w:r>
        <w:t xml:space="preserve">Honors backup propagation per §5 and documents completion.</w:t>
      </w:r>
    </w:p>
    <w:p>
      <w:pPr>
        <w:pStyle w:val="ListParagraph"/>
        <w:numPr>
          <w:ilvl w:val="0"/>
          <w:numId w:val="3"/>
        </w:numPr>
        <w:spacing w:after="80" w:line="276"/>
      </w:pPr>
      <w:r>
        <w:t xml:space="preserve">Retains only what law permits or requires (e.g., certain financial/tax records).</w:t>
      </w:r>
    </w:p>
    <w:p>
      <w:pPr>
        <w:spacing w:after="120" w:line="276"/>
      </w:pPr>
      <w:r>
        <w:rPr>
          <w:i/>
          <w:iCs/>
          <w:color w:val="595959"/>
          <w:sz w:val="19"/>
          <w:szCs w:val="19"/>
        </w:rPr>
        <w:t xml:space="preserve">Coordinate this section with the public privacy policy and CCPA/CPRA obligations — a separate compliance workstream.</w:t>
      </w:r>
    </w:p>
    <w:p>
      <w:pPr>
        <w:pStyle w:val="Heading1"/>
      </w:pPr>
      <w:r>
        <w:t xml:space="preserve">9. Review and Revision History</w:t>
      </w:r>
    </w:p>
    <w:p>
      <w:pPr>
        <w:pStyle w:val="ListParagraph"/>
        <w:numPr>
          <w:ilvl w:val="0"/>
          <w:numId w:val="2"/>
        </w:numPr>
        <w:spacing w:after="80" w:line="276"/>
      </w:pPr>
      <w:r>
        <w:rPr>
          <w:b/>
          <w:bCs/>
        </w:rPr>
        <w:t xml:space="preserve">Review: </w:t>
      </w:r>
      <w:r>
        <w:t xml:space="preserve">Reviewed at least annually and on any material change to data flows, vendors, or applicable law.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400"/>
        <w:gridCol w:w="3360"/>
      </w:tblGrid>
      <w:tr>
        <w:trPr>
          <w:tblHeader/>
        </w:trPr>
        <w:tc>
          <w:tcPr>
            <w:tcW w:type="dxa" w:w="16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spacing w:after="0" w:line="264"/>
            </w:pPr>
            <w:r>
              <w:rPr>
                <w:b/>
                <w:bCs/>
                <w:color w:val="FFFFFF"/>
              </w:rPr>
              <w:t xml:space="preserve">Version</w:t>
            </w:r>
          </w:p>
        </w:tc>
        <w:tc>
          <w:tcPr>
            <w:tcW w:type="dxa" w:w="2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spacing w:after="0" w:line="264"/>
            </w:pPr>
            <w:r>
              <w:rPr>
                <w:b/>
                <w:bCs/>
                <w:color w:val="FFFFFF"/>
              </w:rPr>
              <w:t xml:space="preserve">Date</w:t>
            </w:r>
          </w:p>
        </w:tc>
        <w:tc>
          <w:tcPr>
            <w:tcW w:type="dxa" w:w="2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spacing w:after="0" w:line="264"/>
            </w:pPr>
            <w:r>
              <w:rPr>
                <w:b/>
                <w:bCs/>
                <w:color w:val="FFFFFF"/>
              </w:rPr>
              <w:t xml:space="preserve">Author</w:t>
            </w:r>
          </w:p>
        </w:tc>
        <w:tc>
          <w:tcPr>
            <w:tcW w:type="dxa" w:w="33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spacing w:after="0" w:line="264"/>
            </w:pPr>
            <w:r>
              <w:rPr>
                <w:b/>
                <w:bCs/>
                <w:color w:val="FFFFFF"/>
              </w:rPr>
              <w:t xml:space="preserve">Summary</w:t>
            </w:r>
          </w:p>
        </w:tc>
      </w:tr>
      <w:tr>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pPr>
            <w:r>
              <w:t xml:space="preserve">0.1 (draft)</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pPr>
            <w:r>
              <w:t xml:space="preserve">June 26, 2026</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pPr>
            <w:r>
              <w:t xml:space="preserve">[Qualified Individual]</w:t>
            </w:r>
          </w:p>
        </w:tc>
        <w:tc>
          <w:tcPr>
            <w:tcW w:type="dxa" w:w="3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pPr>
            <w:r>
              <w:t xml:space="preserve">Initial draft for legal review</w:t>
            </w:r>
          </w:p>
        </w:tc>
      </w:tr>
      <w:tr>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pPr>
            <w:r>
              <w:t xml:space="preserve">[1.0]</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pPr>
            <w:r>
              <w:t xml:space="preserve">[ ]</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pPr>
            <w:r>
              <w:t xml:space="preserve">[ ]</w:t>
            </w:r>
          </w:p>
        </w:tc>
        <w:tc>
          <w:tcPr>
            <w:tcW w:type="dxa" w:w="3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pPr>
            <w:r>
              <w:t xml:space="preserve">[Adopted following counsel review]</w:t>
            </w:r>
          </w:p>
        </w:tc>
      </w:tr>
    </w:tbl>
    <w:p>
      <w:pPr>
        <w:pBdr>
          <w:top w:val="single" w:color="1F4E79" w:sz="6" w:space="6"/>
        </w:pBdr>
        <w:spacing w:before="360"/>
      </w:pPr>
      <w:r>
        <w:rPr>
          <w:i/>
          <w:iCs/>
          <w:color w:val="595959"/>
          <w:sz w:val="18"/>
          <w:szCs w:val="18"/>
        </w:rPr>
        <w:t xml:space="preserve">This policy is a draft and does not constitute legal advice. Retention periods and deletion timeframes must be set and confirmed by qualified counsel before adoption.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595959"/>
        <w:sz w:val="16"/>
        <w:szCs w:val="16"/>
      </w:rPr>
      <w:t xml:space="preserve">v0.1 — for legal review</w:t>
    </w:r>
    <w:r>
      <w:rPr>
        <w:color w:val="595959"/>
        <w:sz w:val="16"/>
        <w:szCs w:val="16"/>
      </w:rPr>
      <w:t xml:space="preserve">	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3"/>
      </w:pBdr>
      <w:tabs>
        <w:tab w:val="right" w:pos="9360"/>
      </w:tabs>
    </w:pPr>
    <w:r>
      <w:rPr>
        <w:color w:val="595959"/>
        <w:sz w:val="16"/>
        <w:szCs w:val="16"/>
      </w:rPr>
      <w:t xml:space="preserve">HomeRates.ai — Data Retention and Disposal Policy</w:t>
    </w:r>
    <w:r>
      <w:rPr>
        <w:color w:val="595959"/>
        <w:sz w:val="16"/>
        <w:szCs w:val="16"/>
      </w:rPr>
      <w:t xml:space="preserve">	Confidential —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before="0"/>
    </w:pPr>
    <w:rPr>
      <w:rFonts w:ascii="Arial" w:cs="Arial" w:eastAsia="Arial" w:hAnsi="Arial"/>
      <w:b/>
      <w:bCs/>
      <w:color w:val="1F4E79"/>
      <w:sz w:val="52"/>
      <w:szCs w:val="52"/>
    </w:rPr>
  </w:style>
  <w:style w:type="paragraph" w:styleId="Heading1">
    <w:name w:val="Heading 1"/>
    <w:basedOn w:val="Normal"/>
    <w:next w:val="Normal"/>
    <w:qFormat/>
    <w:pPr>
      <w:pBdr>
        <w:bottom w:val="single" w:color="1F4E79" w:sz="6" w:space="4"/>
      </w:pBdr>
      <w:spacing w:after="140" w:before="320"/>
      <w:outlineLvl w:val="0"/>
    </w:pPr>
    <w:rPr>
      <w:rFonts w:ascii="Arial" w:cs="Arial" w:eastAsia="Arial" w:hAnsi="Arial"/>
      <w:b/>
      <w:bCs/>
      <w:color w:val="1F4E79"/>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E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2026-06-26T17:37:34.141Z</dcterms:created>
  <dcterms:modified xsi:type="dcterms:W3CDTF">2026-06-26T17:37:34.155Z</dcterms:modified>
</cp:coreProperties>
</file>

<file path=docProps/custom.xml><?xml version="1.0" encoding="utf-8"?>
<Properties xmlns="http://schemas.openxmlformats.org/officeDocument/2006/custom-properties" xmlns:vt="http://schemas.openxmlformats.org/officeDocument/2006/docPropsVTypes"/>
</file>