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72DDA9A5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6BBEA0F3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DE74ED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4163C55B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Pr="005423A7">
        <w:rPr>
          <w:u w:val="single"/>
        </w:rPr>
        <w:t>VIDE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3B3A4D5C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(10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plus de </w:t>
      </w:r>
      <w:r w:rsidR="000C1469">
        <w:t>10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7E407F49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7786A2A7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5478AF2A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3A0E11" w:rsidRPr="003475DA">
        <w:rPr>
          <w:u w:val="single"/>
        </w:rPr>
        <w:t>UTILISATEUR</w:t>
      </w:r>
      <w:r w:rsidR="003A0E11">
        <w:t> </w:t>
      </w:r>
      <w:proofErr w:type="spellStart"/>
      <w:r w:rsidR="003A0E11">
        <w:t>utilisateur</w:t>
      </w:r>
      <w:proofErr w:type="spellEnd"/>
      <w:r w:rsidR="00327A66">
        <w:t xml:space="preserve">, 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ED4C84" w:rsidRPr="00F040BA">
        <w:rPr>
          <w:u w:val="single"/>
        </w:rPr>
        <w:t>ENTIER</w:t>
      </w:r>
      <w:r w:rsidR="00ED4C84">
        <w:t xml:space="preserve"> *jour, </w:t>
      </w:r>
      <w:r w:rsidR="00ED4C84" w:rsidRPr="00F040BA">
        <w:rPr>
          <w:u w:val="single"/>
        </w:rPr>
        <w:t>ENTIER</w:t>
      </w:r>
      <w:r w:rsidR="00ED4C84">
        <w:t xml:space="preserve"> *mois, </w:t>
      </w:r>
      <w:r w:rsidR="00874673" w:rsidRPr="00F040BA">
        <w:rPr>
          <w:u w:val="single"/>
        </w:rPr>
        <w:t>ENTIER</w:t>
      </w:r>
      <w:r w:rsidR="00874673">
        <w:t xml:space="preserve"> *ann</w:t>
      </w:r>
      <w:r w:rsidR="00CE12FB">
        <w:t>é</w:t>
      </w:r>
      <w:r w:rsidR="00874673">
        <w:t xml:space="preserve">e, </w:t>
      </w:r>
      <w:r w:rsidR="00874673" w:rsidRPr="00F040BA">
        <w:rPr>
          <w:u w:val="single"/>
        </w:rPr>
        <w:t>ENTIER</w:t>
      </w:r>
      <w:r w:rsidR="00874673">
        <w:t xml:space="preserve"> *heure, </w:t>
      </w:r>
      <w:r w:rsidR="00874673" w:rsidRPr="00F040BA">
        <w:rPr>
          <w:u w:val="single"/>
        </w:rPr>
        <w:t>ENTIER</w:t>
      </w:r>
      <w:r w:rsidR="00874673">
        <w:t xml:space="preserve"> *minute)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2A2EA0B8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5F4287CD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6E7BBA4E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 La fonction affiche ensuite la liste des dossier</w:t>
      </w:r>
      <w:r w:rsidR="00E50A39">
        <w:t>s</w:t>
      </w:r>
      <w:r w:rsidR="00A23785">
        <w:t xml:space="preserve"> (partie 5.)</w:t>
      </w:r>
    </w:p>
    <w:p w14:paraId="2B78A33D" w14:textId="1BA730B5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3E6FE4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25F0E194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4D14893A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86BF232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6CE1516C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4516225B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2000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3120F448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2C5972E8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3D318EF4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Default="005B1CFB" w:rsidP="005B1CFB">
            <w:proofErr w:type="spellStart"/>
            <w:r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Default="005B1CFB" w:rsidP="005B1CFB">
            <w:proofErr w:type="spellStart"/>
            <w: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Default="005B1CFB" w:rsidP="005B1CFB">
            <w:proofErr w:type="spellStart"/>
            <w: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Default="005B1CFB" w:rsidP="005B1CFB">
            <w:proofErr w:type="spellStart"/>
            <w: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Default="005B1CFB" w:rsidP="005B1CFB">
            <w:proofErr w:type="spellStart"/>
            <w: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Default="005B1CFB" w:rsidP="005B1CFB">
            <w:proofErr w:type="spellStart"/>
            <w:r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Default="005B1CFB" w:rsidP="005B1CFB">
            <w:proofErr w:type="spellStart"/>
            <w: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Default="005B1CFB" w:rsidP="005B1CFB">
            <w:proofErr w:type="spellStart"/>
            <w: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Default="005B1CFB" w:rsidP="005B1CFB">
            <w:proofErr w:type="spellStart"/>
            <w: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Default="005B1CFB" w:rsidP="005B1CFB">
            <w:proofErr w:type="spellStart"/>
            <w: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bookmarkStart w:id="0" w:name="_GoBack"/>
      <w:bookmarkEnd w:id="0"/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A13E" w14:textId="77777777" w:rsidR="00AE1705" w:rsidRDefault="00AE1705" w:rsidP="00F179C7">
      <w:pPr>
        <w:spacing w:after="0" w:line="240" w:lineRule="auto"/>
      </w:pPr>
      <w:r>
        <w:separator/>
      </w:r>
    </w:p>
  </w:endnote>
  <w:endnote w:type="continuationSeparator" w:id="0">
    <w:p w14:paraId="580133FF" w14:textId="77777777" w:rsidR="00AE1705" w:rsidRDefault="00AE1705" w:rsidP="00F179C7">
      <w:pPr>
        <w:spacing w:after="0" w:line="240" w:lineRule="auto"/>
      </w:pPr>
      <w:r>
        <w:continuationSeparator/>
      </w:r>
    </w:p>
  </w:endnote>
  <w:endnote w:type="continuationNotice" w:id="1">
    <w:p w14:paraId="1C4A5679" w14:textId="77777777" w:rsidR="00AE1705" w:rsidRDefault="00AE1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9749" w14:textId="77777777" w:rsidR="00AE1705" w:rsidRDefault="00AE1705" w:rsidP="00F179C7">
      <w:pPr>
        <w:spacing w:after="0" w:line="240" w:lineRule="auto"/>
      </w:pPr>
      <w:r>
        <w:separator/>
      </w:r>
    </w:p>
  </w:footnote>
  <w:footnote w:type="continuationSeparator" w:id="0">
    <w:p w14:paraId="14613E55" w14:textId="77777777" w:rsidR="00AE1705" w:rsidRDefault="00AE1705" w:rsidP="00F179C7">
      <w:pPr>
        <w:spacing w:after="0" w:line="240" w:lineRule="auto"/>
      </w:pPr>
      <w:r>
        <w:continuationSeparator/>
      </w:r>
    </w:p>
  </w:footnote>
  <w:footnote w:type="continuationNotice" w:id="1">
    <w:p w14:paraId="47DE29CF" w14:textId="77777777" w:rsidR="00AE1705" w:rsidRDefault="00AE17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AE1705" w:rsidP="00E84D11">
    <w:pPr>
      <w:pStyle w:val="En-tte"/>
    </w:pPr>
    <w:fldSimple w:instr=" AUTHOR  &quot;ADAM Ahmet&quot;  \* MERGEFORMAT ">
      <w:r w:rsidR="009B7A46">
        <w:rPr>
          <w:noProof/>
        </w:rPr>
        <w:t>ADAM Ahmet</w:t>
      </w:r>
    </w:fldSimple>
  </w:p>
  <w:p w14:paraId="55A91080" w14:textId="0F31914A" w:rsidR="00E84D11" w:rsidRDefault="00AE1705" w:rsidP="00E84D11">
    <w:pPr>
      <w:pStyle w:val="En-tte"/>
    </w:pPr>
    <w:fldSimple w:instr=" AUTHOR  &quot;BLANCHET Théo&quot;  \* MERGEFORMAT ">
      <w:r w:rsidR="009B7A46">
        <w:rPr>
          <w:noProof/>
        </w:rPr>
        <w:t>BLANCHET Théo</w:t>
      </w:r>
    </w:fldSimple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71A"/>
    <w:rsid w:val="00FA560A"/>
    <w:rsid w:val="00FA60AC"/>
    <w:rsid w:val="00FA69E5"/>
    <w:rsid w:val="00FA78FE"/>
    <w:rsid w:val="00FB0377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0F4E-D4AE-4C47-ACFB-F3277524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2483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753</cp:revision>
  <cp:lastPrinted>2019-04-28T15:26:00Z</cp:lastPrinted>
  <dcterms:created xsi:type="dcterms:W3CDTF">2019-04-25T12:48:00Z</dcterms:created>
  <dcterms:modified xsi:type="dcterms:W3CDTF">2019-05-08T17:22:00Z</dcterms:modified>
</cp:coreProperties>
</file>