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r>
    </w:p>
    <w:tbl>
      <w:tblPr>
        <w:tblStyle w:val="Table1"/>
        <w:tblW w:w="6810.0" w:type="dxa"/>
        <w:jc w:val="left"/>
        <w:tblInd w:w="2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500"/>
        <w:gridCol w:w="1425"/>
        <w:gridCol w:w="1230"/>
        <w:gridCol w:w="1365"/>
        <w:tblGridChange w:id="0">
          <w:tblGrid>
            <w:gridCol w:w="1290"/>
            <w:gridCol w:w="1500"/>
            <w:gridCol w:w="1425"/>
            <w:gridCol w:w="1230"/>
            <w:gridCol w:w="1365"/>
          </w:tblGrid>
        </w:tblGridChange>
      </w:tblGrid>
      <w:tr>
        <w:trPr>
          <w:trHeight w:val="780" w:hRule="atLeast"/>
        </w:trPr>
        <w:tc>
          <w:tcPr>
            <w:tcBorders>
              <w:top w:color="000000" w:space="0" w:sz="0" w:val="nil"/>
              <w:left w:color="000000" w:space="0" w:sz="0" w:val="nil"/>
              <w:bottom w:color="333333" w:space="0" w:sz="6" w:val="single"/>
              <w:right w:color="000000" w:space="0" w:sz="0" w:val="nil"/>
            </w:tcBorders>
            <w:tcMar>
              <w:top w:w="80.0" w:type="dxa"/>
              <w:left w:w="80.0" w:type="dxa"/>
              <w:bottom w:w="60.0" w:type="dxa"/>
              <w:right w:w="8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color w:val="333333"/>
                <w:sz w:val="26"/>
                <w:szCs w:val="26"/>
              </w:rPr>
            </w:pPr>
            <w:r w:rsidDel="00000000" w:rsidR="00000000" w:rsidRPr="00000000">
              <w:rPr>
                <w:rFonts w:ascii="Roboto" w:cs="Roboto" w:eastAsia="Roboto" w:hAnsi="Roboto"/>
                <w:b w:val="1"/>
                <w:color w:val="333333"/>
                <w:sz w:val="26"/>
                <w:szCs w:val="26"/>
                <w:rtl w:val="0"/>
              </w:rPr>
              <w:t xml:space="preserve">2017</w:t>
            </w: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tcMar>
              <w:top w:w="80.0" w:type="dxa"/>
              <w:left w:w="80.0" w:type="dxa"/>
              <w:bottom w:w="60.0" w:type="dxa"/>
              <w:right w:w="80.0" w:type="dxa"/>
            </w:tcMar>
            <w:vAlign w:val="center"/>
          </w:tcPr>
          <w:p w:rsidR="00000000" w:rsidDel="00000000" w:rsidP="00000000" w:rsidRDefault="00000000" w:rsidRPr="00000000" w14:paraId="00000003">
            <w:pPr>
              <w:spacing w:after="40" w:lineRule="auto"/>
              <w:jc w:val="center"/>
              <w:rPr>
                <w:rFonts w:ascii="Roboto" w:cs="Roboto" w:eastAsia="Roboto" w:hAnsi="Roboto"/>
                <w:color w:val="333333"/>
                <w:sz w:val="26"/>
                <w:szCs w:val="26"/>
              </w:rPr>
            </w:pPr>
            <w:r w:rsidDel="00000000" w:rsidR="00000000" w:rsidRPr="00000000">
              <w:rPr>
                <w:rFonts w:ascii="Roboto" w:cs="Roboto" w:eastAsia="Roboto" w:hAnsi="Roboto"/>
                <w:b w:val="1"/>
                <w:color w:val="333333"/>
                <w:sz w:val="26"/>
                <w:szCs w:val="26"/>
                <w:rtl w:val="0"/>
              </w:rPr>
              <w:t xml:space="preserve">2016</w:t>
            </w: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tcMar>
              <w:top w:w="80.0" w:type="dxa"/>
              <w:left w:w="80.0" w:type="dxa"/>
              <w:bottom w:w="60.0" w:type="dxa"/>
              <w:right w:w="80.0" w:type="dxa"/>
            </w:tcMar>
            <w:vAlign w:val="center"/>
          </w:tcPr>
          <w:p w:rsidR="00000000" w:rsidDel="00000000" w:rsidP="00000000" w:rsidRDefault="00000000" w:rsidRPr="00000000" w14:paraId="00000004">
            <w:pPr>
              <w:spacing w:after="40" w:lineRule="auto"/>
              <w:jc w:val="center"/>
              <w:rPr>
                <w:rFonts w:ascii="Roboto" w:cs="Roboto" w:eastAsia="Roboto" w:hAnsi="Roboto"/>
                <w:color w:val="333333"/>
                <w:sz w:val="26"/>
                <w:szCs w:val="26"/>
              </w:rPr>
            </w:pPr>
            <w:r w:rsidDel="00000000" w:rsidR="00000000" w:rsidRPr="00000000">
              <w:rPr>
                <w:rFonts w:ascii="Roboto" w:cs="Roboto" w:eastAsia="Roboto" w:hAnsi="Roboto"/>
                <w:b w:val="1"/>
                <w:color w:val="333333"/>
                <w:sz w:val="26"/>
                <w:szCs w:val="26"/>
                <w:rtl w:val="0"/>
              </w:rPr>
              <w:t xml:space="preserve">2015</w:t>
            </w: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tcMar>
              <w:top w:w="80.0" w:type="dxa"/>
              <w:left w:w="80.0" w:type="dxa"/>
              <w:bottom w:w="60.0" w:type="dxa"/>
              <w:right w:w="80.0" w:type="dxa"/>
            </w:tcMar>
            <w:vAlign w:val="center"/>
          </w:tcPr>
          <w:p w:rsidR="00000000" w:rsidDel="00000000" w:rsidP="00000000" w:rsidRDefault="00000000" w:rsidRPr="00000000" w14:paraId="00000005">
            <w:pPr>
              <w:spacing w:after="40" w:lineRule="auto"/>
              <w:jc w:val="center"/>
              <w:rPr>
                <w:rFonts w:ascii="Roboto" w:cs="Roboto" w:eastAsia="Roboto" w:hAnsi="Roboto"/>
                <w:color w:val="333333"/>
                <w:sz w:val="26"/>
                <w:szCs w:val="26"/>
              </w:rPr>
            </w:pPr>
            <w:r w:rsidDel="00000000" w:rsidR="00000000" w:rsidRPr="00000000">
              <w:rPr>
                <w:rFonts w:ascii="Roboto" w:cs="Roboto" w:eastAsia="Roboto" w:hAnsi="Roboto"/>
                <w:b w:val="1"/>
                <w:color w:val="333333"/>
                <w:sz w:val="26"/>
                <w:szCs w:val="26"/>
                <w:rtl w:val="0"/>
              </w:rPr>
              <w:t xml:space="preserve">2014</w:t>
            </w: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tcMar>
              <w:top w:w="80.0" w:type="dxa"/>
              <w:left w:w="80.0" w:type="dxa"/>
              <w:bottom w:w="60.0" w:type="dxa"/>
              <w:right w:w="80.0" w:type="dxa"/>
            </w:tcMar>
            <w:vAlign w:val="center"/>
          </w:tcPr>
          <w:p w:rsidR="00000000" w:rsidDel="00000000" w:rsidP="00000000" w:rsidRDefault="00000000" w:rsidRPr="00000000" w14:paraId="00000006">
            <w:pPr>
              <w:spacing w:after="40" w:lineRule="auto"/>
              <w:jc w:val="center"/>
              <w:rPr>
                <w:rFonts w:ascii="Roboto" w:cs="Roboto" w:eastAsia="Roboto" w:hAnsi="Roboto"/>
                <w:b w:val="1"/>
                <w:color w:val="333333"/>
                <w:sz w:val="26"/>
                <w:szCs w:val="26"/>
              </w:rPr>
            </w:pPr>
            <w:r w:rsidDel="00000000" w:rsidR="00000000" w:rsidRPr="00000000">
              <w:rPr>
                <w:rFonts w:ascii="Roboto" w:cs="Roboto" w:eastAsia="Roboto" w:hAnsi="Roboto"/>
                <w:b w:val="1"/>
                <w:color w:val="333333"/>
                <w:sz w:val="26"/>
                <w:szCs w:val="26"/>
                <w:rtl w:val="0"/>
              </w:rPr>
              <w:t xml:space="preserve">2013</w:t>
            </w:r>
          </w:p>
        </w:tc>
      </w:tr>
    </w:tbl>
    <w:p w:rsidR="00000000" w:rsidDel="00000000" w:rsidP="00000000" w:rsidRDefault="00000000" w:rsidRPr="00000000" w14:paraId="00000007">
      <w:pPr>
        <w:rPr/>
      </w:pPr>
      <w:r w:rsidDel="00000000" w:rsidR="00000000" w:rsidRPr="00000000">
        <w:rPr>
          <w:rtl w:val="0"/>
        </w:rPr>
      </w:r>
    </w:p>
    <w:tbl>
      <w:tblPr>
        <w:tblStyle w:val="Table2"/>
        <w:tblW w:w="9400.644351464436"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260"/>
        <w:gridCol w:w="1545"/>
        <w:gridCol w:w="1335"/>
        <w:gridCol w:w="1275"/>
        <w:gridCol w:w="1350"/>
        <w:gridCol w:w="250.64435146443515"/>
        <w:tblGridChange w:id="0">
          <w:tblGrid>
            <w:gridCol w:w="2385"/>
            <w:gridCol w:w="1260"/>
            <w:gridCol w:w="1545"/>
            <w:gridCol w:w="1335"/>
            <w:gridCol w:w="1275"/>
            <w:gridCol w:w="1350"/>
            <w:gridCol w:w="250.64435146443515"/>
          </w:tblGrid>
        </w:tblGridChange>
      </w:tblGrid>
      <w:tr>
        <w:trPr>
          <w:trHeight w:val="440" w:hRule="atLeast"/>
        </w:trPr>
        <w:tc>
          <w:tcPr>
            <w:tcBorders>
              <w:top w:color="000000" w:space="0" w:sz="0" w:val="nil"/>
              <w:left w:color="000000" w:space="0" w:sz="0" w:val="nil"/>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08">
            <w:pPr>
              <w:spacing w:after="340" w:lineRule="auto"/>
              <w:rPr>
                <w:rFonts w:ascii="Roboto" w:cs="Roboto" w:eastAsia="Roboto" w:hAnsi="Roboto"/>
                <w:color w:val="333333"/>
                <w:sz w:val="26"/>
                <w:szCs w:val="26"/>
              </w:rPr>
            </w:pPr>
            <w:r w:rsidDel="00000000" w:rsidR="00000000" w:rsidRPr="00000000">
              <w:rPr>
                <w:rFonts w:ascii="Roboto" w:cs="Roboto" w:eastAsia="Roboto" w:hAnsi="Roboto"/>
                <w:b w:val="1"/>
                <w:color w:val="333333"/>
                <w:sz w:val="26"/>
                <w:szCs w:val="26"/>
                <w:rtl w:val="0"/>
              </w:rPr>
              <w:t xml:space="preserve">Årsresultat</w:t>
            </w:r>
            <w:r w:rsidDel="00000000" w:rsidR="00000000" w:rsidRPr="00000000">
              <w:rPr>
                <w:rtl w:val="0"/>
              </w:rPr>
            </w:r>
          </w:p>
        </w:tc>
        <w:tc>
          <w:tcPr>
            <w:tcBorders>
              <w:top w:color="000000" w:space="0" w:sz="0" w:val="nil"/>
              <w:left w:color="cccccc" w:space="0" w:sz="6" w:val="single"/>
              <w:bottom w:color="cccccc" w:space="0" w:sz="6" w:val="single"/>
              <w:right w:color="000000" w:space="0" w:sz="0" w:val="nil"/>
            </w:tcBorders>
            <w:shd w:fill="f8f8f8" w:val="clear"/>
            <w:tcMar>
              <w:top w:w="40.0" w:type="dxa"/>
              <w:left w:w="80.0" w:type="dxa"/>
              <w:bottom w:w="40.0" w:type="dxa"/>
              <w:right w:w="80.0" w:type="dxa"/>
            </w:tcMar>
            <w:vAlign w:val="center"/>
          </w:tcPr>
          <w:p w:rsidR="00000000" w:rsidDel="00000000" w:rsidP="00000000" w:rsidRDefault="00000000" w:rsidRPr="00000000" w14:paraId="00000009">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32 076</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0A">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40 906</w:t>
            </w:r>
          </w:p>
        </w:tc>
        <w:tc>
          <w:tcPr>
            <w:tcBorders>
              <w:top w:color="000000" w:space="0" w:sz="0" w:val="nil"/>
              <w:left w:color="cccccc" w:space="0" w:sz="6" w:val="single"/>
              <w:bottom w:color="cccccc" w:space="0" w:sz="6" w:val="single"/>
              <w:right w:color="000000" w:space="0" w:sz="0" w:val="nil"/>
            </w:tcBorders>
            <w:shd w:fill="f8f8f8" w:val="clear"/>
            <w:tcMar>
              <w:top w:w="40.0" w:type="dxa"/>
              <w:left w:w="80.0" w:type="dxa"/>
              <w:bottom w:w="40.0" w:type="dxa"/>
              <w:right w:w="80.0" w:type="dxa"/>
            </w:tcMar>
            <w:vAlign w:val="center"/>
          </w:tcPr>
          <w:p w:rsidR="00000000" w:rsidDel="00000000" w:rsidP="00000000" w:rsidRDefault="00000000" w:rsidRPr="00000000" w14:paraId="0000000B">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31 942</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0C">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22 049</w:t>
            </w:r>
          </w:p>
        </w:tc>
        <w:tc>
          <w:tcPr>
            <w:tcBorders>
              <w:top w:color="000000" w:space="0" w:sz="0" w:val="nil"/>
              <w:left w:color="cccccc" w:space="0" w:sz="6" w:val="single"/>
              <w:bottom w:color="cccccc" w:space="0" w:sz="6" w:val="single"/>
              <w:right w:color="000000" w:space="0" w:sz="0" w:val="nil"/>
            </w:tcBorders>
            <w:shd w:fill="f8f8f8" w:val="clear"/>
            <w:tcMar>
              <w:top w:w="40.0" w:type="dxa"/>
              <w:left w:w="80.0" w:type="dxa"/>
              <w:bottom w:w="40.0" w:type="dxa"/>
              <w:right w:w="80.0" w:type="dxa"/>
            </w:tcMar>
            <w:vAlign w:val="center"/>
          </w:tcPr>
          <w:p w:rsidR="00000000" w:rsidDel="00000000" w:rsidP="00000000" w:rsidRDefault="00000000" w:rsidRPr="00000000" w14:paraId="0000000D">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14 836</w:t>
            </w:r>
          </w:p>
        </w:tc>
        <w:tc>
          <w:tcPr>
            <w:tcBorders>
              <w:top w:color="000000" w:space="0" w:sz="0" w:val="nil"/>
              <w:left w:color="cccccc" w:space="0" w:sz="6" w:val="single"/>
              <w:bottom w:color="cccccc" w:space="0" w:sz="6" w:val="single"/>
              <w:right w:color="000000" w:space="0" w:sz="0" w:val="nil"/>
            </w:tcBorders>
            <w:tcMar>
              <w:top w:w="40.0" w:type="dxa"/>
              <w:left w:w="100.0" w:type="dxa"/>
              <w:bottom w:w="20.0" w:type="dxa"/>
              <w:right w:w="100.0" w:type="dxa"/>
            </w:tcMar>
            <w:vAlign w:val="center"/>
          </w:tcPr>
          <w:p w:rsidR="00000000" w:rsidDel="00000000" w:rsidP="00000000" w:rsidRDefault="00000000" w:rsidRPr="00000000" w14:paraId="0000000E">
            <w:pPr>
              <w:spacing w:after="340" w:lineRule="auto"/>
              <w:jc w:val="right"/>
              <w:rPr>
                <w:rFonts w:ascii="Roboto" w:cs="Roboto" w:eastAsia="Roboto" w:hAnsi="Roboto"/>
                <w:color w:val="333333"/>
                <w:sz w:val="26"/>
                <w:szCs w:val="26"/>
              </w:rPr>
            </w:pPr>
            <w:r w:rsidDel="00000000" w:rsidR="00000000" w:rsidRPr="00000000">
              <w:rPr>
                <w:rtl w:val="0"/>
              </w:rPr>
            </w:r>
          </w:p>
        </w:tc>
      </w:tr>
      <w:tr>
        <w:trPr>
          <w:trHeight w:val="440" w:hRule="atLeast"/>
        </w:trPr>
        <w:tc>
          <w:tcPr>
            <w:tcBorders>
              <w:top w:color="000000" w:space="0" w:sz="0" w:val="nil"/>
              <w:left w:color="000000" w:space="0" w:sz="0" w:val="nil"/>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0F">
            <w:pPr>
              <w:spacing w:after="340" w:lineRule="auto"/>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Utbytte</w:t>
            </w:r>
          </w:p>
        </w:tc>
        <w:tc>
          <w:tcPr>
            <w:tcBorders>
              <w:top w:color="000000" w:space="0" w:sz="0" w:val="nil"/>
              <w:left w:color="cccccc" w:space="0" w:sz="6" w:val="single"/>
              <w:bottom w:color="cccccc" w:space="0" w:sz="6" w:val="single"/>
              <w:right w:color="000000" w:space="0" w:sz="0" w:val="nil"/>
            </w:tcBorders>
            <w:shd w:fill="f8f8f8" w:val="clear"/>
            <w:tcMar>
              <w:top w:w="40.0" w:type="dxa"/>
              <w:left w:w="80.0" w:type="dxa"/>
              <w:bottom w:w="40.0" w:type="dxa"/>
              <w:right w:w="80.0" w:type="dxa"/>
            </w:tcMar>
            <w:vAlign w:val="center"/>
          </w:tcPr>
          <w:p w:rsidR="00000000" w:rsidDel="00000000" w:rsidP="00000000" w:rsidRDefault="00000000" w:rsidRPr="00000000" w14:paraId="00000010">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1">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w:t>
            </w:r>
          </w:p>
        </w:tc>
        <w:tc>
          <w:tcPr>
            <w:tcBorders>
              <w:top w:color="000000" w:space="0" w:sz="0" w:val="nil"/>
              <w:left w:color="cccccc" w:space="0" w:sz="6" w:val="single"/>
              <w:bottom w:color="cccccc" w:space="0" w:sz="6" w:val="single"/>
              <w:right w:color="000000" w:space="0" w:sz="0" w:val="nil"/>
            </w:tcBorders>
            <w:shd w:fill="f8f8f8" w:val="clear"/>
            <w:tcMar>
              <w:top w:w="40.0" w:type="dxa"/>
              <w:left w:w="80.0" w:type="dxa"/>
              <w:bottom w:w="40.0" w:type="dxa"/>
              <w:right w:w="80.0" w:type="dxa"/>
            </w:tcMar>
            <w:vAlign w:val="center"/>
          </w:tcPr>
          <w:p w:rsidR="00000000" w:rsidDel="00000000" w:rsidP="00000000" w:rsidRDefault="00000000" w:rsidRPr="00000000" w14:paraId="00000012">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3">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w:t>
            </w:r>
          </w:p>
        </w:tc>
        <w:tc>
          <w:tcPr>
            <w:tcBorders>
              <w:top w:color="000000" w:space="0" w:sz="0" w:val="nil"/>
              <w:left w:color="cccccc" w:space="0" w:sz="6" w:val="single"/>
              <w:bottom w:color="cccccc" w:space="0" w:sz="6" w:val="single"/>
              <w:right w:color="000000" w:space="0" w:sz="0" w:val="nil"/>
            </w:tcBorders>
            <w:shd w:fill="f8f8f8" w:val="clear"/>
            <w:tcMar>
              <w:top w:w="40.0" w:type="dxa"/>
              <w:left w:w="80.0" w:type="dxa"/>
              <w:bottom w:w="40.0" w:type="dxa"/>
              <w:right w:w="80.0" w:type="dxa"/>
            </w:tcMar>
            <w:vAlign w:val="center"/>
          </w:tcPr>
          <w:p w:rsidR="00000000" w:rsidDel="00000000" w:rsidP="00000000" w:rsidRDefault="00000000" w:rsidRPr="00000000" w14:paraId="00000014">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w:t>
            </w:r>
          </w:p>
        </w:tc>
        <w:tc>
          <w:tcPr>
            <w:tcBorders>
              <w:top w:color="000000" w:space="0" w:sz="0" w:val="nil"/>
              <w:left w:color="cccccc" w:space="0" w:sz="6" w:val="single"/>
              <w:bottom w:color="cccccc" w:space="0" w:sz="6" w:val="single"/>
              <w:right w:color="000000" w:space="0" w:sz="0" w:val="nil"/>
            </w:tcBorders>
            <w:tcMar>
              <w:top w:w="40.0" w:type="dxa"/>
              <w:left w:w="100.0" w:type="dxa"/>
              <w:bottom w:w="20.0" w:type="dxa"/>
              <w:right w:w="100.0" w:type="dxa"/>
            </w:tcMar>
            <w:vAlign w:val="center"/>
          </w:tcPr>
          <w:p w:rsidR="00000000" w:rsidDel="00000000" w:rsidP="00000000" w:rsidRDefault="00000000" w:rsidRPr="00000000" w14:paraId="00000015">
            <w:pPr>
              <w:spacing w:after="340" w:lineRule="auto"/>
              <w:jc w:val="right"/>
              <w:rPr>
                <w:rFonts w:ascii="Roboto" w:cs="Roboto" w:eastAsia="Roboto" w:hAnsi="Roboto"/>
                <w:color w:val="333333"/>
                <w:sz w:val="26"/>
                <w:szCs w:val="26"/>
              </w:rPr>
            </w:pPr>
            <w:r w:rsidDel="00000000" w:rsidR="00000000" w:rsidRPr="00000000">
              <w:rPr>
                <w:rtl w:val="0"/>
              </w:rPr>
            </w:r>
          </w:p>
        </w:tc>
      </w:tr>
      <w:tr>
        <w:trPr>
          <w:trHeight w:val="440" w:hRule="atLeast"/>
        </w:trPr>
        <w:tc>
          <w:tcPr>
            <w:tcBorders>
              <w:top w:color="000000" w:space="0" w:sz="0" w:val="nil"/>
              <w:left w:color="000000" w:space="0" w:sz="0" w:val="nil"/>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6">
            <w:pPr>
              <w:spacing w:after="340" w:lineRule="auto"/>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Konsernbidrag</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7">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23 743</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8">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9">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A">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58 405</w:t>
            </w:r>
          </w:p>
        </w:tc>
        <w:tc>
          <w:tcPr>
            <w:tcBorders>
              <w:top w:color="000000" w:space="0" w:sz="0" w:val="nil"/>
              <w:left w:color="cccccc" w:space="0" w:sz="6" w:val="single"/>
              <w:bottom w:color="cccccc"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1B">
            <w:pPr>
              <w:spacing w:after="340" w:lineRule="auto"/>
              <w:jc w:val="right"/>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18 517</w:t>
            </w:r>
          </w:p>
        </w:tc>
        <w:tc>
          <w:tcPr>
            <w:tcBorders>
              <w:top w:color="000000" w:space="0" w:sz="0" w:val="nil"/>
              <w:left w:color="cccccc" w:space="0" w:sz="6" w:val="single"/>
              <w:bottom w:color="cccccc" w:space="0" w:sz="6" w:val="single"/>
              <w:right w:color="000000" w:space="0" w:sz="0" w:val="nil"/>
            </w:tcBorders>
            <w:tcMar>
              <w:top w:w="40.0" w:type="dxa"/>
              <w:left w:w="100.0" w:type="dxa"/>
              <w:bottom w:w="20.0" w:type="dxa"/>
              <w:right w:w="100.0" w:type="dxa"/>
            </w:tcMar>
            <w:vAlign w:val="center"/>
          </w:tcPr>
          <w:p w:rsidR="00000000" w:rsidDel="00000000" w:rsidP="00000000" w:rsidRDefault="00000000" w:rsidRPr="00000000" w14:paraId="0000001C">
            <w:pPr>
              <w:spacing w:after="340" w:lineRule="auto"/>
              <w:jc w:val="right"/>
              <w:rPr>
                <w:rFonts w:ascii="Roboto" w:cs="Roboto" w:eastAsia="Roboto" w:hAnsi="Roboto"/>
                <w:color w:val="333333"/>
                <w:sz w:val="26"/>
                <w:szCs w:val="26"/>
              </w:rPr>
            </w:pPr>
            <w:r w:rsidDel="00000000" w:rsidR="00000000" w:rsidRPr="00000000">
              <w:rPr>
                <w:rtl w:val="0"/>
              </w:rPr>
            </w:r>
          </w:p>
        </w:tc>
      </w:tr>
    </w:tbl>
    <w:p w:rsidR="00000000" w:rsidDel="00000000" w:rsidP="00000000" w:rsidRDefault="00000000" w:rsidRPr="00000000" w14:paraId="0000001D">
      <w:pPr>
        <w:spacing w:after="300" w:lineRule="auto"/>
        <w:rPr>
          <w:rFonts w:ascii="Roboto" w:cs="Roboto" w:eastAsia="Roboto" w:hAnsi="Roboto"/>
          <w:color w:val="333333"/>
          <w:sz w:val="26"/>
          <w:szCs w:val="2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6">
        <w:r w:rsidDel="00000000" w:rsidR="00000000" w:rsidRPr="00000000">
          <w:rPr>
            <w:color w:val="1155cc"/>
            <w:u w:val="single"/>
            <w:rtl w:val="0"/>
          </w:rPr>
          <w:t xml:space="preserve">https://www.proff.no/regnskap/nordisk-film-kino-as/oslo/filmframvisning/IG75TXN0RRO/</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7">
        <w:r w:rsidDel="00000000" w:rsidR="00000000" w:rsidRPr="00000000">
          <w:rPr>
            <w:color w:val="1155cc"/>
            <w:u w:val="single"/>
            <w:rtl w:val="0"/>
          </w:rPr>
          <w:t xml:space="preserve">https://www.virke.no/globalassets/tariff-og-lonn/tariffavtaler-dokumenter-for-tariff-og-lonn/landsoverenskomst-for-kinoer-2018-2020-virke-fagforbundet---ferdig-redigert.pdf</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Hva ble årsresultatet i 2018?</w:t>
      </w:r>
    </w:p>
    <w:p w:rsidR="00000000" w:rsidDel="00000000" w:rsidP="00000000" w:rsidRDefault="00000000" w:rsidRPr="00000000" w14:paraId="0000003A">
      <w:pPr>
        <w:rPr/>
      </w:pPr>
      <w:r w:rsidDel="00000000" w:rsidR="00000000" w:rsidRPr="00000000">
        <w:rPr>
          <w:rtl w:val="0"/>
        </w:rPr>
        <w:t xml:space="preserve">Hvor går pengene fra årsresultatet 2018?</w:t>
      </w:r>
    </w:p>
    <w:p w:rsidR="00000000" w:rsidDel="00000000" w:rsidP="00000000" w:rsidRDefault="00000000" w:rsidRPr="00000000" w14:paraId="0000003B">
      <w:pPr>
        <w:rPr/>
      </w:pPr>
      <w:r w:rsidDel="00000000" w:rsidR="00000000" w:rsidRPr="00000000">
        <w:rPr>
          <w:rtl w:val="0"/>
        </w:rPr>
        <w:t xml:space="preserve">Hva er grunnene til at 2019 er et økonomisk dårlig år?</w:t>
      </w:r>
    </w:p>
    <w:p w:rsidR="00000000" w:rsidDel="00000000" w:rsidP="00000000" w:rsidRDefault="00000000" w:rsidRPr="00000000" w14:paraId="0000003C">
      <w:pPr>
        <w:rPr/>
      </w:pPr>
      <w:r w:rsidDel="00000000" w:rsidR="00000000" w:rsidRPr="00000000">
        <w:rPr>
          <w:rtl w:val="0"/>
        </w:rPr>
        <w:t xml:space="preserve">Hvordan kan 2019 være grunnlaget for lokale forhandlinger når ikke regnskapet er klart?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Hvordan fungerer ansiennitet for Salgs og Team-ledere og Operatører?</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Er det slik at man settes på et bestemt nivå uavhengig av en ansiennitetsstige?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Eller er det slik at man blir satt høyere opp i en ansiennitetsstige? I så fall er det i teorien mulig å gå opp i lønn dersom man ved 3, 6, eller 10 års ansiennitet ville hatt høyere lønn </w:t>
      </w:r>
    </w:p>
    <w:p w:rsidR="00000000" w:rsidDel="00000000" w:rsidP="00000000" w:rsidRDefault="00000000" w:rsidRPr="00000000" w14:paraId="00000041">
      <w:pPr>
        <w:rPr/>
      </w:pPr>
      <w:r w:rsidDel="00000000" w:rsidR="00000000" w:rsidRPr="00000000">
        <w:rPr>
          <w:rtl w:val="0"/>
        </w:rPr>
        <w:t xml:space="preserve">Lønn for Salgs og Team-ledere er for tiden 160,77, hva er standard lønn for operatører?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1 INNLEDENDE BESTEMMELSER </w:t>
        <w:br w:type="textWrapping"/>
        <w:t xml:space="preserve">1.1 Omfangsbestemmelse </w:t>
        <w:br w:type="textWrapping"/>
        <w:t xml:space="preserve">Overenskomsten gjelder for medlemmer i Fagforbundet ansatt i kinoer i et fast og forpliktende arbeidsforhold med en på forhånd fastsatt arbeidstid (evt. gjennomsnittlig arbeidstid) pr. uke. Overenskomstens bestemmelser om lønn og arbeidstid (§§ 4,5,6 og 9) omfatter ikke daglig leder/stedlig leder i kinoer.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9.2 Lønnssystem </w:t>
        <w:br w:type="textWrapping"/>
        <w:t xml:space="preserve">Overenskomsten er en minstelønnsavtale. Lønnssats oppgitt for hel stilling. Lønn fastsettes ved tilsetting gjennom avtale mellom arbeidstaker og arbeidsgiver. Før fastsettelse av lønn skal det foretas en vurdering av arbeidstakers kompetanse, erfaring og ansvar. Det kan inngås avtale om høyere lønn ved den enkelte kino. For ansatte i kino benyttes betegnelsen kinomedarbeider. Minstelønn for kinomedarbeider: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9.4 Årlige lokale forhandlinger </w:t>
        <w:br w:type="textWrapping"/>
        <w:t xml:space="preserve">Landsoverenskomst for kinoer er en minstelønnsavtale der de nedfelte lønnsbestemmelser uttrykker den garanterte minstelønn for de arbeidstakere som omfattes av overenskomsten. Forhandlingene skal være reelle og føres på bakgrunn av den enkeltes bedrifts økonomiske virkelighet, dvs. bedriftens økonomi, produktivitet, fremtidsutsikter og konkurranseevne. Fra forhandlingene skal det settes opp protokoll. Før forhandlingene skal bedriften legge frem det nødvendige underlag. Herunder skal det redegjøres for bedriftens økonomiske stilling. En eventuell regulering skal foretas etter en saklig vurdering av de krav som settes til stillingen og vedkommendes jobbutførelse. Vurderingen skal kunne begrunnes overfor den enkelte. For øvrig kan det vurderes tillegg for ubekvem arbeidstid.</w:t>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ff.no/regnskap/nordisk-film-kino-as/oslo/filmframvisning/IG75TXN0RRO/" TargetMode="External"/><Relationship Id="rId7" Type="http://schemas.openxmlformats.org/officeDocument/2006/relationships/hyperlink" Target="https://www.virke.no/globalassets/tariff-og-lonn/tariffavtaler-dokumenter-for-tariff-og-lonn/landsoverenskomst-for-kinoer-2018-2020-virke-fagforbundet---ferdig-rediger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