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2021-2025) reflejan una tendencia de reconversión estructural del rubro vitivinícola en Uruguay, que el último registro disponible confirma que continúa vigente:</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2021-2025</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567"/>
        <w:gridCol w:w="867"/>
        <w:gridCol w:w="867"/>
        <w:gridCol w:w="867"/>
        <w:gridCol w:w="867"/>
        <w:gridCol w:w="2468"/>
      </w:tblGrid>
      <w:tr>
        <w:trPr>
          <w:cantSplit/>
        </w:trPr>
        <w:tc>
          <w:tcPr>
            <w:tcW w:type="dxa" w:w="25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2025</w:t>
            </w:r>
          </w:p>
        </w:tc>
        <w:tc>
          <w:tcPr>
            <w:tcW w:type="dxa" w:w="2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 (2021-2024)</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1.048</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5.797,80</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676</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 2025). La columna Tendencia refleja la variación 2021-2024, único período con dato de Productores activos disponible en las cuatro fuentes; s/d: dato no desagregado en el reporte 2025 consultado.</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según los informes de Turismo Receptivo del Observatorio de Turismo Inteligente del MINTUR, el turista brasileño que visita Uruguay presenta sistemáticamente el mayor gasto diario per cápita de los tres mercados regionales de referencia:</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diario y estadía promedio de los visitantes de Brasil, Argentina y Chile en Uruguay, por trimestre</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5"/>
        <w:gridCol w:w="1874"/>
        <w:gridCol w:w="1802"/>
        <w:gridCol w:w="1874"/>
      </w:tblGrid>
      <w:tr>
        <w:trPr>
          <w:cantSplit/>
        </w:trPr>
        <w:tc>
          <w:tcPr>
            <w:tcW w:type="dxa" w:w="29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 Turismo Receptivo)</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180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122,6 / 5,1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96,0 / 4,6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112,4 / 4,9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112,1 / 7,3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88,2 / 7,6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122,1 / 7,6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4.º trim. 2025</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137,7 / 4,9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99,1 / 5,4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103,7 / 7,1 días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(2026a, 2026b, 2026c). Gasto diario por persona (P/P DÍA) en USD corrientes; corresponde a turismo receptivo (visitantes ingresados a Uruguay), no a turismo emisivo.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33"/>
        <w:gridCol w:w="2293"/>
        <w:gridCol w:w="2198"/>
        <w:gridCol w:w="2580"/>
      </w:tblGrid>
      <w:tr>
        <w:trPr>
          <w:cantSplit/>
        </w:trPr>
        <w:tc>
          <w:tcPr>
            <w:tcW w:type="dxa" w:w="143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9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19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5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15,1% (mínimo histórico)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Jul.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43,7% (vino: 91,0%)</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2026a, 2026b) y de la prensa citada en las Referencias Bibliográficas. s/d: dato no disponible en la fuente consultada para ese rubro y período.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Lejos de tratarse de una mejora sostenida, la brecha resultó altamente volátil a lo largo de 2026: tras tocar en marzo su mínimo histórico desde que se calcula el indicador (Observatorio Económico, Universidad Católica del Uruguay Campus Salto, 2026a), volvió a ampliarse hasta 25,0% en julio (Observatorio Económico, Universidad Católica del Uruguay Campus Salto, 2026b), confirmando que la competitividad de precios de Salto frente a Concordia depende de variables cambiarias fuera del control del proyecto y debe monitorearse de forma continua antes que darse por superada. 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(2025). Reporte anual, Registro de Viñedos Uruguay 2025. https://www.inavi.com.uy/uploads/vinedo/744a55025d144bfb1b83e7f6e8c1966f451672c9.pdf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(2026a). Turismo receptivo: Cuarto trimestre 2025. Observatorio de Turismo Inteligente. https://www.gub.uy/ministerio-turismo/sites/ministerio-turismo/files/2026-04/Turismo_Receptivo_Cuarto_Trimestre_2025.pdf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(2026b). Turismo receptivo: Primer trimestre 2026. Observatorio de Turismo Inteligente. https://www.gub.uy/ministerio-turismo/sites/ministerio-turismo/files/2026-05/ReceptivoQ1_2026%20-%20R_1T26.pdf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(2026c). Turismo receptivo: Segundo trimestre 2026. Observatorio de Turismo Inteligente. https://www.gub.uy/ministerio-turismo/sites/ministerio-turismo/files/2026-08/R-2T2026.pdf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(2026a). Indicador de Precios Fronterizos, marzo 2026. https://www.ucu.edu.uy/Institucionales/INFORMES-uc1313/7434/Informe-IPF-MAR26.pdf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(2026b). Indicador de Precios Fronterizos, julio 2026. https://www.ucu.edu.uy/Institucionales/INFORMES-uc1313/8017/Informe-IPF-JUL26.pdf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2026-09-04T19:08:32.186Z</dcterms:created>
  <dcterms:modified xsi:type="dcterms:W3CDTF">2026-09-04T19:08:32.187Z</dcterms:modified>
</cp:coreProperties>
</file>

<file path=docProps/custom.xml><?xml version="1.0" encoding="utf-8"?>
<Properties xmlns="http://schemas.openxmlformats.org/officeDocument/2006/custom-properties" xmlns:vt="http://schemas.openxmlformats.org/officeDocument/2006/docPropsVTypes"/>
</file>