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el “Estudio del perfil del turista de la Región de Salto Grande” (Observatorio Económico, Universidad Católica del Uruguay Campus Salto, 2025), el Litoral Termal presenta una brecha frente a otras regiones del país: recibe un volumen de visitantes elevado —453.936 personas anuales— pero su gasto acumulado se limita a USD 86 millones, lo que arroja un gasto promedio por persona de solo USD 189. En contraste, Colonia del Sacramento recibe un flujo similar (469.297 visitantes) pero genera USD 113 millones, con un gasto promedio de USD 241, mientras que Maldonado capta un gasto promedio de USD 569. Esto indica que el modelo termal salteño atrae un perfil de demanda de bajo gasto y baja diversificación recreativa.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 Esta centralidad fue refrendada a nivel nacional en 2024, cuando el INAVI, junto con la Comisión de Patrimonio Cultural de la Nación, conmemoró oficialmente los 150 años de la vitivinicultura uruguaya tomando como hito fundacional precisamente el cultivo exitoso del Tannat por Harriague en 1874 (Tierra de Valores, 2024), lo que sitúa a Salto —y no a las actuales zonas vitivinícolas del sur del país— como el punto de origen reconocido oficialmente por el organismo rector del sector.</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dimensión experiencial se suma el concepto de patrimonio histórico, entendido no como un vestigio inerte del pasado sino como una construcción social: según Prats (1997), el patrimonio se activa a partir de una memoria intersubjetiva —compartida por una comunidad— que selecciona y resignifica determinados referentes del pasado en función de las necesidades e intereses del presente. Bajo esta lógica, la figura de Pascual Harriague y el origen del Tannat en Salto no son un dato histórico neutro, sino un relato que la comunidad local activa deliberadamente para construir identidad y, en este caso, valor turístico. La experiencia transformadora que persigue el circuito se apoya, entonces, tanto en la inmersión sensorial descrita por Ahlfert y Urry como en esta dimensión patrimonial: el visitante no solo prueba un vino, sino que participa de la memoria colectiva que le da sentido.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elección metodológica se fundamenta en Hernández Sampieri et al. (2014), quienes señalan que el enfoque mixto permite compensar las limitaciones de cada método por separado: la dimensión cuantitativa aporta la evidencia estadística necesaria para dimensionar el mercado y proyectar la viabilidad financiera de la propuesta (capítulos 4 y 6), mientras que la dimensión cualitativa —entrevistas, indagación en territorio— permite captar el significado que los propios actores locales (bodegas, Centro Vasco, operadores hoteleros) atribuyen al patrimonio vitivinícola de Salto, un insumo indispensable para diseñar un guion interpretativo fidedigno. El alcance descriptivo-explicativo se justifica, a su vez, porque el proyecto no se limita a describir la situación actual del destino, sino que busca explicar las causas de su bajo desempeño enoturístico —la desconexión estructural entre el producto termal y el patrimonio vitivinícola— para, a partir de ese diagnóstico, formular una propuesta de intervención. El componente de investigación-acción, por último, responde a la necesidad de involucrar a los actores del territorio como corresponsables del diseño de la ruta y no como meros informantes, favoreciendo su apropiación futura del proyecto.</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2021-2024) reflejan una tendencia de reconversión estructural del rubro vitivinícola en Uruguay:</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2021-2024</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510"/>
        <w:gridCol w:w="1080"/>
        <w:gridCol w:w="1080"/>
        <w:gridCol w:w="1080"/>
        <w:gridCol w:w="1755"/>
      </w:tblGrid>
      <w:tr>
        <w:trPr>
          <w:cantSplit/>
        </w:trPr>
        <w:tc>
          <w:tcPr>
            <w:tcW w:type="dxa" w:w="35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17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fragmentación de la gobernanza turística departamental: la antigua Mesa Estratégica de Turismo de Salto (METS), que en 2022 reunía en una sola instancia a la Intendencia de Salto, el Centro Comercial e Industrial de Salto (CCIS), la Liga de Turismo de Arapey y el sector hotelero (Intendencia de Salto, s.f.-b), dejó de funcionar como mesa unificada. La articulación actual se sostiene en diálogos bilaterales entre la Comisión de Turismo del CCIS y la Comisión de Turismo de la Junta Departamental de Salto (Diario Cambio, s.f.-d), sin una instancia permanente que integre también a los operadores hoteleros y a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tal como reflejan los datos trimestrales del Observatorio de Turismo Inteligente del MINTUR:</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Gasto y estadía promedio de turistas extranjeros por trimestre, según mercado de origen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816"/>
        <w:gridCol w:w="2229"/>
        <w:gridCol w:w="2229"/>
        <w:gridCol w:w="2229"/>
      </w:tblGrid>
      <w:tr>
        <w:trPr>
          <w:cantSplit/>
        </w:trPr>
        <w:tc>
          <w:tcPr>
            <w:tcW w:type="dxa" w:w="18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3er trim. 2025</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81,5 / 7,3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79,7 / 4,6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87,9 / 7,2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1er trim. 2025</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61,1 / 8,7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73,5 / 5,5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94,5 / 6,6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4to trim. 2024</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74,9 / 7,2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77,5 / 4,7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78,4 / 7,3 noches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(2025a, 2025b, 2025c).</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cubre hasta el 70% del plan de acción, con un tope de $U900.000 no reembolsables (Agencia Nacional de Desarrollo [ANDE] &amp; Ministerio de Turismo, 2026); su convocatoria vigente al momento de este diagnóstico está orientada al turismo náutico, por lo que el circuito debería postularse a una futura edición temática afín al patrimonio y al enoturismo, o bien acceder al fondo por la vía general de destinos emergentes cuando esta se reabra. En paralelo, el Fondo Concursable para el Desarrollo de la Oferta Enoturística del Uruguay (MINTUR, con INAVI en su comité evaluador) cofinanció en su edición 2024 proyectos por hasta $U1.000.000 (Ministerio de Turismo de Uruguay, 2024), monto más ajustado a la inversión inicial estimada para este proyecto que el techo de convocatorias anteriores.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50"/>
        <w:gridCol w:w="2223"/>
        <w:gridCol w:w="2223"/>
        <w:gridCol w:w="2609"/>
      </w:tblGrid>
      <w:tr>
        <w:trPr>
          <w:cantSplit/>
        </w:trPr>
        <w:tc>
          <w:tcPr>
            <w:tcW w:type="dxa" w:w="145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6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y de la prensa citada en las Referencias Bibliográficas.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Comisión de Turismo del Centro Comercial e Industrial de Salto (CCIS), la Comisión de Turismo de la Junta Departamental de Salto, la Asociación de Vitivinicultores de Salto, guías locales y representantes hoteleros —supliendo así, para este circuito específico, la mesa unificada que dejó de operar tras el cierre de la METS—.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el sitio es conocido oficialmente como Espacio Cultural Bodega Harriague — El Punto Cero del Tannat, denominación que remite al lugar exacto donde Harriague inició en 1874 el cultivo de la cepa (Euskalkultura.eus, s.f.). Su Comisión de Gestión está integrada por el Municipio de Salto, la Asociación de Vitivinicultores de Salto y el Euskal Etxea (Centro Vasco de Salto), lo que convierte a esta estación en el punto de partida institucional, además de histórico, del circuito. La visita es de carácter arqueológico e histórico y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con capacidad de producción de 200.000 litros anuales;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479"/>
        <w:gridCol w:w="5034"/>
        <w:gridCol w:w="991"/>
      </w:tblGrid>
      <w:tr>
        <w:trPr>
          <w:cantSplit/>
        </w:trPr>
        <w:tc>
          <w:tcPr>
            <w:tcW w:type="dxa" w:w="24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03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99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Comisión de Turismo del CCIS y de la Junta Departamental — enlace</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En tercer lugar, la presencia en ferias internacionales, con stand propio en el espacio INAVI “Uruguay Wine” de la Expo Turismo de Uruguay, en Festuris (Gramado, Brasil) y en la London Wine Fair. Y en cuarto lugar, la vinculación con el Salón del Vino Fino de Salto, evento anual ya consolidado —organizado por el Rotary Club Salto Noreste, con unas veinte bodegas participantes y una convocatoria regional de entre 500 y 700 personas provenientes de Uruguay, Argentina y Brasil (Radio Libertadores, s.f.)—, en el que el Comité de Gestión promocionará directamente los paquetes de la ruta ante un público ya sensibilizado hacia el enoturismo.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2"/>
        <w:gridCol w:w="843"/>
        <w:gridCol w:w="5206"/>
        <w:gridCol w:w="1613"/>
      </w:tblGrid>
      <w:tr>
        <w:trPr>
          <w:cantSplit/>
        </w:trPr>
        <w:tc>
          <w:tcPr>
            <w:tcW w:type="dxa" w:w="8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2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61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Comisión de Turismo CCIS</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de Oferta Enoturística MINTUR</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Comercial e Industrial de Salto [CCIS]. (s.f.). Comisión Turismo. https://www.ccisalto.com.uy/comision-turismo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(s.f.-d). Diálogo estratégico abordó la situación del turismo y normativas para el sector. https://www.diariocambio.com.uy/dialogo-estrategico-abordo-la-situacion-del-turismo-y-normativas-para-el-sector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Hernández Sampieri, R., Fernández Collado, C., &amp; Baptista Lucio, P. (2014). Metodología de la investigación (6.ª ed.). McGraw-Hill.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(2024). Se anunciaron beneficiarios de Fondos Concursables para el Desarrollo de la Oferta Enoturística. https://www.gub.uy/ministerio-turismo/comunicacion/noticias/se-anunciaron-beneficiarios-fondos-concursables-para-desarrollo-oferta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(2025a). Turismo emisivo: Cuarto trimestre 2024. Observatorio de Turismo Inteligente. https://www.gub.uy/ministerio-turismo/sites/ministerio-turismo/files/2025-01/E4T2024.pdf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(2025b). Turismo emisivo: Primer trimestre 2025. Observatorio de Turismo Inteligente. https://www.gub.uy/ministerio-turismo/sites/ministerio-turismo/files/2025-06/E-1T2025.pdf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(2025c). Turismo emisivo: Tercer trimestre 2025. Observatorio de Turismo Inteligente. https://www.gub.uy/ministerio-turismo/sites/ministerio-turismo/files/2025-10/E3T25.pdf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Prats, L. (1997). Antropología y patrimonio. Ariel.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Libertadores. (s.f.). El Rotary Club Salto Noreste realiza una nueva edición del Salón del Vino Fino en La Calandria. https://radiolibertadores.com/el-rotary-club-salto-noreste-realiza-una-nueva-edicion-del-salon-del-vino-fino/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Tierra de Valores [INAVI &amp; Comisión de Patrimonio Cultural de la Nación]. (2024). 150 años de vitivinicultura en Uruguay. https://tierradevalores.com.uy/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62"/>
        <w:gridCol w:w="3399"/>
        <w:gridCol w:w="4242"/>
      </w:tblGrid>
      <w:tr>
        <w:trPr>
          <w:cantSplit/>
        </w:trPr>
        <w:tc>
          <w:tcPr>
            <w:tcW w:type="dxa" w:w="86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339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42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de Oferta Enoturística (MINTUR) y monitorear una futura convocatoria afín del Fondo MINTUR-ANDE; campaña dirigida a Rio Grande do Sul</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2ef38f78c3a3cc8d5dfa593787353ea0b26d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f08dbb1e9a24aace6cf0c5b1548797d31f6ee7d.png"/><Relationship Id="rId1" Type="http://schemas.openxmlformats.org/officeDocument/2006/relationships/image" Target="media/ab8c84ada8e10c322b6ba577a5636542bab300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2026-09-04T18:45:30.322Z</dcterms:created>
  <dcterms:modified xsi:type="dcterms:W3CDTF">2026-09-04T18:45:30.324Z</dcterms:modified>
</cp:coreProperties>
</file>

<file path=docProps/custom.xml><?xml version="1.0" encoding="utf-8"?>
<Properties xmlns="http://schemas.openxmlformats.org/officeDocument/2006/custom-properties" xmlns:vt="http://schemas.openxmlformats.org/officeDocument/2006/docPropsVTypes"/>
</file>