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40" w:lineRule="auto"/>
        <w:jc w:val="center"/>
      </w:pPr>
      <w:r>
        <w:rPr>
          <w:rFonts w:ascii="Times New Roman" w:cs="Times New Roman" w:eastAsia="Times New Roman" w:hAnsi="Times New Roman"/>
          <w:b/>
          <w:bCs/>
          <w:color w:val="000000"/>
          <w:sz w:val="24"/>
          <w:szCs w:val="24"/>
        </w:rPr>
        <w:t xml:space="preserve">PROGRAMA DE EDUCACIÓN TERCIARIA</w:t>
      </w:r>
    </w:p>
    <w:p>
      <w:pPr>
        <w:spacing w:after="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Dirección General de Educación Técnico Profesional (UTU)</w:t>
      </w:r>
    </w:p>
    <w:p>
      <w:pPr>
        <w:spacing w:after="4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Polo Educativo Tecnológico, Salto (PET)</w:t>
      </w:r>
    </w:p>
    <w:p>
      <w:pPr>
        <w:spacing w:after="4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Departamento: Salto</w:t>
      </w:r>
    </w:p>
    <w:p>
      <w:pPr>
        <w:spacing w:after="480" w:line="240" w:lineRule="auto"/>
        <w:jc w:val="center"/>
      </w:pPr>
      <w:r>
        <w:rPr>
          <w:rFonts w:ascii="Times New Roman" w:cs="Times New Roman" w:eastAsia="Times New Roman" w:hAnsi="Times New Roman"/>
          <w:b/>
          <w:bCs/>
          <w:i w:val="false"/>
          <w:iCs w:val="false"/>
          <w:color w:val="000000"/>
          <w:sz w:val="24"/>
          <w:szCs w:val="24"/>
        </w:rPr>
        <w:t xml:space="preserve">Tecnólogo en Diseño de Itinerarios Turísticos Sostenibles Culturales 2026</w:t>
      </w:r>
    </w:p>
    <w:p>
      <w:pPr>
        <w:spacing w:after="16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Proyecto de egreso:</w:t>
      </w:r>
    </w:p>
    <w:p>
      <w:pPr>
        <w:spacing w:after="160" w:line="240" w:lineRule="auto"/>
        <w:jc w:val="center"/>
      </w:pPr>
      <w:r>
        <w:rPr>
          <w:rFonts w:ascii="Times New Roman" w:cs="Times New Roman" w:eastAsia="Times New Roman" w:hAnsi="Times New Roman"/>
          <w:b/>
          <w:bCs/>
          <w:i w:val="false"/>
          <w:iCs w:val="false"/>
          <w:color w:val="000000"/>
          <w:sz w:val="28"/>
          <w:szCs w:val="28"/>
        </w:rPr>
        <w:t xml:space="preserve">«La Ruta del Tannat: Cepa, origen e identidad»</w:t>
      </w:r>
    </w:p>
    <w:p>
      <w:pPr>
        <w:spacing w:after="480" w:line="240" w:lineRule="auto"/>
        <w:jc w:val="center"/>
      </w:pPr>
      <w:r>
        <w:rPr>
          <w:rFonts w:ascii="Times New Roman" w:cs="Times New Roman" w:eastAsia="Times New Roman" w:hAnsi="Times New Roman"/>
          <w:b/>
          <w:bCs/>
          <w:i/>
          <w:iCs/>
          <w:color w:val="000000"/>
          <w:sz w:val="24"/>
          <w:szCs w:val="24"/>
        </w:rPr>
        <w:t xml:space="preserve">Enoturismo para la diversificación y desestacionalización del destino Salto</w:t>
      </w:r>
    </w:p>
    <w:p>
      <w:pPr>
        <w:spacing w:after="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Homero Texeira — C.I. 5.139.700-2</w:t>
      </w:r>
    </w:p>
    <w:p>
      <w:pPr>
        <w:spacing w:after="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Anthony Moreira — C.I. 5.610.889-0</w:t>
      </w:r>
    </w:p>
    <w:p>
      <w:pPr>
        <w:spacing w:after="4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Federico Camara — C.I. 5.304.843-3</w:t>
      </w:r>
    </w:p>
    <w:p>
      <w:pPr>
        <w:spacing w:after="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Equipo Docente orientador: [COMPLETAR]</w:t>
      </w:r>
    </w:p>
    <w:p>
      <w:pPr>
        <w:spacing w:after="80" w:before="0" w:line="240" w:lineRule="auto"/>
        <w:jc w:val="center"/>
      </w:pPr>
      <w:r>
        <w:rPr>
          <w:rFonts w:ascii="Times New Roman" w:cs="Times New Roman" w:eastAsia="Times New Roman" w:hAnsi="Times New Roman"/>
          <w:b w:val="false"/>
          <w:bCs w:val="false"/>
          <w:i w:val="false"/>
          <w:iCs w:val="false"/>
          <w:color w:val="000000"/>
          <w:sz w:val="24"/>
          <w:szCs w:val="24"/>
        </w:rPr>
        <w:t xml:space="preserve">Fecha de entrega: [COMPLETAR]</w:t>
      </w:r>
    </w:p>
    <w:p>
      <w:pPr>
        <w:pageBreakBefore/>
      </w:pPr>
    </w:p>
    <w:p>
      <w:pPr>
        <w:pStyle w:val="Heading1"/>
        <w:keepNext/>
        <w:spacing w:after="240" w:before="0" w:line="240" w:lineRule="auto"/>
        <w:jc w:val="center"/>
      </w:pPr>
      <w:r>
        <w:rPr>
          <w:rFonts w:ascii="Times New Roman" w:cs="Times New Roman" w:eastAsia="Times New Roman" w:hAnsi="Times New Roman"/>
          <w:b/>
          <w:bCs/>
          <w:i w:val="false"/>
          <w:iCs w:val="false"/>
          <w:color w:val="000000"/>
          <w:sz w:val="24"/>
          <w:szCs w:val="24"/>
        </w:rPr>
        <w:t xml:space="preserve">Índice</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Resumen Ejecutivo (Español / English / Português)</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Introducción</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Capítulo 1. Planteamiento de la Idea</w:t>
      </w:r>
    </w:p>
    <w:p>
      <w:pPr>
        <w:spacing w:after="40" w:line="240" w:lineRule="auto"/>
        <w:ind w:left="360"/>
      </w:pPr>
      <w:r>
        <w:rPr>
          <w:rFonts w:ascii="Times New Roman" w:cs="Times New Roman" w:eastAsia="Times New Roman" w:hAnsi="Times New Roman"/>
          <w:b w:val="false"/>
          <w:bCs w:val="false"/>
          <w:i w:val="false"/>
          <w:iCs w:val="false"/>
          <w:color w:val="000000"/>
          <w:sz w:val="24"/>
          <w:szCs w:val="24"/>
        </w:rPr>
        <w:t xml:space="preserve">1.1 Justificación del Proyecto · 1.2 Contextualización y Antecedentes · 1.3 Objetivos (1.3.1 General, 1.3.2 Específicos)</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Capítulo 2. Fundamentación Teórica</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Capítulo 3. Metodología de Trabajo</w:t>
      </w:r>
    </w:p>
    <w:p>
      <w:pPr>
        <w:spacing w:after="40" w:line="240" w:lineRule="auto"/>
        <w:ind w:left="360"/>
      </w:pPr>
      <w:r>
        <w:rPr>
          <w:rFonts w:ascii="Times New Roman" w:cs="Times New Roman" w:eastAsia="Times New Roman" w:hAnsi="Times New Roman"/>
          <w:b w:val="false"/>
          <w:bCs w:val="false"/>
          <w:i w:val="false"/>
          <w:iCs w:val="false"/>
          <w:color w:val="000000"/>
          <w:sz w:val="24"/>
          <w:szCs w:val="24"/>
        </w:rPr>
        <w:t xml:space="preserve">3.1 Enfoque Metodológico (3.1.1 Técnicas e instrumentos) · 3.2 Etapas del proceso de investigación</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Capítulo 4. Diagnóstico de Situación</w:t>
      </w:r>
    </w:p>
    <w:p>
      <w:pPr>
        <w:spacing w:after="40" w:line="240" w:lineRule="auto"/>
        <w:ind w:left="360"/>
      </w:pPr>
      <w:r>
        <w:rPr>
          <w:rFonts w:ascii="Times New Roman" w:cs="Times New Roman" w:eastAsia="Times New Roman" w:hAnsi="Times New Roman"/>
          <w:b w:val="false"/>
          <w:bCs w:val="false"/>
          <w:i w:val="false"/>
          <w:iCs w:val="false"/>
          <w:color w:val="000000"/>
          <w:sz w:val="24"/>
          <w:szCs w:val="24"/>
        </w:rPr>
        <w:t xml:space="preserve">4.1 Análisis Territorial y Turístico · 4.2 Análisis del Entorno · 4.3 Competencia · 4.4 Investigación de Mercados · 4.5 Análisis de Mercado · 4.6 Análisis FODA</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Capítulo 5. Propuesta de Valor</w:t>
      </w:r>
    </w:p>
    <w:p>
      <w:pPr>
        <w:spacing w:after="40" w:line="240" w:lineRule="auto"/>
        <w:ind w:left="360"/>
      </w:pPr>
      <w:r>
        <w:rPr>
          <w:rFonts w:ascii="Times New Roman" w:cs="Times New Roman" w:eastAsia="Times New Roman" w:hAnsi="Times New Roman"/>
          <w:b w:val="false"/>
          <w:bCs w:val="false"/>
          <w:i w:val="false"/>
          <w:iCs w:val="false"/>
          <w:color w:val="000000"/>
          <w:sz w:val="24"/>
          <w:szCs w:val="24"/>
        </w:rPr>
        <w:t xml:space="preserve">5.1 Propuesta de Valor y Estaciones del Itinerario · 5.2 Público Objetivo · 5.3 Misión y Visión · 5.4 Estructura Organizativa · 5.5 Marco Legal</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Capítulo 6. Plan de Acción</w:t>
      </w:r>
    </w:p>
    <w:p>
      <w:pPr>
        <w:spacing w:after="40" w:line="240" w:lineRule="auto"/>
        <w:ind w:left="360"/>
      </w:pPr>
      <w:r>
        <w:rPr>
          <w:rFonts w:ascii="Times New Roman" w:cs="Times New Roman" w:eastAsia="Times New Roman" w:hAnsi="Times New Roman"/>
          <w:b w:val="false"/>
          <w:bCs w:val="false"/>
          <w:i w:val="false"/>
          <w:iCs w:val="false"/>
          <w:color w:val="000000"/>
          <w:sz w:val="24"/>
          <w:szCs w:val="24"/>
        </w:rPr>
        <w:t xml:space="preserve">6.1 Estrategia de Marketing · 6.2 Estrategia de Sostenibilidad · 6.3 Estrategia de Calidad · 6.4 Estrategia de Operaciones · 6.5 Planificación Financiera · 6.6 Calendario de Implantación</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Capítulo 7. Reflexiones Finales</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Referencias Bibliográficas</w:t>
      </w:r>
    </w:p>
    <w:p>
      <w:pPr>
        <w:spacing w:after="60" w:before="160" w:line="240" w:lineRule="auto"/>
      </w:pPr>
      <w:r>
        <w:rPr>
          <w:rFonts w:ascii="Times New Roman" w:cs="Times New Roman" w:eastAsia="Times New Roman" w:hAnsi="Times New Roman"/>
          <w:b/>
          <w:bCs/>
          <w:i w:val="false"/>
          <w:iCs w:val="false"/>
          <w:color w:val="000000"/>
          <w:sz w:val="24"/>
          <w:szCs w:val="24"/>
        </w:rPr>
        <w:t xml:space="preserve">Anexos (uno por capítulo)</w:t>
      </w:r>
    </w:p>
    <w:p>
      <w:pPr>
        <w:pageBreakBefore/>
      </w:pPr>
    </w:p>
    <w:p>
      <w:pPr>
        <w:pStyle w:val="Heading1"/>
        <w:keepNext/>
        <w:spacing w:after="240" w:before="0" w:line="240" w:lineRule="auto"/>
        <w:jc w:val="center"/>
      </w:pPr>
      <w:r>
        <w:rPr>
          <w:rFonts w:ascii="Times New Roman" w:cs="Times New Roman" w:eastAsia="Times New Roman" w:hAnsi="Times New Roman"/>
          <w:b/>
          <w:bCs/>
          <w:i w:val="false"/>
          <w:iCs w:val="false"/>
          <w:color w:val="000000"/>
          <w:sz w:val="24"/>
          <w:szCs w:val="24"/>
        </w:rPr>
        <w:t xml:space="preserve">Resumen Ejecutivo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Ruta del Tannat: Cepa, origen e identidad” propone un circuito enoturístico en el departamento de Salto que articula el patrimonio histórico del Espacio Cultural Bodega Harriague —cuna del vino uruguayo— con las bodegas activas Salto Chico, Bertolini &amp; Broglio y Mori Maglio, y con la infraestructura consolidada de la Ruta Termal. El proyecto responde a una debilidad estructural del destino: el Litoral Termal recibe 453.936 visitantes anuales pero con un gasto promedio de solo USD 189 por persona, muy por debajo de Colonia (USD 241) y Maldonado (USD 569), mientras Salto capta apenas el 5% del enoturismo nacional.</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propuesta ofrece dos paquetes turísticos —media jornada y jornada completa— dirigidos al turista termal en busca de actividades complementarias y al enoturista especializado, con foco en los mercados uruguayo, argentino y, especialmente, brasileño. Su ejecución se apoya en un modelo de gobernanza asociativa (Comité de Gestión), financiamiento mixto (fondos MINTUR-INAVI-ANDE, aporte privado de las bodegas y apoyo municipal) y una inversión inicial de USD 45.000.</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Los indicadores financieros proyectados —punto de equilibrio en 1.600 turistas anuales, VAN de USD 192.418 y TIR del 84% a cinco años— confirman la viabilidad económica. A nivel social, el circuito diversifica ingresos para productores y proveedores locales de Colonia Osimani y Parada Daymán, y revaloriza la identidad vasca e inmigrante ligada a Pascual Harriague. A nivel ambiental, promueve la certificación de viñedos bajo el sello Uruguay Sustainable Winegrowing (INAVI). Estratégicamente, el proyecto busca desestacionalizar la demanda, ampliar la estadía promedio y posicionar a Salto como referente nacional del enoturismo patrimonial hacia 2030.</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Executive Summary</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“The Tannat Route: Vine, Origin and Identity” proposes a wine-tourism circuit in the Salto department (Uruguay) linking the historic Harriague Winery Cultural Space —the birthplace of Uruguayan wine— with the active wineries Salto Chico, Bertolini &amp; Broglio and Mori Maglio, and with the region's well-established thermal-spa infrastructure. The project addresses a structural weakness of the destination: the Thermal Littoral receives 453,936 visitors a year but only USD 189 in average spend per person, well below Colonia (USD 241) and Maldonado (USD 569), while Salto captures just 5% of national wine tourism.</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The offer includes two packages —a half-day and a full-day tour— targeted at thermal-spa tourists seeking complementary activities and at specialized wine tourists, with emphasis on the Uruguayan, Argentine and, above all, Brazilian markets. Implementation relies on an associative governance model (a Management Committee), blended financing (MINTUR-INAVI-ANDE public funds, private investment from the wineries and municipal support) and an initial investment of USD 45,000.</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Projected financial indicators —a break-even point of 1,600 tourists per year, a net present value of USD 192,418 and an 84% internal rate of return over five years— confirm the project's economic viability. Socially, the circuit diversifies income for local producers and suppliers in Colonia Osimani and Parada Daymán, and revalues the Basque immigrant identity tied to Pascual Harriague. Environmentally, it promotes vineyard certification under INAVI's Uruguay Sustainable Winegrowing seal. Strategically, the project aims to reduce seasonality, extend average length of stay, and position Salto as a national benchmark in heritage-based wine tourism by 2030.</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Resumo Executivo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Rota do Tannat: Cepa, origem e identidade” propõe um roteiro enoturístico no departamento de Salto (Uruguai) que articula o patrimônio histórico do Espaço Cultural Bodega Harriague —berço do vinho uruguaio— com as vinícolas ativas Salto Chico, Bertolini &amp; Broglio e Mori Maglio, e com a consolidada infraestrutura termal da região. O projeto responde a uma fragilidade estrutural do destino: o Litoral Termal recebe 453.936 visitantes por ano, mas com gasto médio de apenas USD 189 por pessoa, bem abaixo de Colônia (USD 241) e Maldonado (USD 569), enquanto Salto capta apenas 5% do enoturismo nacional.</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proposta oferece dois pacotes turísticos —meio período e dia inteiro— voltados ao turista termal em busca de atividades complementares e ao enoturista especializado, com foco nos mercados uruguaio, argentino e, principalmente, brasileiro. Sua execução se apoia em um modelo de governança associativa (Comitê de Gestão), financiamento misto (fundos MINTUR-INAVI-ANDE, aporte privado das vinícolas e apoio municipal) e um investimento inicial de USD 45.000.</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Os indicadores financeiros projetados —ponto de equilíbrio em 1.600 turistas anuais, VPL de USD 192.418 e TIR de 84% em cinco anos— confirmam a viabilidade econômica. No âmbito social, o circuito diversifica a renda de produtores e fornecedores locais de Colonia Osimani e Parada Daymán, e revaloriza a identidade basca e imigrante ligada a Pascual Harriague. No âmbito ambiental, promove a certificação de vinhedos sob o selo Uruguay Sustainable Winegrowing (INAVI). Estrategicamente, o projeto busca dessazonalizar a demanda, ampliar a permanência média e posicionar Salto como referência nacional do enoturismo patrimonial até 2030.</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Introducción</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departamento de Salto constituye un territorio de particular relevancia para el diseño de proyectos turísticos con base territorial, debido a que coexisten dos activos estratégicos que, aunque históricamente se han desarrollado en planos diferenciados, poseen una alta capacidad de complementarse. Por un lado, el turismo termal se encuentra plenamente consolidado como el producto tope de gama de la región, dotado de una infraestructura madura y flujos de demanda constantes. Por otro lado, la vitivinicultura salteña exhibe un fuerte arraigo histórico, una densidad patrimonial única y un notable potencial de diferenciación internacional. La desconexión estructural entre ambos sectores ha limitado la optimización del valor del territorio, perpetuando una especialización que restringe el desarrollo endógeno de las zonas rurales y patrimoniales del departamento.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propuesta de este proyecto parte de la necesidad de superar la lógica exclusiva del turismo termal y avanzar hacia una diversificación estratégica de la oferta, capaz de distribuir los flujos de visitantes, ampliar la estadía promedio, fortalecer la economía de pequeña escala y revalorizar la identidad del territorio. Salto es la auténtica “Cuna del Tannat”, cepa introducida por Pascual Harriague en el último cuarto del siglo XIX y producida en la primera bodega comercial del país. Esta singularidad histórica representa un recurso intangible de incalculable valor turístico, transformable en una experiencia interpretativa y en un circuito temático integrado.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 términos de planificación, el diseño de este circuito implica una transición desde recursos dispersos y desestructurados hacia un sistema de experiencias organizadas bajo criterios de sostenibilidad, gobernanza colaborativa, accesibilidad universal e interpretación del patrimonio. Este informe sistematiza los antecedentes, marcos conceptuales, diagnósticos de mercado y planes de acción necesarios para viabilizar una oferta híbrida de bienestar y cultura enológica en el departamento de Salto.</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Capítulo 1. Planteamiento de la Idea</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1.1. Justificación del Proyecto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justificación económica y social de la propuesta radica en la necesidad de corregir las debilidades del modelo turístico del departamento de Salto. El turismo en Uruguay es un motor crítico, que genera ingresos agregados por USD 2.040 millones (CAMAERO, s.f.). Sin embargo, según el “Estudio del perfil del turista de la Región de Salto Grande” (Observatorio Económico, Universidad Católica del Uruguay Campus Salto, 2025), el Litoral Termal presenta una brecha frente a otras regiones del país: recibe un volumen de visitantes elevado —453.936 personas anuales— pero su gasto acumulado se limita a USD 86 millones, lo que arroja un gasto promedio por persona de solo USD 189. En contraste, Colonia del Sacramento recibe un flujo similar (469.297 visitantes) pero genera USD 113 millones, con un gasto promedio de USD 241, mientras que Maldonado capta un gasto promedio de USD 569. Esto indica que el modelo termal salteño atrae un perfil de demanda de bajo gasto y baja diversificación recreativa.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esta problemática se suma la pérdida de competitividad de Salto en el mercado doméstico. El Monitor de Actividad Turística de marzo de 2026 (CERES) señaló que, durante los primeros meses del año, Salto quedó fuera de la lista de los cinco destinos más visitados del país, liderada por Punta del Este, Piriápolis, Chuy, Punta del Diablo y Colonia del Sacramento. La dependencia de un producto tradicional ha acelerado la obsolescencia de la marca destino, haciendo indispensable la incorporación de ofertas complementarias.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enoturismo en Uruguay representa una oportunidad para revertir esta tendencia: genera de forma directa más de USD 11 millones anuales a nivel nacional, sustentados por una red de 49 establecimientos (INAVI, s.f.). Sin embargo, la distribución de estos ingresos muestra una fuerte concentración geográfica —Montevideo y Canelones absorben el 59%, Maldonado el 25% y Colonia el 11%—, relegando a Salto al 5% correspondiente al “resto del país”. La valorización de la vitivinicultura salteña no solo captará una porción de este mercado dinámico, sino que elevará el gasto diario del turista termal, cuyo gasto promedio nacional enoturístico oscila entre USD 76 y USD 90 por visitante (Instituto Nacional de Vitivinicultura [INAVI] &amp; Opción Consultores, 2023).</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1.2. Contextualización y Antecedentes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arraigo vitivinícola de Salto se remonta al siglo XIX. Pascual Harriague, inmigrante vasco-francés radicado en Uruguay en 1838 y establecido en Salto en 1840, identificó en 1874 una cepa de procedencia vasca cultivada de forma experimental en la vecina localidad de Concordia (Entre Ríos). Esta variedad, denominada Tannat, encontró en los suelos y el clima de Salto un ecosistema óptimo para su maduración. En 1883, la bodega Harriague ya almacenaba una producción de 300 bordalesas de vino, y para 1887 el establecimiento poseía 137 cuadras de viñedos, consolidando a Salto como el núcleo originario y simbólico del vino uruguayo (Gran Logia de la Masonería del Uruguay, s.f.).</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 años recientes se han impulsado acciones públicas y privadas para revalorizar esta herencia, entre ellas la organización anual de la “Semana de Harriague” en abril, que reúne actividades culturales, gastronómicas y de cata de vinos con la participación del Centro Vasco de Salto (Saltoko Euskaldunen Taldea) y la Asociación de Vitivinicultores de Salto. La edición reciente adquirió carácter binacional al integrar actividades compartidas con la ciudad argentina de Concordia (El Pueblo Digital, 2026).</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Aun así, estos esfuerzos no se han traducido en una oferta turística integrada y comercial de forma continua. Las ruinas de la antigua Bodega Harriague han sufrido intermitencia en su gestión cultural, lo que debilita su capacidad para establecerse como referencia estable. La promoción del destino Salto continúa excesivamente enfocada en el producto termal, dejando de lado la oferta vitivinícola activa de establecimientos comerciales que operan de manera fragmentada y sin una red de cooperación que unifique los servicios turísticos.</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1.3. Objetivos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1.3.1. Objetivo General</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Diseñar y estructurar una ruta enoturística en el departamento de Salto que integre el patrimonio histórico de la “Cuna del Tannat” con la dinámica comercial de las bodegas activas y la infraestructura de la Ruta Termal, promoviendo el desarrollo territorial, la desestacionalización del destino y la diversificación y aumento del gasto del visitante.</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1.3.2. Objetivos Específicos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logro del objetivo general se articula en cuatro objetivos específicos. En primer lugar, sistematizar un inventario técnico de los recursos enoturísticos, arqueológicos e infraestructuras de apoyo disponibles en el departamento, para evaluar su nivel de viabilidad y adecuación a la oferta. En segundo lugar, definir el trazado espacial y el guión del circuito, garantizando una conexión óptima entre la ciudad de Salto, el corredor de Daymán y los viñedos litorales. En tercer lugar, estructurar un modelo de gobernanza asociativa entre el sector público, los vitivinicultores locales, las organizaciones de la sociedad civil y la red de hotelería, para superar la fragmentación operativa. Finalmente, diseñar el plan de acción comercial y financiero de la propuesta, determinando estructuras de precios viables, canales de reserva digitales y estrategias de promoción para captar los segmentos de alta rentabilidad.</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Capítulo 2. Fundamentación Teórica</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2.1. Turismo sostenible en destinos vitivinícolas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turismo sostenible se define, de acuerdo con la Organización Mundial del Turismo, como aquel que considera plenamente sus repercusiones económicas, sociales y ambientales actuales y futuras, satisfaciendo las necesidades de los visitantes, del entorno, de la industria y de las comunidades receptoras (Organización Mundial del Turismo [ONU Turismo], s.f.). Para un destino como Salto, este enfoque funciona como herramienta de ordenamiento territorial: dispersa flujos hacia zonas menos conocidas, desestacionaliza la demanda, extiende la estadía y eleva el gasto diario, dinamizando economías rurales de pequeña escala.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 el enoturismo, la dimensión ambiental se expresa en el terruño o terroir —la convergencia de geología, clima y saberes técnicos que exige un manejo agrícola responsable—; en Uruguay, el Programa de Viticultura Sostenible del INAVI, certificado bajo la norma Uruguay Sustainable Winegrowing (LSQA), ya cubre el 38% de la superficie nacional (238 viñedos, 37 bodegas). La dimensión sociocultural rescata la memoria histórica y los saberes agrícolas tradicionales, evitando la mercantilización artificial del patrimonio mediante la participación directa de los productores en el diseño de la oferta. La dimensión económica se traduce en la diversificación de ingresos para bodegas de pequeña escala a través de la venta directa, y en la generación de producción “hacia atrás y hacia adelante” que integra vino, gastronomía, transporte y hotelería.</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2.2. El turismo como experiencia transformadora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viaje contemporáneo ha pasado del turista de masas pasivo a una demanda orientada a la inmersión activa, que impulsa rutas agroindustriales y experiencias de contacto directo con el productor. Ahlfert (2012), apoyándose en la “economía de la experiencia” de Pine y Gilmore (1998), sostiene que las empresas turísticas deben diseñar acontecimientos memorables que apelen a las emociones del visitante, a partir de dos ejes: la diferencia (salir de la rutina cotidiana) y la novedad (descubrir elementos desconocidos o mirar lo conocido desde una perspectiva nueva). Este enfoque conecta con las “experiencias cumbre” descritas por Maslow (1964) y con la “mirada turística” de Urry (2002), quien advierte que los destinos deben estructurar narrativas complejas que faciliten una inmersión interpretativa real, superando la superficialidad de la información turística tradicional.</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 el medio rural, estos principios se concretan en itinerarios interactivos: el contacto directo con el productor, las degustaciones sensoriales guiadas y los recorridos interpretativos en el viñedo, que permiten comprender los ciclos biológicos de la vid y el manejo del suelo.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2.3. Enfoques aplicados al diseño de la ruta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diseño de la ruta se sustenta en tres enfoques complementarios. En primer lugar, el </w:t>
      </w:r>
      <w:r>
        <w:rPr>
          <w:rFonts w:ascii="Times New Roman" w:cs="Times New Roman" w:eastAsia="Times New Roman" w:hAnsi="Times New Roman"/>
          <w:b/>
          <w:bCs/>
          <w:i w:val="false"/>
          <w:iCs w:val="false"/>
          <w:color w:val="000000"/>
          <w:sz w:val="24"/>
          <w:szCs w:val="24"/>
        </w:rPr>
        <w:t xml:space="preserve">enoturismo y desarrollo territorial</w:t>
      </w:r>
      <w:r>
        <w:rPr>
          <w:rFonts w:ascii="Times New Roman" w:cs="Times New Roman" w:eastAsia="Times New Roman" w:hAnsi="Times New Roman"/>
          <w:b w:val="false"/>
          <w:bCs w:val="false"/>
          <w:i w:val="false"/>
          <w:iCs w:val="false"/>
          <w:color w:val="000000"/>
          <w:sz w:val="24"/>
          <w:szCs w:val="24"/>
        </w:rPr>
        <w:t xml:space="preserve">: el enoturismo contemporáneo supera la simple degustación en bodega y se define como un sistema que vincula paisaje agrícola, cultura gastronómica, patrimonio arquitectónico y hospitalidad local, cuya competitividad depende de economías de escala locales y de redes de cooperación público-privada. En segundo lugar, la </w:t>
      </w:r>
      <w:r>
        <w:rPr>
          <w:rFonts w:ascii="Times New Roman" w:cs="Times New Roman" w:eastAsia="Times New Roman" w:hAnsi="Times New Roman"/>
          <w:b/>
          <w:bCs/>
          <w:i w:val="false"/>
          <w:iCs w:val="false"/>
          <w:color w:val="000000"/>
          <w:sz w:val="24"/>
          <w:szCs w:val="24"/>
        </w:rPr>
        <w:t xml:space="preserve">interpretación del patrimonio cultural e industrial</w:t>
      </w:r>
      <w:r>
        <w:rPr>
          <w:rFonts w:ascii="Times New Roman" w:cs="Times New Roman" w:eastAsia="Times New Roman" w:hAnsi="Times New Roman"/>
          <w:b w:val="false"/>
          <w:bCs w:val="false"/>
          <w:i w:val="false"/>
          <w:iCs w:val="false"/>
          <w:color w:val="000000"/>
          <w:sz w:val="24"/>
          <w:szCs w:val="24"/>
        </w:rPr>
        <w:t xml:space="preserve">: el patrimonio se concibe como recurso dinámico, no como vestigio estático, de modo que diseñar narrativas y guiones interpretativos permite transformar sitios como la Bodega Harriague en espacios de aprendizaje, memoria y conexión identitaria. Por último, el </w:t>
      </w:r>
      <w:r>
        <w:rPr>
          <w:rFonts w:ascii="Times New Roman" w:cs="Times New Roman" w:eastAsia="Times New Roman" w:hAnsi="Times New Roman"/>
          <w:b/>
          <w:bCs/>
          <w:i w:val="false"/>
          <w:iCs w:val="false"/>
          <w:color w:val="000000"/>
          <w:sz w:val="24"/>
          <w:szCs w:val="24"/>
        </w:rPr>
        <w:t xml:space="preserve">turismo sostenible y la reducción de cargas</w:t>
      </w:r>
      <w:r>
        <w:rPr>
          <w:rFonts w:ascii="Times New Roman" w:cs="Times New Roman" w:eastAsia="Times New Roman" w:hAnsi="Times New Roman"/>
          <w:b w:val="false"/>
          <w:bCs w:val="false"/>
          <w:i w:val="false"/>
          <w:iCs w:val="false"/>
          <w:color w:val="000000"/>
          <w:sz w:val="24"/>
          <w:szCs w:val="24"/>
        </w:rPr>
        <w:t xml:space="preserve">: la diversificación de la matriz turística departamental actúa como herramienta de ordenamiento que reduce la presión sobre los enclaves termales hiper-concentrados, distribuyendo flujos y beneficios hacia las zonas rurales y los pequeños establecimientos productivos.</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Capítulo 3. Metodología de Trabajo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3.1. Enfoque Metodológico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Se implementa un enfoque de investigación-acción de carácter mixto (cualitativo-cuantitativo) y alcance descriptivo-explicativo. Este diseño metodológico permite realizar un análisis riguroso de la situación actual y, simultáneamente, integrar a los actores locales en el diseño de la propuesta empresarial, facilitando la apropiación social de la ruta.</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3.1.1. Técnicas e instrumentos de recolección y análisis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recolección de información de campo y documental se estructuró a través de tres técnicas metodológicas principales. En primer lugar, la revisión bibliográfica y documental, que abarcó las bases de datos estadísticas de INAVI y las encuestas consolidadas de impacto del enoturismo realizadas por Opción Consultores, junto con los anuarios de flujo y gasto turístico del Observatorio de Turismo Inteligente del MINTUR y los informes de competitividad económica sectorial de CERES. En segundo lugar, las entrevistas en territorio, aplicadas de forma presencial a los directores técnicos de las bodegas activas (Salto Chico y Bertolini &amp; Broglio) —[COMPLETAR: cantidad de entrevistas realizadas, fechas y criterio de selección]— para relevar infraestructura, capacidad de degustación, interés en asociarse y necesidades de capacitación; a estas se sumaron encuentros de indagación con representantes de la Comisión de Gestión del Espacio Cultural Bodega Harriague y del Centro Vasco para evaluar la viabilidad de la operación del sitio histórico. Por último, las encuestas de mercado estructuradas, administradas durante la fase de investigación territorial a una muestra de turistas de ocio en los complejos hoteleros de Daymán —[COMPLETAR: tamaño de la muestra (n), período de aplicación y margen de error asumido]—; este instrumento indaga comportamiento de viaje, disposición al gasto y expectativas de consumo recreativo en el destino, y tanto el cuestionario completo como la guía de entrevista se incluyen en el Anexo del Capítulo 3, mientras que sus resultados se presentan en el punto 4.4.</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3.2. Etapas del proceso de investigación</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proceso de investigación se organizó en cuatro etapas sucesivas. La primera es la fase de diagnóstico, correspondiente al relevamiento técnico del estado de la caminería, la señalética y los servicios básicos de los viñedos de Salto Chico, Colonia Osimani y Parada Daymán, junto con la catalogación de los activos arqueológicos de la Bodega Harriague. La segunda es la fase de investigación de mercado y segmentación, que implica el procesamiento de los datos de las encuestas estructuradas mediante estadística descriptiva, para perfilar el mercado objetivo y caracterizar la demanda real y potencial del circuito. La tercera es la fase de diseño y planificación de la gobernanza, desarrollada mediante mesas de trabajo conjuntas con la Asociación de Vitivinicultores de Salto y operadores turísticos, para el diseño del protocolo de calidad y de prestación de servicios unificado. La cuarta y última es la fase de formulación de la propuesta empresarial, centrada en la elaboración de la estructura financiera de costos, la estimación de proyecciones y el diseño del plan de marketing digital.</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Capítulo 4. Diagnóstico de Situación</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4.1. Análisis Territorial y Turístico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análisis territorial del departamento de Salto revela una coexistencia espacial de atractivos que carece de conectividad; las infraestructuras clave, los servicios y la accesibilidad se caracterizan por las siguientes condiciones. En materia de accesibilidad física y vialidad, el principal eje de conectividad es la Ruta 3, que une a Salto con Montevideo y con los puentes internacionales de frontera; en cambio, la caminería rural secundaria hacia zonas vitivinícolas clave —como Colonia Osimani, donde se ubica Bodega Salto Chico— es de pedregullo y presenta mantenimiento discontinuo, lo que dificulta el tránsito de buses de excursión en días de lluvia intensa. En cuanto a seguridad y servicios básicos, Salto se posiciona como un destino con buenos niveles de seguridad, ventaja valorada por el turismo familiar y de la tercera edad; las zonas termales cuentan con conectividad de telecomunicaciones adecuada, aunque persisten brechas de cobertura en las áreas vitivinícolas más alejadas de Parada Daymán. Respecto de alojamiento y alimentación, Salto cuenta con sólida capacidad hotelera concentrada en Daymán y Arapey (complejos de 3 a 5 estrellas, cabañas municipales, camping); la oferta gastronómica es abundante, aunque presenta escasa integración de vinos locales en las cartas de los restaurantes termales, si bien algunos hoteles, como Aguasol, ya ofrecen desayunos con productos y mermeladas de frutos nativos. Finalmente, en lo referido a la conectividad interna y el transporte receptivo, el traslado sin vehículo propio depende de líneas urbanas de frecuencia limitada o taxis de alto costo, y la falta de transporte turístico regular que conecte los hoteles termales con el centro histórico y las bodegas rurales constituye el principal cuello de botella operativo para diversificar las actividades de los visitantes.</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4.2. Análisis del Entorno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entorno del proyecto puede caracterizarse a partir de cinco dimensiones. En el plano político e institucional, existe un marco regulatorio favorable promovido por el INAVI y el MINTUR para descentralizar la oferta turística nacional, aunque los cambios en las administraciones departamentales generan discontinuidad en el financiamiento de comisiones de gestión patrimonial como la de la Bodega Harriague. En el plano económico y cambiario, la disparidad cambiaria con Argentina representa una vulnerabilidad para el comercio local del litoral, aunque el crecimiento del mercado brasileño en el enoturismo nacional (39% de los visitantes en el sur del país) abre un nicho de alto valor adquisitivo. En el plano sociocultural, crece la valorización del consumo consciente, la producción artesanal y las narrativas históricas de origen, y la memoria de la inmigración vasca junto con el relato fundacional de la vitivinicultura uruguaya en Salto se alinean con estas motivaciones. En el plano tecnológico, la gestión turística se digitaliza, y los pagos electrónicos permiten que bodegas familiares accedan a reservas anticipadas y ventas en línea. Por último, en el plano ecológico y climático, el sector está expuesto a sequías e inundaciones, frente a lo cual el programa “Uva Sostenible” de INAVI (38% de la superficie nacional certificada) constituye un marco de mitigación valorado por el consumidor internacional.</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4.3. Competencia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circuito enfrenta dos niveles de competencia. La competencia directa está integrada por los principales destinos enoturísticos del país: Canelones y Montevideo (59% de la actividad enoturística nacional), Maldonado (25%) y Carmelo, en Colonia (11%). Frente a ellos, Salto presenta una participación reducida, pero cuenta con un diferenciador único: ser reconocido históricamente como la cuna del Tannat gracias al legado de Pascual Harriague.</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1</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Comparación de modelos enoturísticos regionales</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884"/>
        <w:gridCol w:w="1722"/>
        <w:gridCol w:w="2368"/>
        <w:gridCol w:w="1722"/>
        <w:gridCol w:w="1808"/>
      </w:tblGrid>
      <w:tr>
        <w:trPr>
          <w:cantSplit/>
        </w:trPr>
        <w:tc>
          <w:tcPr>
            <w:tcW w:type="dxa" w:w="884"/>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Región</w:t>
            </w:r>
          </w:p>
        </w:tc>
        <w:tc>
          <w:tcPr>
            <w:tcW w:type="dxa" w:w="1722"/>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Modelo turístico</w:t>
            </w:r>
          </w:p>
        </w:tc>
        <w:tc>
          <w:tcPr>
            <w:tcW w:type="dxa" w:w="236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Vinos y experiencia</w:t>
            </w:r>
          </w:p>
        </w:tc>
        <w:tc>
          <w:tcPr>
            <w:tcW w:type="dxa" w:w="1722"/>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Alojamiento en bodega</w:t>
            </w:r>
          </w:p>
        </w:tc>
        <w:tc>
          <w:tcPr>
            <w:tcW w:type="dxa" w:w="180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Ventaja de Salto</w:t>
            </w:r>
          </w:p>
        </w:tc>
      </w:tr>
      <w:tr>
        <w:trPr>
          <w:cantSplit/>
        </w:trPr>
        <w:tc>
          <w:tcPr>
            <w:tcW w:type="dxa" w:w="884"/>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Carmelo (Colonia)</w:t>
            </w:r>
          </w:p>
        </w:tc>
        <w:tc>
          <w:tcPr>
            <w:tcW w:type="dxa" w:w="172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Boutique y de lujo, perfil internacional</w:t>
            </w:r>
          </w:p>
        </w:tc>
        <w:tc>
          <w:tcPr>
            <w:tcW w:type="dxa" w:w="236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Vinos elegantes, gastronomía de autor, paseos fluviales</w:t>
            </w:r>
          </w:p>
        </w:tc>
        <w:tc>
          <w:tcPr>
            <w:tcW w:type="dxa" w:w="172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Alta (Narbona Lodge, El Legado Boutique)</w:t>
            </w:r>
          </w:p>
        </w:tc>
        <w:tc>
          <w:tcPr>
            <w:tcW w:type="dxa" w:w="180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Legitimidad como única “Cuna del Tannat”</w:t>
            </w:r>
          </w:p>
        </w:tc>
      </w:tr>
      <w:tr>
        <w:trPr>
          <w:cantSplit/>
        </w:trPr>
        <w:tc>
          <w:tcPr>
            <w:tcW w:type="dxa" w:w="884"/>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Canelones</w:t>
            </w:r>
          </w:p>
        </w:tc>
        <w:tc>
          <w:tcPr>
            <w:tcW w:type="dxa" w:w="172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Tradición familiar, gran escala</w:t>
            </w:r>
          </w:p>
        </w:tc>
        <w:tc>
          <w:tcPr>
            <w:tcW w:type="dxa" w:w="236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Vinos tradicionales, cavas históricas, eventos masivos</w:t>
            </w:r>
          </w:p>
        </w:tc>
        <w:tc>
          <w:tcPr>
            <w:tcW w:type="dxa" w:w="172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Moderada a baja (Pizzorno, etc.)</w:t>
            </w:r>
          </w:p>
        </w:tc>
        <w:tc>
          <w:tcPr>
            <w:tcW w:type="dxa" w:w="180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Hibridación con turismo termal</w:t>
            </w:r>
          </w:p>
        </w:tc>
      </w:tr>
      <w:tr>
        <w:trPr>
          <w:cantSplit/>
        </w:trPr>
        <w:tc>
          <w:tcPr>
            <w:tcW w:type="dxa" w:w="884"/>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Maldonado</w:t>
            </w:r>
          </w:p>
        </w:tc>
        <w:tc>
          <w:tcPr>
            <w:tcW w:type="dxa" w:w="172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Premium, alta gama</w:t>
            </w:r>
          </w:p>
        </w:tc>
        <w:tc>
          <w:tcPr>
            <w:tcW w:type="dxa" w:w="236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Vinos marítimos de alta calidad</w:t>
            </w:r>
          </w:p>
        </w:tc>
        <w:tc>
          <w:tcPr>
            <w:tcW w:type="dxa" w:w="172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Baja a moderada, exclusivo</w:t>
            </w:r>
          </w:p>
        </w:tc>
        <w:tc>
          <w:tcPr>
            <w:tcW w:type="dxa" w:w="180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Relación de precios; turismo de clase alta</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competencia indirecta la representan las actividades que disputan el tiempo y el gasto del visitante sin pertenecer al sector enoturístico. A nivel local, Termas del Daymán y Arapey atraen un flujo importante de turistas de baja movilidad interna, que concentran su gasto en alojamiento y gastronomía sin participar en otras propuestas. El desafío, entonces, no es competir contra el turismo termal sino integrar al visitante termal dentro de la Ruta del Tannat. A nivel regional, la competencia indirecta proviene de Entre Ríos (Federación, Villa Elisa, Colón, Concordia), donde ya se combinan termas, gastronomía y enoturismo. La brecha cambiaria con Argentina, muy elevada entre 2023 y 2025, se redujo de forma importante durante 2026, mejorando las condiciones para retener el gasto turístico en el departamento.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4.4. Investigación de Mercados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Esta sección debe mostrar los hallazgos propios obtenidos con los instrumentos descritos en el Capítulo 3 (encuesta a turistas de Daymán y entrevistas a bodegas y al Centro Vasco), y no solo estadísticas secundarias. Se incluyen a continuación el instrumento a aplicar y la estructura para sistematizar los resultados.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4.4.1. Instrumento: encuesta a turistas termales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Cuestionario estructurado, autoadministrado, a aplicar en los complejos hoteleros de Daymán (duración estimada: 5 minutos):</w:t>
      </w:r>
    </w:p>
    <w:p>
      <w:pPr>
        <w:spacing w:after="120" w:line="240" w:lineRule="auto"/>
        <w:ind w:left="720"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Origen del visitante (departamento / país).</w:t>
      </w:r>
    </w:p>
    <w:p>
      <w:pPr>
        <w:spacing w:after="120" w:line="240" w:lineRule="auto"/>
        <w:ind w:left="720"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Motivo principal del viaje a Salto.</w:t>
      </w:r>
    </w:p>
    <w:p>
      <w:pPr>
        <w:spacing w:after="120" w:line="240" w:lineRule="auto"/>
        <w:ind w:left="720" w:hanging="360"/>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Días de estadía en el destino.</w:t>
      </w:r>
    </w:p>
    <w:p>
      <w:pPr>
        <w:spacing w:after="120" w:line="240" w:lineRule="auto"/>
        <w:ind w:left="720" w:hanging="360"/>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Gasto diario estimado (rangos en USD).</w:t>
      </w:r>
    </w:p>
    <w:p>
      <w:pPr>
        <w:spacing w:after="120" w:line="240" w:lineRule="auto"/>
        <w:ind w:left="720" w:hanging="360"/>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¿Conocía la existencia de bodegas activas en Salto? (sí/no).</w:t>
      </w:r>
    </w:p>
    <w:p>
      <w:pPr>
        <w:spacing w:after="120" w:line="240" w:lineRule="auto"/>
        <w:ind w:left="720" w:hanging="360"/>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¿Ha consumido vinos de bodegas salteñas durante su estadía? (sí/no).</w:t>
      </w:r>
    </w:p>
    <w:p>
      <w:pPr>
        <w:spacing w:after="120" w:line="240" w:lineRule="auto"/>
        <w:ind w:left="720" w:hanging="360"/>
        <w:jc w:val="both"/>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Interés en realizar una visita guiada a bodegas y al Espacio Cultural Bodega Harriague (escala 1-5).</w:t>
      </w:r>
    </w:p>
    <w:p>
      <w:pPr>
        <w:spacing w:after="120" w:line="240" w:lineRule="auto"/>
        <w:ind w:left="720" w:hanging="360"/>
        <w:jc w:val="both"/>
      </w:pPr>
      <w:r>
        <w:rPr>
          <w:rFonts w:ascii="Times New Roman" w:cs="Times New Roman" w:eastAsia="Times New Roman" w:hAnsi="Times New Roman"/>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Disposición a pagar por un tour de media jornada (rangos en USD).</w:t>
      </w:r>
    </w:p>
    <w:p>
      <w:pPr>
        <w:spacing w:after="120" w:line="240" w:lineRule="auto"/>
        <w:ind w:left="720" w:hanging="360"/>
        <w:jc w:val="both"/>
      </w:pPr>
      <w:r>
        <w:rPr>
          <w:rFonts w:ascii="Times New Roman" w:cs="Times New Roman" w:eastAsia="Times New Roman" w:hAnsi="Times New Roman"/>
          <w:color w:val="000000"/>
          <w:sz w:val="24"/>
          <w:szCs w:val="24"/>
        </w:rPr>
        <w:t xml:space="preserve">9. </w:t>
      </w:r>
      <w:r>
        <w:rPr>
          <w:rFonts w:ascii="Times New Roman" w:cs="Times New Roman" w:eastAsia="Times New Roman" w:hAnsi="Times New Roman"/>
          <w:b w:val="false"/>
          <w:bCs w:val="false"/>
          <w:i w:val="false"/>
          <w:iCs w:val="false"/>
          <w:color w:val="000000"/>
          <w:sz w:val="24"/>
          <w:szCs w:val="24"/>
        </w:rPr>
        <w:t xml:space="preserve">Actividades complementarias que valoraría durante su estadía termal (opción múltiple).</w:t>
      </w:r>
    </w:p>
    <w:p>
      <w:pPr>
        <w:spacing w:after="120" w:line="240" w:lineRule="auto"/>
        <w:ind w:left="720" w:hanging="360"/>
        <w:jc w:val="both"/>
      </w:pPr>
      <w:r>
        <w:rPr>
          <w:rFonts w:ascii="Times New Roman" w:cs="Times New Roman" w:eastAsia="Times New Roman" w:hAnsi="Times New Roman"/>
          <w:color w:val="000000"/>
          <w:sz w:val="24"/>
          <w:szCs w:val="24"/>
        </w:rPr>
        <w:t xml:space="preserve">10. </w:t>
      </w:r>
      <w:r>
        <w:rPr>
          <w:rFonts w:ascii="Times New Roman" w:cs="Times New Roman" w:eastAsia="Times New Roman" w:hAnsi="Times New Roman"/>
          <w:b w:val="false"/>
          <w:bCs w:val="false"/>
          <w:i w:val="false"/>
          <w:iCs w:val="false"/>
          <w:color w:val="000000"/>
          <w:sz w:val="24"/>
          <w:szCs w:val="24"/>
        </w:rPr>
        <w:t xml:space="preserve">Edad, nivel educativo y composición del grupo de viaje.</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4.4.2. Instrumento: guía de entrevista en profundidad</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Dirigida a directores técnicos de bodegas (Salto Chico, Bertolini &amp; Broglio, Mori Maglio) y a referentes del Centro Vasco de Salto / Comisión de Gestión del Espacio Cultural Bodega Harriague:</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Capacidad actual de recepción de visitantes (infraestructura, horarios, personal disponible).</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Experiencia previa con visitas guiadas o degustaciones comerciales.</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Interés y condiciones para integrarse a un circuito asociativo con otras bodegas y el sector hotelero.</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Necesidades de capacitación del personal en atención al turista enológico.</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Percepción sobre la viabilidad de un motor de reservas y pagos compartido.</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Estado de conservación y expectativas de uso turístico del sitio (para el Centro Vasco / Comisión de Gestión Bodega Harriague).</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4.4.3. Resultados</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2</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Resultados de la investigación de mercado propia</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6928"/>
        <w:gridCol w:w="788"/>
        <w:gridCol w:w="788"/>
      </w:tblGrid>
      <w:tr>
        <w:trPr>
          <w:cantSplit/>
        </w:trPr>
        <w:tc>
          <w:tcPr>
            <w:tcW w:type="dxa" w:w="692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Dimensión relevada</w:t>
            </w:r>
          </w:p>
        </w:tc>
        <w:tc>
          <w:tcPr>
            <w:tcW w:type="dxa" w:w="78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Principal hallazgo</w:t>
            </w:r>
          </w:p>
        </w:tc>
        <w:tc>
          <w:tcPr>
            <w:tcW w:type="dxa" w:w="78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Base (n / entrevistas)</w:t>
            </w:r>
          </w:p>
        </w:tc>
      </w:tr>
      <w:tr>
        <w:trPr>
          <w:cantSplit/>
        </w:trPr>
        <w:tc>
          <w:tcPr>
            <w:tcW w:type="dxa" w:w="692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Conocimiento previo de las bodegas activas</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 con resultado real]</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692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Disposición a pagar por tour de media jornada</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 con resultado real]</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692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Interés en visita guiada (escala 1-5)</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 con resultado real]</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692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Capacidad de recepción declarada por las bodegas</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 con resultado real]</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692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Interés de las bodegas en integrarse al circuito</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 con resultado real]</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692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 EJEMPLO ILUSTRATIVO — NO SON DATOS REALES</w:t>
            </w:r>
            <w:r>
              <w:rPr>
                <w:rFonts w:ascii="Times New Roman" w:cs="Times New Roman" w:eastAsia="Times New Roman" w:hAnsi="Times New Roman"/>
                <w:b w:val="false"/>
                <w:bCs w:val="false"/>
                <w:i/>
                <w:iCs/>
                <w:color w:val="000000"/>
                <w:sz w:val="22"/>
                <w:szCs w:val="22"/>
              </w:rPr>
              <w:t xml:space="preserve">El siguiente párrafo es un ejemplo de redacción con datos inventados, solo para mostrar cómo se vería la sección una vez completada. Debe eliminarse y reemplazarse por el análisis real de los datos relevados:</w:t>
            </w:r>
            <w:r>
              <w:rPr>
                <w:rFonts w:ascii="Times New Roman" w:cs="Times New Roman" w:eastAsia="Times New Roman" w:hAnsi="Times New Roman"/>
                <w:b w:val="false"/>
                <w:bCs w:val="false"/>
                <w:i/>
                <w:iCs/>
                <w:color w:val="000000"/>
                <w:sz w:val="22"/>
                <w:szCs w:val="22"/>
              </w:rPr>
              <w:t xml:space="preserve">“De los turistas encuestados en los hoteles de Daymán, un 61% declaró no conocer la existencia de bodegas activas en Salto, y un 78% manifestó interés (puntaje 4 o 5) en sumar una visita guiada a su estadía. La disposición a pagar se concentró entre USD 40 y USD 55 para un tour de media jornada. En las entrevistas, las tres bodegas relevadas expresaron interés en integrarse al circuito, aunque Mori Maglio señaló limitaciones de personal para recibir grupos de más de 15 personas por turno.”</w:t>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
            </w:r>
          </w:p>
        </w:tc>
        <w:tc>
          <w:tcPr>
            <w:tcW w:type="dxa" w:w="78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 a partir del trabajo de campo descrito en el Capítulo 3. Los campos marcados [COMPLETAR] deben reemplazarse por los resultados reales; el párrafo señalado como ejemplo ilustrativo no debe presentarse como dato efectivo.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4.4.4. Datos secundarios de contexto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Como marco de referencia (no reemplaza el relevamiento propio), el estudio de Opción Consultores para INAVI ubica el gasto promedio por visitante en el segmento enoturístico en USD 76 diarios, con un promedio de USD 90 según el Plan Operativo de INAVI. En los establecimientos con alojamiento integrado (16% de la oferta del país), la tarifa de pernocte varía entre USD 180 y USD 700 por noche. El mercado nacional de enoturistas se compone de 39% de brasileños, 37% de uruguayos, 10% de argentinos, 4% de norteamericanos y 10% de otros orígenes. El sector genera empleo directo para cerca de 1.000 personas, y representa entre el 25% y el 50% de los ingresos anuales de un tercio de los establecimientos vitivinícolas participantes (INAVI &amp; Opción Consultores, 2023).</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4.5. Análisis de Mercado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caracterización del mercado objetivo combina cuatro tipos de factores. Desde el punto de vista geográfico, el segmento se compone de turistas nacionales de la zona metropolitana de Montevideo y del sur del país, complementados por el mercado regional de proximidad de Entre Ríos (Argentina) y Rio Grande do Sul (Brasil). Desde el punto de vista demográfico, se trata de hombres y mujeres de 30 a 65 años, profesionales o empresarios de nivel socioeconómico medio-alto y alto, capaces de absorber el costo de experiencias premium. Desde el punto de vista psicográfico, son personas interesadas en el consumo cultural, la historia, la arqueología industrial, la gastronomía autóctona y el bienestar (slow travel), que valoran la autenticidad y la hospitalidad personalizada. Y desde el punto de vista conductual, son consumidores habituales u ocasionales de vinos finos que viajan a relajarse en las termas, pero que demandan actividades culturales complementarias que justifiquen pernoctaciones más largas.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Este segmento se selecciona por su alta tasa de conversión y baja elasticidad-precio ante ofertas de calidad: al tener resuelto el alojamiento y el traslado de larga distancia por la oferta termal, el circuito actúa como un producto complementario de bajo costo de adquisición, capturando el gasto excedente del turista durante las horas de la tarde.</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4.6. Análisis FODA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Los datos oficiales de INAVI (período 2021-2024) reflejan una tendencia de reconversión estructural del rubro vitivinícola en Uruguay:</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3</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Evolución de indicadores vitivinícolas nacionales, 2021-2024</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3510"/>
        <w:gridCol w:w="1080"/>
        <w:gridCol w:w="1080"/>
        <w:gridCol w:w="1080"/>
        <w:gridCol w:w="1755"/>
      </w:tblGrid>
      <w:tr>
        <w:trPr>
          <w:cantSplit/>
        </w:trPr>
        <w:tc>
          <w:tcPr>
            <w:tcW w:type="dxa" w:w="351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Indicador nacional</w:t>
            </w:r>
          </w:p>
        </w:tc>
        <w:tc>
          <w:tcPr>
            <w:tcW w:type="dxa" w:w="108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2021</w:t>
            </w:r>
          </w:p>
        </w:tc>
        <w:tc>
          <w:tcPr>
            <w:tcW w:type="dxa" w:w="108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2023</w:t>
            </w:r>
          </w:p>
        </w:tc>
        <w:tc>
          <w:tcPr>
            <w:tcW w:type="dxa" w:w="108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2024</w:t>
            </w:r>
          </w:p>
        </w:tc>
        <w:tc>
          <w:tcPr>
            <w:tcW w:type="dxa" w:w="1755"/>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Tendencia</w:t>
            </w:r>
          </w:p>
        </w:tc>
      </w:tr>
      <w:tr>
        <w:trPr>
          <w:cantSplit/>
        </w:trPr>
        <w:tc>
          <w:tcPr>
            <w:tcW w:type="dxa" w:w="351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Viñedos vigentes inscritos</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1.183</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1.103</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1.077</w:t>
            </w:r>
          </w:p>
        </w:tc>
        <w:tc>
          <w:tcPr>
            <w:tcW w:type="dxa" w:w="175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-8,96%</w:t>
            </w:r>
          </w:p>
        </w:tc>
      </w:tr>
      <w:tr>
        <w:trPr>
          <w:cantSplit/>
        </w:trPr>
        <w:tc>
          <w:tcPr>
            <w:tcW w:type="dxa" w:w="351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Superficie cultivada (ha)</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5.966</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5.905</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5.857</w:t>
            </w:r>
          </w:p>
        </w:tc>
        <w:tc>
          <w:tcPr>
            <w:tcW w:type="dxa" w:w="175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-1,83%</w:t>
            </w:r>
          </w:p>
        </w:tc>
      </w:tr>
      <w:tr>
        <w:trPr>
          <w:cantSplit/>
        </w:trPr>
        <w:tc>
          <w:tcPr>
            <w:tcW w:type="dxa" w:w="351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Productores activos</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866</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794</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766</w:t>
            </w:r>
          </w:p>
        </w:tc>
        <w:tc>
          <w:tcPr>
            <w:tcW w:type="dxa" w:w="175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-11,55%</w:t>
            </w:r>
          </w:p>
        </w:tc>
      </w:tr>
      <w:tr>
        <w:trPr>
          <w:cantSplit/>
        </w:trPr>
        <w:tc>
          <w:tcPr>
            <w:tcW w:type="dxa" w:w="351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Empresas registradas</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788</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726</w:t>
            </w:r>
          </w:p>
        </w:tc>
        <w:tc>
          <w:tcPr>
            <w:tcW w:type="dxa" w:w="10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698</w:t>
            </w:r>
          </w:p>
        </w:tc>
        <w:tc>
          <w:tcPr>
            <w:tcW w:type="dxa" w:w="175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-11,42%</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 a partir de INAVI (2021, 2023a, 2023b, 2024b).</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Fortalezas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Entre las fortalezas del proyecto se destaca, en primer término, la legitimidad histórica como “Cuna del Tannat”: en 1874 Pascual Harriague introduce estacas de origen francés (“Lorda”) en su establecimiento “La Caballada”, logrando en 1876 la primera vinificación comercial que daría origen al Tannat. A ello se suma un terroir excepcional de lecho basáltico y cantos rodados, con el río Uruguay mitigando heladas y estabilizando las temperaturas de maduración. El circuito cuenta además con bodegas boutique activas, dotadas de tecnología moderna y reconocidas con medallas internacionales (Tannat al Mundo, Sélections Mondiales de Vins Canadá), así como con una infraestructura de alojamiento termal consolidada, que asegura flujos continuos de visitantes de alto poder adquisitivo durante todo el año. Finalmente, el territorio dispone de una red vial de acceso nacional directa sobre la Ruta 3.</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Debilidades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Entre las debilidades se identifica, en primer lugar, la escasa coordinación operativa entre la Mesa Estratégica de Turismo de Salto (METS), los operadores hoteleros y los guías turísticos. Se suma la vulnerabilidad climática en la caminería rural secundaria de Colonia Osimani y Parada Daymán, así como una brecha digital caracterizada por la falta de motores de reserva en tiempo real y de pasarelas de pago electrónico internacional en las bodegas pequeñas. También se advierte una deficiencia crítica en la señalética indicativa homologada por el MINTUR en la Ruta 3 y sus bifurcaciones. Por último, persisten un bajo volumen de producción y una centralización de la distribución en el sur del país.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Oportunidades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principal oportunidad identificada es la atracción del mercado enoturístico de Brasil, de alta rentabilidad y afinidad con el sector, tal como reflejan los datos trimestrales del Observatorio de Turismo Inteligente del MINTUR:</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4</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Gasto y estadía promedio de turistas extranjeros por trimestre, según mercado de origen</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1816"/>
        <w:gridCol w:w="2229"/>
        <w:gridCol w:w="2229"/>
        <w:gridCol w:w="2229"/>
      </w:tblGrid>
      <w:tr>
        <w:trPr>
          <w:cantSplit/>
        </w:trPr>
        <w:tc>
          <w:tcPr>
            <w:tcW w:type="dxa" w:w="1816"/>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Trimestre (MINTUR)</w:t>
            </w:r>
          </w:p>
        </w:tc>
        <w:tc>
          <w:tcPr>
            <w:tcW w:type="dxa" w:w="222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Brasil</w:t>
            </w:r>
          </w:p>
        </w:tc>
        <w:tc>
          <w:tcPr>
            <w:tcW w:type="dxa" w:w="222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Argentina</w:t>
            </w:r>
          </w:p>
        </w:tc>
        <w:tc>
          <w:tcPr>
            <w:tcW w:type="dxa" w:w="222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Chile</w:t>
            </w:r>
          </w:p>
        </w:tc>
      </w:tr>
      <w:tr>
        <w:trPr>
          <w:cantSplit/>
        </w:trPr>
        <w:tc>
          <w:tcPr>
            <w:tcW w:type="dxa" w:w="181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3er trim. 2025</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81,5 / 7,3 noches</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79,7 / 4,6 noches</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87,9 / 7,2 noches</w:t>
            </w:r>
          </w:p>
        </w:tc>
      </w:tr>
      <w:tr>
        <w:trPr>
          <w:cantSplit/>
        </w:trPr>
        <w:tc>
          <w:tcPr>
            <w:tcW w:type="dxa" w:w="181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1er trim. 2025</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61,1 / 8,7 noches</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73,5 / 5,5 noches</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94,5 / 6,6 noches</w:t>
            </w:r>
          </w:p>
        </w:tc>
      </w:tr>
      <w:tr>
        <w:trPr>
          <w:cantSplit/>
        </w:trPr>
        <w:tc>
          <w:tcPr>
            <w:tcW w:type="dxa" w:w="181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4to trim. 2024</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74,9 / 7,2 noches</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77,5 / 4,7 noches</w:t>
            </w:r>
          </w:p>
        </w:tc>
        <w:tc>
          <w:tcPr>
            <w:tcW w:type="dxa" w:w="222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Gasto USD 78,4 / 7,3 noches</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 a partir de Ministerio de Turismo de Uruguay (2025a, 2025b, 2025c).</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esto se suman los fondos concursables públicos: el Fondo Concursable para Emprendimientos Turísticos en Destinos Emergentes (MINTUR-ANDE) otorga hasta $U900.000 no reembolsables, mientras que el Fondo Enoturismo (MINTUR-INAVI) cofinancia hasta $U500.000. Otra oportunidad relevante es la certificación del Programa de Viticultura Sostenible de INAVI (sello Uruguay Sustainable Winegrowing, auditado por LSQA). Finalmente, se destaca la valorización del Espacio Cultural Bodega Harriague mediante el proyecto binacional de restauración U-riharri, liderado por el Centro Vasco de Salto junto con la Universidad del País Vasco y con el aval de la Cátedra UNESCO.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Amenazas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Entre las amenazas se encuentra, en primer lugar, el posicionamiento de marca departamental, concentrado casi exclusivamente en “Destino Termas”, que relega la propuesta histórico-enológica. A ello se suma la competencia comercial de Canelones y Maldonado, que cuentan con mayor inversión turística e infraestructura. La evolución de la brecha de precios relevada por el Observatorio Económico de la Universidad Católica del Uruguay ilustra la magnitud de esta presión regional:</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5</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Evolución de la brecha de precios entre Salto y Concordia</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1450"/>
        <w:gridCol w:w="2223"/>
        <w:gridCol w:w="2223"/>
        <w:gridCol w:w="2609"/>
      </w:tblGrid>
      <w:tr>
        <w:trPr>
          <w:cantSplit/>
        </w:trPr>
        <w:tc>
          <w:tcPr>
            <w:tcW w:type="dxa" w:w="145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Fecha (UCU)</w:t>
            </w:r>
          </w:p>
        </w:tc>
        <w:tc>
          <w:tcPr>
            <w:tcW w:type="dxa" w:w="2223"/>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Brecha general</w:t>
            </w:r>
          </w:p>
        </w:tc>
        <w:tc>
          <w:tcPr>
            <w:tcW w:type="dxa" w:w="2223"/>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Bebidas alcohólicas</w:t>
            </w:r>
          </w:p>
        </w:tc>
        <w:tc>
          <w:tcPr>
            <w:tcW w:type="dxa" w:w="260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Comidas fuera del hogar</w:t>
            </w:r>
          </w:p>
        </w:tc>
      </w:tr>
      <w:tr>
        <w:trPr>
          <w:cantSplit/>
        </w:trPr>
        <w:tc>
          <w:tcPr>
            <w:tcW w:type="dxa" w:w="145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Set. 2023</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180,2% (Salto más caro)</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Desequilibrio extremo</w:t>
            </w:r>
          </w:p>
        </w:tc>
        <w:tc>
          <w:tcPr>
            <w:tcW w:type="dxa" w:w="26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w:t>
            </w:r>
          </w:p>
        </w:tc>
      </w:tr>
      <w:tr>
        <w:trPr>
          <w:cantSplit/>
        </w:trPr>
        <w:tc>
          <w:tcPr>
            <w:tcW w:type="dxa" w:w="145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Set. 2024</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47,4%</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77%</w:t>
            </w:r>
          </w:p>
        </w:tc>
        <w:tc>
          <w:tcPr>
            <w:tcW w:type="dxa" w:w="26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82%</w:t>
            </w:r>
          </w:p>
        </w:tc>
      </w:tr>
      <w:tr>
        <w:trPr>
          <w:cantSplit/>
        </w:trPr>
        <w:tc>
          <w:tcPr>
            <w:tcW w:type="dxa" w:w="145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Ene. 2026</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40,2%</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52% (vino: 107%)</w:t>
            </w:r>
          </w:p>
        </w:tc>
        <w:tc>
          <w:tcPr>
            <w:tcW w:type="dxa" w:w="26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74%</w:t>
            </w:r>
          </w:p>
        </w:tc>
      </w:tr>
      <w:tr>
        <w:trPr>
          <w:cantSplit/>
        </w:trPr>
        <w:tc>
          <w:tcPr>
            <w:tcW w:type="dxa" w:w="145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Abr. 2026</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15,0%</w:t>
            </w:r>
          </w:p>
        </w:tc>
        <w:tc>
          <w:tcPr>
            <w:tcW w:type="dxa" w:w="222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26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Diferencia moderada</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 a partir de Observatorio Económico, Universidad Católica del Uruguay Campus Salto (2024) y de la prensa citada en las Referencias Bibliográficas.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Esta brecha cambiaria favorece, además, la fuga de turistas de fin de semana hacia complejos termales argentinos (Federación, Villa Elisa), lo que afecta especialmente a productores y hoteles de nivel medio. Finalmente, constituye una amenaza estructural la contracción del registro de vitivinicultores nacionales (-11,55% anual en el período 2021-2024), que compromete la disponibilidad futura de recursos y subsidios.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Conclusiones (análisis cruzado)</w:t>
      </w:r>
    </w:p>
    <w:p>
      <w:pPr>
        <w:keepNext w:val="false"/>
        <w:spacing w:after="160" w:line="240" w:lineRule="auto"/>
        <w:jc w:val="both"/>
      </w:pPr>
      <w:r>
        <w:rPr>
          <w:rFonts w:ascii="Times New Roman" w:cs="Times New Roman" w:eastAsia="Times New Roman" w:hAnsi="Times New Roman"/>
          <w:b/>
          <w:bCs/>
          <w:i w:val="false"/>
          <w:iCs w:val="false"/>
          <w:color w:val="000000"/>
          <w:sz w:val="24"/>
          <w:szCs w:val="24"/>
        </w:rPr>
        <w:t xml:space="preserve">Estrategia ofensiva (F+O).</w:t>
      </w:r>
      <w:r>
        <w:rPr>
          <w:rFonts w:ascii="Times New Roman" w:cs="Times New Roman" w:eastAsia="Times New Roman" w:hAnsi="Times New Roman"/>
          <w:b w:val="false"/>
          <w:bCs w:val="false"/>
          <w:i w:val="false"/>
          <w:iCs w:val="false"/>
          <w:color w:val="000000"/>
          <w:sz w:val="24"/>
          <w:szCs w:val="24"/>
        </w:rPr>
        <w:t xml:space="preserve"> La legitimidad histórica de Salto como “Cuna del Tannat”, combinada con su terroir y la tecnología de sus bodegas boutique, encuentra una ventana de oportunidad en el crecimiento del mercado enoturístico brasileño. Los fondos públicos concursables (MINTUR-INAVI, ANDE) brindan el apalancamiento financiero necesario sin ahogar la economía de las bodegas familiares.</w:t>
      </w:r>
    </w:p>
    <w:p>
      <w:pPr>
        <w:keepNext w:val="false"/>
        <w:spacing w:after="160" w:line="240" w:lineRule="auto"/>
        <w:jc w:val="both"/>
      </w:pPr>
      <w:r>
        <w:rPr>
          <w:rFonts w:ascii="Times New Roman" w:cs="Times New Roman" w:eastAsia="Times New Roman" w:hAnsi="Times New Roman"/>
          <w:b/>
          <w:bCs/>
          <w:i w:val="false"/>
          <w:iCs w:val="false"/>
          <w:color w:val="000000"/>
          <w:sz w:val="24"/>
          <w:szCs w:val="24"/>
        </w:rPr>
        <w:t xml:space="preserve">Estrategia de adaptación (D+O).</w:t>
      </w:r>
      <w:r>
        <w:rPr>
          <w:rFonts w:ascii="Times New Roman" w:cs="Times New Roman" w:eastAsia="Times New Roman" w:hAnsi="Times New Roman"/>
          <w:b w:val="false"/>
          <w:bCs w:val="false"/>
          <w:i w:val="false"/>
          <w:iCs w:val="false"/>
          <w:color w:val="000000"/>
          <w:sz w:val="24"/>
          <w:szCs w:val="24"/>
        </w:rPr>
        <w:t xml:space="preserve"> La brecha digital de las bodegas puede resolverse mediante los fondos no reembolsables mencionados. La debilidad histórica de asociación entre el sector vitivinícola y el hotelero encuentra solución en el proyecto U-riharri, que puede funcionar como “kilómetro cero” dinamizador de la ruta.</w:t>
      </w:r>
    </w:p>
    <w:p>
      <w:pPr>
        <w:keepNext w:val="false"/>
        <w:spacing w:after="160" w:line="240" w:lineRule="auto"/>
        <w:jc w:val="both"/>
      </w:pPr>
      <w:r>
        <w:rPr>
          <w:rFonts w:ascii="Times New Roman" w:cs="Times New Roman" w:eastAsia="Times New Roman" w:hAnsi="Times New Roman"/>
          <w:b/>
          <w:bCs/>
          <w:i w:val="false"/>
          <w:iCs w:val="false"/>
          <w:color w:val="000000"/>
          <w:sz w:val="24"/>
          <w:szCs w:val="24"/>
        </w:rPr>
        <w:t xml:space="preserve">Estrategia defensiva (F+A).</w:t>
      </w:r>
      <w:r>
        <w:rPr>
          <w:rFonts w:ascii="Times New Roman" w:cs="Times New Roman" w:eastAsia="Times New Roman" w:hAnsi="Times New Roman"/>
          <w:b w:val="false"/>
          <w:bCs w:val="false"/>
          <w:i w:val="false"/>
          <w:iCs w:val="false"/>
          <w:color w:val="000000"/>
          <w:sz w:val="24"/>
          <w:szCs w:val="24"/>
        </w:rPr>
        <w:t xml:space="preserve"> Ante la fuga de turistas hacia Entre Ríos por diferencias cambiarias, Salto no puede competir solo por precio; la respuesta es diferenciarse por autenticidad, ofreciendo una experiencia híbrida de bienestar, historia y alta enología que la competencia regional no posee.</w:t>
      </w:r>
    </w:p>
    <w:p>
      <w:pPr>
        <w:keepNext w:val="false"/>
        <w:spacing w:after="160" w:line="240" w:lineRule="auto"/>
        <w:jc w:val="both"/>
      </w:pPr>
      <w:r>
        <w:rPr>
          <w:rFonts w:ascii="Times New Roman" w:cs="Times New Roman" w:eastAsia="Times New Roman" w:hAnsi="Times New Roman"/>
          <w:b/>
          <w:bCs/>
          <w:i w:val="false"/>
          <w:iCs w:val="false"/>
          <w:color w:val="000000"/>
          <w:sz w:val="24"/>
          <w:szCs w:val="24"/>
        </w:rPr>
        <w:t xml:space="preserve">Estrategia de supervivencia (D+A).</w:t>
      </w:r>
      <w:r>
        <w:rPr>
          <w:rFonts w:ascii="Times New Roman" w:cs="Times New Roman" w:eastAsia="Times New Roman" w:hAnsi="Times New Roman"/>
          <w:b w:val="false"/>
          <w:bCs w:val="false"/>
          <w:i w:val="false"/>
          <w:iCs w:val="false"/>
          <w:color w:val="000000"/>
          <w:sz w:val="24"/>
          <w:szCs w:val="24"/>
        </w:rPr>
        <w:t xml:space="preserve"> El mayor riesgo es la inercia de una marca departamental concentrada en “Destino Termas”, sumada a las deficiencias en caminería y señalética. Sin una respuesta que presione por mejoras de infraestructura y sin cooperación entre bodegas, la oferta del litoral norte quedará absorbida por el posicionamiento de las regiones enoturísticas del sur o el lujo de Carmelo.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Recomendaciones estratégicas para el Plan de Acción</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partir de este análisis cruzado se desprenden cinco recomendaciones estratégicas para el Plan de Acción. En primer lugar, una gobernanza híbrida y vinculante, mediante la constitución del Comité de Gestión de la Ruta del Tannat, integrado por la METS, la Asociación de Vitivinicultores de Salto, guías locales y representantes hoteleros. En segundo lugar, la mitigación de la brecha de infraestructura, a través de alianzas con agencias receptivas que dispongan de vehículos utilitarios y de la gestión ante el MINTUR de la homologación de señalética específica para la Ruta 3. En tercer lugar, una digitalización orientada a la conversión inmediata, mediante una plataforma web unificada o un motor de reservas compartido con pasarela de pagos internacionales. En cuarto lugar, la hibridación del producto y la certificación sostenible, iniciando el proceso de certificación Uruguay Sustainable Winegrowing en las bodegas activas de la ruta. Por último, la activación del relato binacional y cultural, explotando la épica de Pascual Harriague y la herencia vasca, potenciada por la Semana de Harriague y su carácter binacional con Concordia.</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Capítulo 5. Propuesta de Valor</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5.1. Propuesta de Valor: el itinerario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propuesta de valor se denomina “La Ruta del Tannat: Cepa, origen e identidad”. El producto es una ruta recreativa, histórica e interpretativa que conecta el descanso de aguas termales con la riqueza sensorial, gastronómica y arqueológica del vino salteño, estructurada en cuatro estaciones: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Estación 1 — El Origen Vasco: Espacio Cultural Bodega Harriague (Salto Ciudad)</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Ubicada en Avenida Harriague y Etcheverry. Visita arqueológica e histórica que pone en valor la estructura industrial donde Pascual Harriague inició la vinificación comercial del Tannat en 1874. Incluye un guión interpretativo sobre la inmigración vasco-francesa, y cierra con degustación de gastronomía tradicional (paellas y bocados vascos) gestionada por el Centro Vasco de Salto.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Estación 2 — El Terroir del Río: Bodega Salto Chico (Colonia Osimani)</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7 km al norte de la ciudad, sobre la costa del río Uruguay. Paseo guiado por 6 hectáreas de viñedos de cepas finas implantadas en 1999, observación de métodos modernos de vinificación y cata dirigida de Tannat de alta gama, maridada con quesos artesanales y panes de campo en una terraza con vista al río.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Estación 3 — Gravedad y Alta Gama: Bodega Bertolini &amp; Broglio (Parada Daymán)</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 el km 468,5 de la Ruta 3, a 8 km de las Termas del Daymán. Bodega boutique con capacidad de producción de 200.000 litros anuales; los visitantes observan el proceso de vinificación por gravedad y cierran con una cata de varietales selectos (Viognier, Malbec, Syrah) y el corte Syrah-Tannat de alta gama.</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Estación 4 — Tradición y Autor: Mori Maglio Wines (El Asombrado)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 el km 473 de la Ruta 3. Microvinificación artesanal y familiar; experiencia íntima donde los propios productores reciben a los turistas, con degustación de vinos de autor y talleres prácticos de elaboración de grappa y vermouth artesanal.</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5.2. Público Objetivo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Beneficiarios directos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Entre los beneficiarios directos se encuentran, en primer lugar, los turistas de ocio y descanso: visitantes uruguayos y regionales alojados en el corredor termal de Daymán que buscan diversificar su estancia con un tour enogastronómico de media jornada. En segundo lugar, los enoturistas especializados: amantes de la cultura del vino de nivel socioeconómico medio-alto y alto, motivados por conocer el origen de la cepa Tannat. Y en tercer lugar, los establecimientos vitivinícolas asociados —Salto Chico, Bertolini &amp; Broglio y Mori Maglio—, que incrementan su facturación por venta directa y servicios de cata.</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Beneficiarios indirectos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Como beneficiarios indirectos se identifican, por un lado, la comunidad rural y los proveedores locales: pequeños productores de quesos, fiambres, panificados y mermeladas de Colonia Osimani y Parada Daymán. Por otro lado, los estudiantes y egresados de Hotelería, Turismo y Gastronomía del CENUR Litoral Norte (Udelar) y de la UTU, que acceden a pasantías y empleo calificado.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5.3. Misión y Visión</w:t>
      </w:r>
    </w:p>
    <w:p>
      <w:pPr>
        <w:keepNext w:val="false"/>
        <w:spacing w:after="160" w:line="240" w:lineRule="auto"/>
        <w:jc w:val="both"/>
      </w:pPr>
      <w:r>
        <w:rPr>
          <w:rFonts w:ascii="Times New Roman" w:cs="Times New Roman" w:eastAsia="Times New Roman" w:hAnsi="Times New Roman"/>
          <w:b/>
          <w:bCs/>
          <w:i w:val="false"/>
          <w:iCs w:val="false"/>
          <w:color w:val="000000"/>
          <w:sz w:val="24"/>
          <w:szCs w:val="24"/>
        </w:rPr>
        <w:t xml:space="preserve">Misión.</w:t>
      </w:r>
      <w:r>
        <w:rPr>
          <w:rFonts w:ascii="Times New Roman" w:cs="Times New Roman" w:eastAsia="Times New Roman" w:hAnsi="Times New Roman"/>
          <w:b w:val="false"/>
          <w:bCs w:val="false"/>
          <w:i w:val="false"/>
          <w:iCs w:val="false"/>
          <w:color w:val="000000"/>
          <w:sz w:val="24"/>
          <w:szCs w:val="24"/>
        </w:rPr>
        <w:t xml:space="preserve"> Diversificar la matriz turística del departamento de Salto mediante un circuito enoturístico que integre de forma sostenible la histórica “Cuna del Tannat” con los establecimientos boutique activos y la Ruta Termal, agregando valor al territorio y promoviendo el desarrollo de la comunidad local.</w:t>
      </w:r>
    </w:p>
    <w:p>
      <w:pPr>
        <w:keepNext w:val="false"/>
        <w:spacing w:after="160" w:line="240" w:lineRule="auto"/>
        <w:jc w:val="both"/>
      </w:pPr>
      <w:r>
        <w:rPr>
          <w:rFonts w:ascii="Times New Roman" w:cs="Times New Roman" w:eastAsia="Times New Roman" w:hAnsi="Times New Roman"/>
          <w:b/>
          <w:bCs/>
          <w:i w:val="false"/>
          <w:iCs w:val="false"/>
          <w:color w:val="000000"/>
          <w:sz w:val="24"/>
          <w:szCs w:val="24"/>
        </w:rPr>
        <w:t xml:space="preserve">Visión.</w:t>
      </w:r>
      <w:r>
        <w:rPr>
          <w:rFonts w:ascii="Times New Roman" w:cs="Times New Roman" w:eastAsia="Times New Roman" w:hAnsi="Times New Roman"/>
          <w:b w:val="false"/>
          <w:bCs w:val="false"/>
          <w:i w:val="false"/>
          <w:iCs w:val="false"/>
          <w:color w:val="000000"/>
          <w:sz w:val="24"/>
          <w:szCs w:val="24"/>
        </w:rPr>
        <w:t xml:space="preserve"> Posicionarse de cara a 2030 como la ruta enoturística integrada líder del norte de Uruguay, reconocida por la excelencia de sus servicios, la preservación activa de su patrimonio industrial y su modelo de desarrollo sostenible y asociativo.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5.4. Estructura Organizativa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circuito funciona bajo la dirección del Comité de Gestión del Circuito Enoturístico de Salto, un organismo de gobernanza multinivel concebido para superar la fragmentación sectorial.</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6</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Niveles de gobernanza del Comité de Gestión del Circuito Enoturístico</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2106"/>
        <w:gridCol w:w="5345"/>
        <w:gridCol w:w="1053"/>
      </w:tblGrid>
      <w:tr>
        <w:trPr>
          <w:cantSplit/>
        </w:trPr>
        <w:tc>
          <w:tcPr>
            <w:tcW w:type="dxa" w:w="2106"/>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Nivel</w:t>
            </w:r>
          </w:p>
        </w:tc>
        <w:tc>
          <w:tcPr>
            <w:tcW w:type="dxa" w:w="5345"/>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Función principal</w:t>
            </w:r>
          </w:p>
        </w:tc>
        <w:tc>
          <w:tcPr>
            <w:tcW w:type="dxa" w:w="1053"/>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Frecuencia</w:t>
            </w:r>
          </w:p>
        </w:tc>
      </w:tr>
      <w:tr>
        <w:trPr>
          <w:cantSplit/>
        </w:trPr>
        <w:tc>
          <w:tcPr>
            <w:tcW w:type="dxa" w:w="210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Dirección Ejecutiva del Comité</w:t>
            </w:r>
          </w:p>
        </w:tc>
        <w:tc>
          <w:tcPr>
            <w:tcW w:type="dxa" w:w="534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Coordina el calendario de salidas, el flujo de reservas de la app y la distribución de comisiones a hoteles y agencias</w:t>
            </w:r>
          </w:p>
        </w:tc>
        <w:tc>
          <w:tcPr>
            <w:tcW w:type="dxa" w:w="105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Semanal</w:t>
            </w:r>
          </w:p>
        </w:tc>
      </w:tr>
      <w:tr>
        <w:trPr>
          <w:cantSplit/>
        </w:trPr>
        <w:tc>
          <w:tcPr>
            <w:tcW w:type="dxa" w:w="210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Consejo Consultivo Técnico</w:t>
            </w:r>
          </w:p>
        </w:tc>
        <w:tc>
          <w:tcPr>
            <w:tcW w:type="dxa" w:w="534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Audita las prácticas agrícolas de las bodegas, actualiza la formación de guías y vela por la rigurosidad histórica de las narrativas</w:t>
            </w:r>
          </w:p>
        </w:tc>
        <w:tc>
          <w:tcPr>
            <w:tcW w:type="dxa" w:w="105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Semestral</w:t>
            </w:r>
          </w:p>
        </w:tc>
      </w:tr>
      <w:tr>
        <w:trPr>
          <w:cantSplit/>
        </w:trPr>
        <w:tc>
          <w:tcPr>
            <w:tcW w:type="dxa" w:w="210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Mesa Estratégica de Turismo de Salto (METS) — enlace</w:t>
            </w:r>
          </w:p>
        </w:tc>
        <w:tc>
          <w:tcPr>
            <w:tcW w:type="dxa" w:w="534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Articula al Comité con la política turística departamental</w:t>
            </w:r>
          </w:p>
        </w:tc>
        <w:tc>
          <w:tcPr>
            <w:tcW w:type="dxa" w:w="105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Según agenda departamental</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5.5. Marco Legal</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formalización y operación del circuito se rige por la Ley N.° 19.253 (Ley de Regulación de la Actividad Turística en Uruguay, IMPO, 2014), y el proyecto se alinea con sus disposiciones fundamentales. En cuanto a la declaración de interés nacional (Art. 1.º), el circuito promueve el crecimiento económico y el desarrollo cultural y social de la comunidad de Salto. En relación con el cumplimiento de los principios rectores (Art. 3.º), la propuesta incorpora la sostenibilidad —preservación de recursos naturales y agrícolas litorales—, la cooperación —mesa de cogestión público-privada—, la calidad —certificaciones internacionales de servicios— y la accesibilidad —goce del turismo para personas con discapacidad en todas las estaciones—. Respecto de la regulación de prácticas especializadas (Art. 25.º), la normativa clasifica al circuito como turismo especializado, exigiendo que guías y transportistas cuenten con registros y habilitaciones vigentes ante el MINTUR. Esta última exigencia se reglamenta en concreto mediante el Decreto N.° 278/015 (Uruguay. Poder Ejecutivo, 2015), que regula a las empresas de transporte turístico —aplicable al servicio de minibuses previsto en el itinerario operativo (6.4)— y condiciona su actividad a la inscripción anual ante el MINTUR y a la constitución de una garantía de funcionamiento.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este marco general se suma una normativa específica para el segmento enoturístico: el Decreto N.° 370/010 (Uruguay. Poder Ejecutivo, 2010) regula puntualmente el turismo enológico y de bodegas, otorgando la condición jurídica de prestador de servicios turísticos a todo establecimiento vitivinícola que ofrezca visitas, catas o gastronomía mediante cobro de tarifa —criterio directamente aplicable a Salto Chico, Bertolini &amp; Broglio y Mori Maglio— y condicionando su operativa a la inscripción en el Registro de Operadores del MINTUR, con acreditación notarial, certificados de BPS y DGI, croquis del predio y habilitación vigente del INAVI. Finalmente, la normativa sectorial de INAVI, con base en la Ley N.° 15.903 (Uruguay, 1987) que crea y regula al organismo, establece que los procesos de cata, venta de botellas cerradas y etiquetado deben ajustarse a los controles de calidad y reglamentaciones de circulación del Instituto Nacional de Vitivinicultura.</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Capítulo 6. Plan de Acción</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6.1. Estrategia de Marketing</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6.1.1. Posicionamiento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Se establece un posicionamiento premium basado en la diferenciación conceptual: el circuito no compite únicamente como destino de vinos, sino como una experiencia holística que combina el relax físico y la hidroterapia de las termas de Salto con el disfrute cultural e histórico de la cuna del vino de Uruguay.</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6.1.2. Producto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oferta se estructura en dos paquetes. El Paquete 1, “Vinos e Historias” (media jornada, 4 horas), incluye el traslado en minibús desde el hotel del visitante en Daymán, un recorrido interpretativo por las ruinas de la Bodega Harriague con degustación de copa de Tannat joven, y una visita técnica a Bertolini &amp; Broglio o Salto Chico con cata de tres varietales y quesos artesanales. El Paquete 2, “El Legado del Tannat” (jornada completa, 8 horas), abarca el recorrido de las cuatro estaciones, un almuerzo de maridaje de tres pasos, una cata guiada de seis vinos de reserva y la participación en el taller de elaboración artesanal de vermouth en Mori Maglio.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6.1.3. Precio</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7</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Estructura de costos y precios de los paquetes turísticos</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1920"/>
        <w:gridCol w:w="1646"/>
        <w:gridCol w:w="1097"/>
        <w:gridCol w:w="1509"/>
        <w:gridCol w:w="2332"/>
      </w:tblGrid>
      <w:tr>
        <w:trPr>
          <w:cantSplit/>
        </w:trPr>
        <w:tc>
          <w:tcPr>
            <w:tcW w:type="dxa" w:w="192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Producto</w:t>
            </w:r>
          </w:p>
        </w:tc>
        <w:tc>
          <w:tcPr>
            <w:tcW w:type="dxa" w:w="1646"/>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Costo variable (USD)</w:t>
            </w:r>
          </w:p>
        </w:tc>
        <w:tc>
          <w:tcPr>
            <w:tcW w:type="dxa" w:w="1097"/>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Margen (USD)</w:t>
            </w:r>
          </w:p>
        </w:tc>
        <w:tc>
          <w:tcPr>
            <w:tcW w:type="dxa" w:w="150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Precio venta (USD)</w:t>
            </w:r>
          </w:p>
        </w:tc>
        <w:tc>
          <w:tcPr>
            <w:tcW w:type="dxa" w:w="2332"/>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Canal recomendado</w:t>
            </w:r>
          </w:p>
        </w:tc>
      </w:tr>
      <w:tr>
        <w:trPr>
          <w:cantSplit/>
        </w:trPr>
        <w:tc>
          <w:tcPr>
            <w:tcW w:type="dxa" w:w="192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Paquete 1 (media jornada)</w:t>
            </w:r>
          </w:p>
        </w:tc>
        <w:tc>
          <w:tcPr>
            <w:tcW w:type="dxa" w:w="164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30,00</w:t>
            </w:r>
          </w:p>
        </w:tc>
        <w:tc>
          <w:tcPr>
            <w:tcW w:type="dxa" w:w="109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15,00</w:t>
            </w:r>
          </w:p>
        </w:tc>
        <w:tc>
          <w:tcPr>
            <w:tcW w:type="dxa" w:w="15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45,00</w:t>
            </w:r>
          </w:p>
        </w:tc>
        <w:tc>
          <w:tcPr>
            <w:tcW w:type="dxa" w:w="233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Conserjería de hoteles y app móvil</w:t>
            </w:r>
          </w:p>
        </w:tc>
      </w:tr>
      <w:tr>
        <w:trPr>
          <w:cantSplit/>
        </w:trPr>
        <w:tc>
          <w:tcPr>
            <w:tcW w:type="dxa" w:w="192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Paquete 2 (jornada completa)</w:t>
            </w:r>
          </w:p>
        </w:tc>
        <w:tc>
          <w:tcPr>
            <w:tcW w:type="dxa" w:w="164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60,00</w:t>
            </w:r>
          </w:p>
        </w:tc>
        <w:tc>
          <w:tcPr>
            <w:tcW w:type="dxa" w:w="109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35,00</w:t>
            </w:r>
          </w:p>
        </w:tc>
        <w:tc>
          <w:tcPr>
            <w:tcW w:type="dxa" w:w="15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95,00</w:t>
            </w:r>
          </w:p>
        </w:tc>
        <w:tc>
          <w:tcPr>
            <w:tcW w:type="dxa" w:w="233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Agencias receptivas y sitio web</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6.1.4. Plaza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comercialización combina dos canales. La venta directa digital se realiza a través del portal web y la aplicación móvil del Comité de Gestión, con motor de reservas en tiempo real y pasarela de pago seguro (Visa, Master, PayPal). La venta indirecta local (B2B) se apoya en la integración del circuito dentro de la oferta recomendada por hoteles de 3 y 4 estrellas, mediante la capacitación de ventas a recepcionistas y un enlace de reservas comisionable (10% sobre el PVP).</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6.1.5. Promoción</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estrategia de promoción se apoya en tres líneas de acción. En primer lugar, la publicidad digital segmentada en Instagram, Facebook y YouTube, georreferenciada en Montevideo, Buenos Aires, Rosario, Concordia y ciudades de Rio Grande do Sul (Porto Alegre, Uruguaiana). En segundo lugar, una estrategia binacional en la “Semana de Harriague”, que invita a críticos de vino y periodistas de turismo de Uruguay, Argentina y Brasil. Y en tercer lugar, la presencia en ferias internacionales, con stand propio en el espacio INAVI “Uruguay Wine” de la Expo Turismo de Uruguay, en Festuris (Gramado, Brasil) y en la London Wine Fair.</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6.2. Estrategia de Sostenibilidad</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estrategia de sostenibilidad se apoya en tres líneas de acción. En el plano agrícola, se persigue la certificación progresiva de la totalidad de los viñedos bajo el Plan de Uva Sostenible de INAVI. En el plano de la economía circular y el abastecimiento local, se prevé que el 100% de los insumos gastronómicos de maridaje sea adquirido a pequeños agricultores y cooperativas rurales de Colonia Osimani y Parada Daymán. Finalmente, se constituye un fondo de desarrollo de la caminería rural mediante un fideicomiso con el 3% del ingreso neto de la venta de pasajes, destinado a la reparación y el mantenimiento de las vías rurales de ripio.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6.3. Estrategia de Calidad</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estrategia de calidad se sostiene sobre tres pilares. El primero es la malla curricular de formación enoturística: un curso intensivo de 120 horas en hospitalidad enológica y guión interpretativo, coordinado por el CENUR Litoral Norte y la UTU, de carácter obligatorio para guías, choferes y personal de bodegas. El segundo es el manual de pautas de servicio unificado, que fija tiempos máximos de espera, vestimenta, normas de seguridad e higiene en cata y requisitos de accesibilidad física. El tercero es el bucle de retroalimentación QR, una evaluación interactiva mediante código QR en las copas de cata de obsequio, integrada al sistema de control de calidad del Comité de Gestión.</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6.4. Estrategia de Operaciones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6.4.1. Itinerario operativo — Paquete 1 (media jornada)</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8</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Itinerario operativo del Paquete 1 (media jornada)</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889"/>
        <w:gridCol w:w="2135"/>
        <w:gridCol w:w="5480"/>
      </w:tblGrid>
      <w:tr>
        <w:trPr>
          <w:cantSplit/>
        </w:trPr>
        <w:tc>
          <w:tcPr>
            <w:tcW w:type="dxa" w:w="88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Horario</w:t>
            </w:r>
          </w:p>
        </w:tc>
        <w:tc>
          <w:tcPr>
            <w:tcW w:type="dxa" w:w="2135"/>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Actividad</w:t>
            </w:r>
          </w:p>
        </w:tc>
        <w:tc>
          <w:tcPr>
            <w:tcW w:type="dxa" w:w="548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Detalle</w:t>
            </w:r>
          </w:p>
        </w:tc>
      </w:tr>
      <w:tr>
        <w:trPr>
          <w:cantSplit/>
        </w:trPr>
        <w:tc>
          <w:tcPr>
            <w:tcW w:type="dxa" w:w="88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09:00</w:t>
            </w:r>
          </w:p>
        </w:tc>
        <w:tc>
          <w:tcPr>
            <w:tcW w:type="dxa" w:w="213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Recepción de pasajeros</w:t>
            </w:r>
          </w:p>
        </w:tc>
        <w:tc>
          <w:tcPr>
            <w:tcW w:type="dxa" w:w="54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Recorrido de recogida por hoteles de Daymán y del centro de Salto</w:t>
            </w:r>
          </w:p>
        </w:tc>
      </w:tr>
      <w:tr>
        <w:trPr>
          <w:cantSplit/>
        </w:trPr>
        <w:tc>
          <w:tcPr>
            <w:tcW w:type="dxa" w:w="88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09:30</w:t>
            </w:r>
          </w:p>
        </w:tc>
        <w:tc>
          <w:tcPr>
            <w:tcW w:type="dxa" w:w="213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Estación 1 — Espacio Harriague</w:t>
            </w:r>
          </w:p>
        </w:tc>
        <w:tc>
          <w:tcPr>
            <w:tcW w:type="dxa" w:w="54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60 min: historia de Pascual Harriague, bocado vasco y cata de Tannat joven</w:t>
            </w:r>
          </w:p>
        </w:tc>
      </w:tr>
      <w:tr>
        <w:trPr>
          <w:cantSplit/>
        </w:trPr>
        <w:tc>
          <w:tcPr>
            <w:tcW w:type="dxa" w:w="88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10:45</w:t>
            </w:r>
          </w:p>
        </w:tc>
        <w:tc>
          <w:tcPr>
            <w:tcW w:type="dxa" w:w="213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Traslado terrestre</w:t>
            </w:r>
          </w:p>
        </w:tc>
        <w:tc>
          <w:tcPr>
            <w:tcW w:type="dxa" w:w="54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30 min hacia Colonia Osimani o Parada Daymán</w:t>
            </w:r>
          </w:p>
        </w:tc>
      </w:tr>
      <w:tr>
        <w:trPr>
          <w:cantSplit/>
        </w:trPr>
        <w:tc>
          <w:tcPr>
            <w:tcW w:type="dxa" w:w="88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11:15</w:t>
            </w:r>
          </w:p>
        </w:tc>
        <w:tc>
          <w:tcPr>
            <w:tcW w:type="dxa" w:w="213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Estación 2 o 3</w:t>
            </w:r>
          </w:p>
        </w:tc>
        <w:tc>
          <w:tcPr>
            <w:tcW w:type="dxa" w:w="54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90 min: visita a viñedos y planta, cata técnica de tres varietales con quesos</w:t>
            </w:r>
          </w:p>
        </w:tc>
      </w:tr>
      <w:tr>
        <w:trPr>
          <w:cantSplit/>
        </w:trPr>
        <w:tc>
          <w:tcPr>
            <w:tcW w:type="dxa" w:w="88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12:45</w:t>
            </w:r>
          </w:p>
        </w:tc>
        <w:tc>
          <w:tcPr>
            <w:tcW w:type="dxa" w:w="213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Acceso a tienda y retorno</w:t>
            </w:r>
          </w:p>
        </w:tc>
        <w:tc>
          <w:tcPr>
            <w:tcW w:type="dxa" w:w="54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15 min de compra de botellas en bodega; inicio del regreso</w:t>
            </w:r>
          </w:p>
        </w:tc>
      </w:tr>
      <w:tr>
        <w:trPr>
          <w:cantSplit/>
        </w:trPr>
        <w:tc>
          <w:tcPr>
            <w:tcW w:type="dxa" w:w="88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13:15</w:t>
            </w:r>
          </w:p>
        </w:tc>
        <w:tc>
          <w:tcPr>
            <w:tcW w:type="dxa" w:w="213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Cierre de itinerario</w:t>
            </w:r>
          </w:p>
        </w:tc>
        <w:tc>
          <w:tcPr>
            <w:tcW w:type="dxa" w:w="54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Descenso de pasajeros en sus hoteles de origen</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6.4.2. Itinerario operativo — Paquete 2 (jornada completa)</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9</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Itinerario operativo del Paquete 2 (jornada completa)</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900"/>
        <w:gridCol w:w="2617"/>
        <w:gridCol w:w="4987"/>
      </w:tblGrid>
      <w:tr>
        <w:trPr>
          <w:cantSplit/>
        </w:trPr>
        <w:tc>
          <w:tcPr>
            <w:tcW w:type="dxa" w:w="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Horario</w:t>
            </w:r>
          </w:p>
        </w:tc>
        <w:tc>
          <w:tcPr>
            <w:tcW w:type="dxa" w:w="2617"/>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Actividad</w:t>
            </w:r>
          </w:p>
        </w:tc>
        <w:tc>
          <w:tcPr>
            <w:tcW w:type="dxa" w:w="4987"/>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Detalle</w:t>
            </w:r>
          </w:p>
        </w:tc>
      </w:tr>
      <w:tr>
        <w:trPr>
          <w:cantSplit/>
        </w:trPr>
        <w:tc>
          <w:tcPr>
            <w:tcW w:type="dxa" w:w="90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08:30</w:t>
            </w:r>
          </w:p>
        </w:tc>
        <w:tc>
          <w:tcPr>
            <w:tcW w:type="dxa" w:w="261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Recepción de pasajeros</w:t>
            </w:r>
          </w:p>
        </w:tc>
        <w:tc>
          <w:tcPr>
            <w:tcW w:type="dxa" w:w="498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Recorrido por hoteles de Daymán, Arapey y centro de Salto</w:t>
            </w:r>
          </w:p>
        </w:tc>
      </w:tr>
      <w:tr>
        <w:trPr>
          <w:cantSplit/>
        </w:trPr>
        <w:tc>
          <w:tcPr>
            <w:tcW w:type="dxa" w:w="90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09:00</w:t>
            </w:r>
          </w:p>
        </w:tc>
        <w:tc>
          <w:tcPr>
            <w:tcW w:type="dxa" w:w="261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Estación 1 — Espacio Harriague</w:t>
            </w:r>
          </w:p>
        </w:tc>
        <w:tc>
          <w:tcPr>
            <w:tcW w:type="dxa" w:w="498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Recorrido interpretativo completo con degustación</w:t>
            </w:r>
          </w:p>
        </w:tc>
      </w:tr>
      <w:tr>
        <w:trPr>
          <w:cantSplit/>
        </w:trPr>
        <w:tc>
          <w:tcPr>
            <w:tcW w:type="dxa" w:w="90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10:30</w:t>
            </w:r>
          </w:p>
        </w:tc>
        <w:tc>
          <w:tcPr>
            <w:tcW w:type="dxa" w:w="261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Estación 2 — Salto Chico</w:t>
            </w:r>
          </w:p>
        </w:tc>
        <w:tc>
          <w:tcPr>
            <w:tcW w:type="dxa" w:w="498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Viñedos, vinificación y cata con maridaje</w:t>
            </w:r>
          </w:p>
        </w:tc>
      </w:tr>
      <w:tr>
        <w:trPr>
          <w:cantSplit/>
        </w:trPr>
        <w:tc>
          <w:tcPr>
            <w:tcW w:type="dxa" w:w="90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12:15</w:t>
            </w:r>
          </w:p>
        </w:tc>
        <w:tc>
          <w:tcPr>
            <w:tcW w:type="dxa" w:w="261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Almuerzo de maridaje</w:t>
            </w:r>
          </w:p>
        </w:tc>
        <w:tc>
          <w:tcPr>
            <w:tcW w:type="dxa" w:w="498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Tres pasos, carnes asadas y platos típicos salteños en bodega</w:t>
            </w:r>
          </w:p>
        </w:tc>
      </w:tr>
      <w:tr>
        <w:trPr>
          <w:cantSplit/>
        </w:trPr>
        <w:tc>
          <w:tcPr>
            <w:tcW w:type="dxa" w:w="90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14:00</w:t>
            </w:r>
          </w:p>
        </w:tc>
        <w:tc>
          <w:tcPr>
            <w:tcW w:type="dxa" w:w="261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Estación 3 — Bertolini &amp; Broglio</w:t>
            </w:r>
          </w:p>
        </w:tc>
        <w:tc>
          <w:tcPr>
            <w:tcW w:type="dxa" w:w="498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Vinificación por gravedad y cata de varietales de reserva</w:t>
            </w:r>
          </w:p>
        </w:tc>
      </w:tr>
      <w:tr>
        <w:trPr>
          <w:cantSplit/>
        </w:trPr>
        <w:tc>
          <w:tcPr>
            <w:tcW w:type="dxa" w:w="90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16:00</w:t>
            </w:r>
          </w:p>
        </w:tc>
        <w:tc>
          <w:tcPr>
            <w:tcW w:type="dxa" w:w="261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Estación 4 — Mori Maglio</w:t>
            </w:r>
          </w:p>
        </w:tc>
        <w:tc>
          <w:tcPr>
            <w:tcW w:type="dxa" w:w="498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Taller artesanal de vermouth y cata de vinos de autor</w:t>
            </w:r>
          </w:p>
        </w:tc>
      </w:tr>
      <w:tr>
        <w:trPr>
          <w:cantSplit/>
        </w:trPr>
        <w:tc>
          <w:tcPr>
            <w:tcW w:type="dxa" w:w="90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17:30</w:t>
            </w:r>
          </w:p>
        </w:tc>
        <w:tc>
          <w:tcPr>
            <w:tcW w:type="dxa" w:w="261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Retorno y cierre</w:t>
            </w:r>
          </w:p>
        </w:tc>
        <w:tc>
          <w:tcPr>
            <w:tcW w:type="dxa" w:w="498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Traslado a hoteles de origen</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keepNext w:val="false"/>
        <w:spacing w:after="160" w:line="240" w:lineRule="auto"/>
        <w:jc w:val="both"/>
      </w:pPr>
      <w:r>
        <w:rPr>
          <w:rFonts w:ascii="Times New Roman" w:cs="Times New Roman" w:eastAsia="Times New Roman" w:hAnsi="Times New Roman"/>
          <w:b/>
          <w:bCs/>
          <w:i w:val="false"/>
          <w:iCs w:val="false"/>
          <w:color w:val="000000"/>
          <w:sz w:val="24"/>
          <w:szCs w:val="24"/>
        </w:rPr>
        <w:t xml:space="preserve">Calendario operativo.</w:t>
      </w:r>
      <w:r>
        <w:rPr>
          <w:rFonts w:ascii="Times New Roman" w:cs="Times New Roman" w:eastAsia="Times New Roman" w:hAnsi="Times New Roman"/>
          <w:b w:val="false"/>
          <w:bCs w:val="false"/>
          <w:i w:val="false"/>
          <w:iCs w:val="false"/>
          <w:color w:val="000000"/>
          <w:sz w:val="24"/>
          <w:szCs w:val="24"/>
        </w:rPr>
        <w:t xml:space="preserve"> El circuito opera con salidas regulares de jueves a domingo, días de mayor afluencia de turistas termales. El Espacio Harriague permanece abierto para visitas culturales autoguiadas de lunes a miércoles, bajo supervisión del Centro Vasco de Salto.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6.4.3. Gestión de proveedores y reservas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Comité de Gestión centraliza los acuerdos con las tres bodegas asociadas, los proveedores gastronómicos locales y la empresa de transporte, mediante convenios anuales que fijan cupos mínimos, estándares de calidad y condiciones de pago. El motor de reservas de la app asigna automáticamente los turnos disponibles en cada bodega según capacidad declarada, evitando la sobreventa; los cambios o cancelaciones con menos de 24 horas de anticipación se gestionan según la política de cancelación publicada en el sitio web.</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6.4.4. Protocolos de seguridad, accesibilidad y contingencia climática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 cumplimiento del principio de accesibilidad de la Ley N.° 19.253, cada estación cuenta con un recorrido alternativo apto para personas con movilidad reducida y material interpretativo en formatos accesibles. Ante lluvias que afecten la caminería rural de Colonia Osimani o Parada Daymán, el protocolo de contingencia prevé: (a) confirmación del estado de las vías con la Intendencia de Salto antes de las 07:00 del día de salida; (b) reemplazo de las estaciones rurales por la Estación 1 (Espacio Harriague, de acceso pavimentado) y una bodega alcanzable por ruta asfaltada; (c) comunicación inmediata a los pasajeros y hoteles asociados por la app y por mensaje de texto. Los conductores y guías reciben formación en primeros auxilios básicos como parte de la malla curricular de 120 horas (6.3).</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6.5. Planificación Financiera</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6.5.1. Análisis de Costos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Costos fijos del Comité de Gestión (mensuales): coordinador del circuito y reservas (USD 200); publicidad digital y redes sociales (USD 450); soporte del portal web y motor de reservas (USD 150); seguro de responsabilidad civil turística colectiva (USD 200). Total mensual: USD 2.000 (anualizado: USD 24.000).</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Costos variables por turista (Paquete 1): logística y transporte (USD 8); copa de obsequio, vino y tabla de quesos (USD 12); honorario proporcional del guía (USD 5); comisión al conserje del hotel (10% del PVP, USD 4); folleto interpretativo y bolsa de transporte (USD 1). Total: USD 30 por turista.</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6.5.2. Proyecciones</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10</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Proyección financiera a cinco años</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2958"/>
        <w:gridCol w:w="1109"/>
        <w:gridCol w:w="1109"/>
        <w:gridCol w:w="1109"/>
        <w:gridCol w:w="1109"/>
        <w:gridCol w:w="1109"/>
      </w:tblGrid>
      <w:tr>
        <w:trPr>
          <w:cantSplit/>
        </w:trPr>
        <w:tc>
          <w:tcPr>
            <w:tcW w:type="dxa" w:w="295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Concepto</w:t>
            </w:r>
          </w:p>
        </w:tc>
        <w:tc>
          <w:tcPr>
            <w:tcW w:type="dxa" w:w="110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Año 1</w:t>
            </w:r>
          </w:p>
        </w:tc>
        <w:tc>
          <w:tcPr>
            <w:tcW w:type="dxa" w:w="110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Año 2</w:t>
            </w:r>
          </w:p>
        </w:tc>
        <w:tc>
          <w:tcPr>
            <w:tcW w:type="dxa" w:w="110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Año 3</w:t>
            </w:r>
          </w:p>
        </w:tc>
        <w:tc>
          <w:tcPr>
            <w:tcW w:type="dxa" w:w="110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Año 4</w:t>
            </w:r>
          </w:p>
        </w:tc>
        <w:tc>
          <w:tcPr>
            <w:tcW w:type="dxa" w:w="110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Año 5</w:t>
            </w:r>
          </w:p>
        </w:tc>
      </w:tr>
      <w:tr>
        <w:trPr>
          <w:cantSplit/>
        </w:trPr>
        <w:tc>
          <w:tcPr>
            <w:tcW w:type="dxa" w:w="295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Turistas captados</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3.630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4.500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5.400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6.200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7.000</w:t>
            </w:r>
          </w:p>
        </w:tc>
      </w:tr>
      <w:tr>
        <w:trPr>
          <w:cantSplit/>
        </w:trPr>
        <w:tc>
          <w:tcPr>
            <w:tcW w:type="dxa" w:w="295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Precio promedio (USD)</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45,00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45,00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48,00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48,00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50,00</w:t>
            </w:r>
          </w:p>
        </w:tc>
      </w:tr>
      <w:tr>
        <w:trPr>
          <w:cantSplit/>
        </w:trPr>
        <w:tc>
          <w:tcPr>
            <w:tcW w:type="dxa" w:w="295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Ingresos totales (USD)</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163.350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202.500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259.200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297.600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350.000</w:t>
            </w:r>
          </w:p>
        </w:tc>
      </w:tr>
      <w:tr>
        <w:trPr>
          <w:cantSplit/>
        </w:trPr>
        <w:tc>
          <w:tcPr>
            <w:tcW w:type="dxa" w:w="295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Costos variables (USD)</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108.900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135.000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162.000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186.000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210.000</w:t>
            </w:r>
          </w:p>
        </w:tc>
      </w:tr>
      <w:tr>
        <w:trPr>
          <w:cantSplit/>
        </w:trPr>
        <w:tc>
          <w:tcPr>
            <w:tcW w:type="dxa" w:w="295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Costos fijos (USD)</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24.000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24.000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26.000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26.000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28.000</w:t>
            </w:r>
          </w:p>
        </w:tc>
      </w:tr>
      <w:tr>
        <w:trPr>
          <w:cantSplit/>
        </w:trPr>
        <w:tc>
          <w:tcPr>
            <w:tcW w:type="dxa" w:w="295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Flujo de caja neto (USD)</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30.450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43.500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71.200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85.600</w:t>
            </w:r>
          </w:p>
        </w:tc>
        <w:tc>
          <w:tcPr>
            <w:tcW w:type="dxa" w:w="110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112.000</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Año 1 proyecta captar 3.630 turistas, equivalentes a solo el 0,8% de los 453.936 visitantes que recibe anualmente el Litoral Termal.</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6.5.3. Punto de Equilibrio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punto de equilibrio anual en volumen de pasajeros se calcula como PE = CF / (PVU − CVU), donde CF son los Costos Fijos Anuales (USD 24.000), PVU es el Precio de Venta Unitario del Paquete 1 (USD 45) y CVU es el Costo Variable Unitario (USD 30). Sustituyendo: PE = 24.000 / (45 − 30) = 24.000 / 15 = 1.600 turistas al año.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El circuito requiere captar un mínimo de 1.600 turistas anuales (aproximadamente 133 por mes, o 33 por fin de semana de operación) para equilibrar sus costos. Frente al volumen de más de 450.000 personas que anualmente componen la demanda del corredor termal, la probabilidad de superar el punto de equilibrio es alta, exigiendo captar solo el 0,35% del mercado potencial.</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6.5.4. ROI e Indicadores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Sobre una inversión inicial de USD 45.000 (desarrollo de la plataforma de reservas, mobiliario de cata, cartelería interpretativa y campaña de prelanzamiento), el retorno de la inversión del Año 1 se calcula como ROI = (Flujo de caja neto / Inversión inicial) × 100 = (30.450 / 45.000) × 100 ≈ 67,7%.</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 un horizonte de 5 años y una tasa de descuento del 12%, el Valor Actual Neto (VAN) alcanza USD 192.418, confirmando la viabilidad económica del proyecto. La Tasa Interna de Retorno (TIR) se sitúa en 84%, valor elevado derivado de la estructura ligera de activos fijos, que aprovecha infraestructura hotelera, vial y de bodegas ya existente en el departamento.</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6.5.5. Fuentes de Inversión</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11</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Fuentes de inversión inicial</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3610"/>
        <w:gridCol w:w="979"/>
        <w:gridCol w:w="3916"/>
      </w:tblGrid>
      <w:tr>
        <w:trPr>
          <w:cantSplit/>
        </w:trPr>
        <w:tc>
          <w:tcPr>
            <w:tcW w:type="dxa" w:w="361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Fuente</w:t>
            </w:r>
          </w:p>
        </w:tc>
        <w:tc>
          <w:tcPr>
            <w:tcW w:type="dxa" w:w="97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 / Monto</w:t>
            </w:r>
          </w:p>
        </w:tc>
        <w:tc>
          <w:tcPr>
            <w:tcW w:type="dxa" w:w="3916"/>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Destino</w:t>
            </w:r>
          </w:p>
        </w:tc>
      </w:tr>
      <w:tr>
        <w:trPr>
          <w:cantSplit/>
        </w:trPr>
        <w:tc>
          <w:tcPr>
            <w:tcW w:type="dxa" w:w="361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Fondo Concursable Nacional MINTUR/INAVI</w:t>
            </w:r>
          </w:p>
        </w:tc>
        <w:tc>
          <w:tcPr>
            <w:tcW w:type="dxa" w:w="97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60% — USD 27.000</w:t>
            </w:r>
          </w:p>
        </w:tc>
        <w:tc>
          <w:tcPr>
            <w:tcW w:type="dxa" w:w="391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Portal digital, app móvil y cartelería interpretativa</w:t>
            </w:r>
          </w:p>
        </w:tc>
      </w:tr>
      <w:tr>
        <w:trPr>
          <w:cantSplit/>
        </w:trPr>
        <w:tc>
          <w:tcPr>
            <w:tcW w:type="dxa" w:w="361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Aporte de capital privado asociativo (bodegas)</w:t>
            </w:r>
          </w:p>
        </w:tc>
        <w:tc>
          <w:tcPr>
            <w:tcW w:type="dxa" w:w="97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30% — USD 13.500</w:t>
            </w:r>
          </w:p>
        </w:tc>
        <w:tc>
          <w:tcPr>
            <w:tcW w:type="dxa" w:w="391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Equipamiento de cata y folletería inicial</w:t>
            </w:r>
          </w:p>
        </w:tc>
      </w:tr>
      <w:tr>
        <w:trPr>
          <w:cantSplit/>
        </w:trPr>
        <w:tc>
          <w:tcPr>
            <w:tcW w:type="dxa" w:w="361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Fideicomiso de Cooperación Municipal (Intendencia de Salto)</w:t>
            </w:r>
          </w:p>
        </w:tc>
        <w:tc>
          <w:tcPr>
            <w:tcW w:type="dxa" w:w="97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10% — USD 4.500</w:t>
            </w:r>
          </w:p>
        </w:tc>
        <w:tc>
          <w:tcPr>
            <w:tcW w:type="dxa" w:w="391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Acondicionamiento de accesos y seguridad en el Espacio Harriague</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6.6. Calendario de Implantación</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Cronograma de puesta en marcha del proyecto, desde la postulación a fondos hasta la operación regular. Los plazos son estimaciones a ajustar según los tiempos reales de resolución de cada convocatoria.</w:t>
      </w:r>
    </w:p>
    <w:p>
      <w:pPr>
        <w:keepNext/>
        <w:spacing w:after="0" w:before="200" w:line="240" w:lineRule="auto"/>
        <w:jc w:val="left"/>
      </w:pPr>
      <w:r>
        <w:rPr>
          <w:rFonts w:ascii="Times New Roman" w:cs="Times New Roman" w:eastAsia="Times New Roman" w:hAnsi="Times New Roman"/>
          <w:b w:val="false"/>
          <w:bCs w:val="false"/>
          <w:i w:val="false"/>
          <w:iCs w:val="false"/>
          <w:color w:val="000000"/>
          <w:sz w:val="24"/>
          <w:szCs w:val="24"/>
        </w:rPr>
        <w:t xml:space="preserve">Tabla 12</w:t>
      </w:r>
    </w:p>
    <w:p>
      <w:pPr>
        <w:keepNext/>
        <w:spacing w:after="120" w:before="0" w:line="240" w:lineRule="auto"/>
        <w:jc w:val="left"/>
      </w:pPr>
      <w:r>
        <w:rPr>
          <w:rFonts w:ascii="Times New Roman" w:cs="Times New Roman" w:eastAsia="Times New Roman" w:hAnsi="Times New Roman"/>
          <w:b w:val="false"/>
          <w:bCs w:val="false"/>
          <w:i/>
          <w:iCs/>
          <w:color w:val="000000"/>
          <w:sz w:val="24"/>
          <w:szCs w:val="24"/>
        </w:rPr>
        <w:t xml:space="preserve">Calendario de implantación del proyecto</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843"/>
        <w:gridCol w:w="859"/>
        <w:gridCol w:w="5307"/>
        <w:gridCol w:w="1495"/>
      </w:tblGrid>
      <w:tr>
        <w:trPr>
          <w:cantSplit/>
        </w:trPr>
        <w:tc>
          <w:tcPr>
            <w:tcW w:type="dxa" w:w="843"/>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Fase</w:t>
            </w:r>
          </w:p>
        </w:tc>
        <w:tc>
          <w:tcPr>
            <w:tcW w:type="dxa" w:w="859"/>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Plazo estimado</w:t>
            </w:r>
          </w:p>
        </w:tc>
        <w:tc>
          <w:tcPr>
            <w:tcW w:type="dxa" w:w="5307"/>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Actividades principales</w:t>
            </w:r>
          </w:p>
        </w:tc>
        <w:tc>
          <w:tcPr>
            <w:tcW w:type="dxa" w:w="1495"/>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Responsable</w:t>
            </w:r>
          </w:p>
        </w:tc>
      </w:tr>
      <w:tr>
        <w:trPr>
          <w:cantSplit/>
        </w:trPr>
        <w:tc>
          <w:tcPr>
            <w:tcW w:type="dxa" w:w="84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0</w:t>
            </w:r>
          </w:p>
        </w:tc>
        <w:tc>
          <w:tcPr>
            <w:tcW w:type="dxa" w:w="85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Trimestre 1</w:t>
            </w:r>
          </w:p>
        </w:tc>
        <w:tc>
          <w:tcPr>
            <w:tcW w:type="dxa" w:w="530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Constitución formal del Comité de Gestión; convenios preliminares con las 3 bodegas, el Centro Vasco y hoteles de Daymán</w:t>
            </w:r>
          </w:p>
        </w:tc>
        <w:tc>
          <w:tcPr>
            <w:tcW w:type="dxa" w:w="149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Comité de Gestión / METS</w:t>
            </w:r>
          </w:p>
        </w:tc>
      </w:tr>
      <w:tr>
        <w:trPr>
          <w:cantSplit/>
        </w:trPr>
        <w:tc>
          <w:tcPr>
            <w:tcW w:type="dxa" w:w="84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85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Trimestre 1-2</w:t>
            </w:r>
          </w:p>
        </w:tc>
        <w:tc>
          <w:tcPr>
            <w:tcW w:type="dxa" w:w="530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Postulación al Fondo Concursable MINTUR-ANDE y al Fondo Enoturismo MINTUR-INAVI</w:t>
            </w:r>
          </w:p>
        </w:tc>
        <w:tc>
          <w:tcPr>
            <w:tcW w:type="dxa" w:w="149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Dirección Ejecutiva del Comité</w:t>
            </w:r>
          </w:p>
        </w:tc>
      </w:tr>
      <w:tr>
        <w:trPr>
          <w:cantSplit/>
        </w:trPr>
        <w:tc>
          <w:tcPr>
            <w:tcW w:type="dxa" w:w="84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85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Trimestre 2-3</w:t>
            </w:r>
          </w:p>
        </w:tc>
        <w:tc>
          <w:tcPr>
            <w:tcW w:type="dxa" w:w="530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Inicio de certificación Uruguay Sustainable Winegrowing en las bodegas participantes; adecuación de accesos peatonales en el Espacio Harriague</w:t>
            </w:r>
          </w:p>
        </w:tc>
        <w:tc>
          <w:tcPr>
            <w:tcW w:type="dxa" w:w="149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Bodegas asociadas / Intendencia de Salto</w:t>
            </w:r>
          </w:p>
        </w:tc>
      </w:tr>
      <w:tr>
        <w:trPr>
          <w:cantSplit/>
        </w:trPr>
        <w:tc>
          <w:tcPr>
            <w:tcW w:type="dxa" w:w="84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85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Trimestre 3</w:t>
            </w:r>
          </w:p>
        </w:tc>
        <w:tc>
          <w:tcPr>
            <w:tcW w:type="dxa" w:w="530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Desarrollo del portal web y la app móvil con motor de reservas y pasarela de pagos</w:t>
            </w:r>
          </w:p>
        </w:tc>
        <w:tc>
          <w:tcPr>
            <w:tcW w:type="dxa" w:w="149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Proveedor TI contratado</w:t>
            </w:r>
          </w:p>
        </w:tc>
      </w:tr>
      <w:tr>
        <w:trPr>
          <w:cantSplit/>
        </w:trPr>
        <w:tc>
          <w:tcPr>
            <w:tcW w:type="dxa" w:w="84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85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Trimestre 3-4</w:t>
            </w:r>
          </w:p>
        </w:tc>
        <w:tc>
          <w:tcPr>
            <w:tcW w:type="dxa" w:w="530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Capacitación de 120 horas para guías, choferes y personal de bodegas (CENUR Litoral Norte / UTU)</w:t>
            </w:r>
          </w:p>
        </w:tc>
        <w:tc>
          <w:tcPr>
            <w:tcW w:type="dxa" w:w="149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Consejo Consultivo Técnico</w:t>
            </w:r>
          </w:p>
        </w:tc>
      </w:tr>
      <w:tr>
        <w:trPr>
          <w:cantSplit/>
        </w:trPr>
        <w:tc>
          <w:tcPr>
            <w:tcW w:type="dxa" w:w="84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85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Trimestre 4</w:t>
            </w:r>
          </w:p>
        </w:tc>
        <w:tc>
          <w:tcPr>
            <w:tcW w:type="dxa" w:w="530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Campaña de prelanzamiento digital y presentación en la Semana de Harriague</w:t>
            </w:r>
          </w:p>
        </w:tc>
        <w:tc>
          <w:tcPr>
            <w:tcW w:type="dxa" w:w="149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Comité de Gestión</w:t>
            </w:r>
          </w:p>
        </w:tc>
      </w:tr>
      <w:tr>
        <w:trPr>
          <w:cantSplit/>
        </w:trPr>
        <w:tc>
          <w:tcPr>
            <w:tcW w:type="dxa" w:w="843"/>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859"/>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Trimestre 4 en adelante</w:t>
            </w:r>
          </w:p>
        </w:tc>
        <w:tc>
          <w:tcPr>
            <w:tcW w:type="dxa" w:w="530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Salida operativa piloto (Paquete 1), evaluación con el bucle QR y ajuste de la operativa antes de sumar el Paquete 2 completo</w:t>
            </w:r>
          </w:p>
        </w:tc>
        <w:tc>
          <w:tcPr>
            <w:tcW w:type="dxa" w:w="1495"/>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Comité de Gestión</w:t>
            </w:r>
          </w:p>
        </w:tc>
      </w:tr>
    </w:tbl>
    <w:p>
      <w:pPr>
        <w:spacing w:after="160"/>
      </w:pPr>
    </w:p>
    <w:p>
      <w:pPr>
        <w:spacing w:after="200" w:before="80" w:line="240" w:lineRule="auto"/>
        <w:jc w:val="left"/>
      </w:pPr>
      <w:r>
        <w:rPr>
          <w:rFonts w:ascii="Times New Roman" w:cs="Times New Roman" w:eastAsia="Times New Roman" w:hAnsi="Times New Roman"/>
          <w:b w:val="false"/>
          <w:bCs w:val="false"/>
          <w:i/>
          <w:iCs/>
          <w:color w:val="000000"/>
          <w:sz w:val="22"/>
          <w:szCs w:val="22"/>
        </w:rPr>
        <w:t xml:space="preserve">Nota.</w:t>
      </w:r>
      <w:r>
        <w:rPr>
          <w:rFonts w:ascii="Times New Roman" w:cs="Times New Roman" w:eastAsia="Times New Roman" w:hAnsi="Times New Roman"/>
          <w:b w:val="false"/>
          <w:bCs w:val="false"/>
          <w:i w:val="false"/>
          <w:iCs w:val="false"/>
          <w:color w:val="000000"/>
          <w:sz w:val="22"/>
          <w:szCs w:val="22"/>
        </w:rPr>
        <w:t xml:space="preserve"> Elaboración propia.</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Capítulo 7. Reflexiones Finales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realización de este proyecto de fin de carrera evidencia que el departamento de Salto dispone de las condiciones básicas para llevar a cabo una reconversión y diversificación de su oferta turística tradicional. La excesiva dependencia del turismo termal ha limitado el potencial de rentabilidad del destino, consolidando un perfil de visitante de bajo gasto que restringe el desarrollo económico de las comunidades rurales y de pequeña escala de la región.</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La hibridación estratégica de la Ruta Termal con la riqueza histórica de Salto como la “Cuna del Tannat” representa la alternativa más sólida para desestacionalizar la demanda, incrementar el gasto diario por persona y revitalizar la herencia cultural regional. El diseño del circuito demuestra la viabilidad técnica y financiera de un modelo de negocio que aprovecha las infraestructuras ya construidas y las complementa con herramientas de digitalización de reservas, interpretación patrimonial activa y protocolos de calidad internacional.</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Al conectar la antigua Bodega Harriague con establecimientos boutique en funcionamiento como Salto Chico, Bertolini &amp; Broglio y Mori Maglio, se conforma un producto complejo de alto valor percibido, capaz de competir en el dinámico mercado del enoturismo regional. El bajo nivel del punto de equilibrio financiero (1.600 turistas anuales, frente a los más de 450.000 que recibe el corredor termal) y la elevada tasa de retorno proyectada —VAN de USD 192.418 y TIR de 84% a cinco años— confirman que el aprovechamiento de los flujos termales reduce drásticamente el riesgo de inversión para los pequeños vitivinicultores locales.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Finalmente, la sostenibilidad a largo plazo de este circuito no dependerá únicamente de la campaña publicitaria o de la calidad del vino Tannat. El factor crítico para el éxito radica en la consolidación del Comité de Gestión de la Ruta, una estructura de gobernanza asociativa que exige del sector público departamental, la sociedad civil y las bodegas privadas un compromiso de cooperación continua y de estandarización de servicios. Al superar la fragmentación operativa histórica, Salto no solo recuperará competitividad frente a los destinos del sur del país, sino que consolidará un modelo de desarrollo territorial donde el patrimonio, la sostenibilidad y el descanso se conjugan en beneficio de sus habitantes y visitantes.</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Referencias Bibliográficas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Agencia Nacional de Desarrollo [ANDE] &amp; Ministerio de Turismo. (2026). Bases del Fondo Concursable para Emprendimientos Turísticos en Destinos Emergentes MINTUR-ANDE. https://www.ande.org.uy/images/2026/Emprendimientos/Bases_Fondo_Concursable_para_Emprendimientos_Turisticos_en_Destinos_Emergentes_MINTUR_-_ANDE_-_Nautico_revisado_ANDE.pdf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Ahlfert, C. (2012). El viaje como experiencia [Trabajo final, Postgrado en Turismo Sostenible Internacional]. Universidad Rafael Landívar. https://dau.url.edu/bitstream/handle/20.500.14342/4340/Ahlfert_PTSI_ElVi.pdf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Bodega Salto Chico. (s.f.-a). Bodega boutique. Recuperado el 28 de agosto de 2026, de https://www.saltochico.com.uy/</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Bodega Salto Chico. (s.f.-b). Contacto. https://www.saltochico.com.uy/contacto.php</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Bodega Salto Chico. (s.f.-c). Viñas y bodega. https://www.saltochico.com.uy/vinas-bodegas.php</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Bodegas de Uruguay. (s.f.). Salto. https://bodegasdeuruguay.com/salto/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Cámara Uruguaya de Turismo Receptivo [CAMAERO]. (s.f.). Turismo récord en Uruguay: más visitantes, mayor gasto y un impacto clave en la economía. https://camaero.org/noticias/turismo-record-en-uruguay-mas-visitantes-mayor-gasto-y-un-impacto-clave-en-la-economia/</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Carmelo Portal. (s.f.). Expertos abogan por una "mejor formación" en el enoturismo en Uruguay. https://www.carmeloportal.com/85121-85121</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Centro de Estudios de la Realidad Económica y Social [CERES]. (2026). Monitor de Actividad Turística (marzo, 2026).</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Cipetur. (s.f.). Enoturismo en Uruguay: cultura, paisaje y sabor. https://www.cipetur.com/index.php/cipetur/destinos/item/7369-enoturismo-en-uruguay-cultura-paisaje-y-sabor</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Diario Cambio. (s.f.-a). Salto fuera de la lista de las cinco ciudades más visitadas por turismo. https://diariocambio.com.uy/salto-fuera-de-la-lista-de-las-cinco-ciudades-mas-visitadas-por-turismo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Diario Cambio. (s.f.-b). Bertolini &amp; Broglio y Salto Chico obtuvieron medallas de oro en el concurso «Tannat al Mundo». https://diariocambio.com.uy/bertolini-broglio-y-salto-chico-obtuvieron-medallas-de-oro-en-el-concurso-tannat-al-mundo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Diario Cambio. (s.f.-c). Las lluvias y el agua acumulada en pocos días complican situación de caminería rural en varias zonas. https://diariocambio.com.uy/las-lluvias-y-el-agua-acumulada-en-pocos-dias-complican-situacion-de-camineria-rural-en-varias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Diario El Debate Pregón. (s.f.). La brecha de precios entre Argentina y Uruguay volvió a ampliarse y llega al 40% en la frontera. https://www.diariodebatepregon.com/argentina-y-el-mundo/la-brecha-de-precios-entre-argentina-y-uruguay-volvio-a-ampliarse-y-llega-al-40-en-la-frontera</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Diario Río Uruguay. (s.f.). Desde Uruguay destacan que un importante número de concordienses siguen eligiendo los resort termales "all inclusive". http://diarioriouruguay.com/turismo/desde-uruguay-destacan-que-un-importante-nmero-de-concordienses-siguen-eligiendo-los-resort-termales-ldquoall-inclusiverdquo.htm</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El Entre Ríos. (s.f.). "Salto, cuna del Tannat" se une a Concordia para homenajear a Pascual Harriague. https://www.elentrerios.com/actualidad/ldquosalto-cuna-del-tannatrdquo-se-une-a-concordia-para-homenajear-a-pascual-harriague.htm</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El País. (s.f.). Argentina, y algo menos Brasil, se encarecen para los uruguayos, aunque hay rubros que están "baratos", ¿qué brechas hay? https://www.elpais.com.uy/negocios/noticias/argentina-y-algo-menos-brasil-se-encarecen-para-las-uruguayos-aunque-hay-rubros-que-estan-baratos-que-brechas-hay</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El Pueblo Digital. (2026). Semana de Harriague 2026: Salto celebra la cuna del Tannat. https://elpueblodigital.uy/salto-cuna-del-tannat-comienza-una-semana-para-celebrar-nuestra-identidad-y-legado/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Entre Ríos Hoy. (s.f.). Termas y enoturismo: la fórmula que potencia los atractivos que Entre Ríos ofrece a los visitantes. https://entrerioshoy.com/termas-y-enoturismo-la-formula-que-potencia-los-atractivos-que-entre-rios-ofrece-a-los-visitantes/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Euskalkultura.eus. (s.f.). Tras la exitosa gestión del CV local, se pone en marcha el proyecto de recuperar la antigua Bodega Harriague de Salto (y II). https://www.euskalkultura.eus/espanol/noticias/tras-la-exitosa-gestion-del-cv-local-se-pone-en-marcha-el-proyecto-de-recuperar-la-antigua-bodega-harriague-de-salto-y-ii</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Gran Logia de la Masonería del Uruguay. (s.f.). Pascual Harriague. https://www.masoneriadeluruguay.org/es/pascual-harriague</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Infobae. (2023, 16 de noviembre). Brecha cambiaria: ir de turista a las termas en Uruguay cuesta 118% más caro que a las de Argentina. https://www.infobae.com/america/america-latina/2023/11/16/brecha-cambiaria-ir-de-turista-a-las-termas-en-uruguay-cuesta-118-mas-caro-que-a-las-de-argentina/</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de Promoción de la Inversión y las Exportaciones de Bienes y Servicios [IMPO]. (2014). Ley N.º 19.253: Regulación de la actividad turística y declaratoria de interés nacional. https://www.impo.com.uy/bases/leyes/19253-2014</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&amp; Opción Consultores. (2023). Estudio consolidado de la actividad económica e impacto del enoturismo en Uruguay. INAVI.</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(2021). Estadísticas de viñedos 2021: Datos nacionales. https://www.inavi.com.uy/uploads/vinedo/02b47681b115aafaf1cc5aefcacd581496ffe733.pdf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(2023a). Estadísticas de viñedos 2023: Datos departamentales. https://www.inavi.com.uy/uploads/vinedo/bf1183c5ea6672b906da2100eda702efaff7be09.pdf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(2023b). Estadísticas de viñedos 2023: Datos nacionales. https://www.inavi.com.uy/uploads/vinedo/b001699f9585532cfd1fa06a35756544f917eda5.pdf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(2024a). Plan Operativo Anual (POA) 2024/2025 y Registro Catastral de Variedades de Vid de Uruguay.</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(2024b). Reporte INAVI 2024. https://www.inavi.com.uy/uploads/vinedo/346bb91b94f57f26d3e293b52fc0059a83b273cf.pdf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(s.f.-a). Bertolini y Broglio. https://www.inavi.com.uy/bodega/bertolini-y-broglio/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(s.f.-b). Bodega Salto Chico - Los Calos Ltda. https://www.inavi.com.uy/bodega/bodega-salto-chico/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(s.f.-c). Colonia - Enoturismo. https://www.inavi.com.uy/enoturismo/colonia/</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(s.f.-d). Enoturismo recibe USD 11 millones anuales. https://www.inavi.com.uy/noticia/enoturismo-recibe-usd-11-millones-anuales/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(s.f.-e). Programa de Viticultura Sostenible. Vinos del Uruguay. https://www.vinosdeluruguay.com/programa-de-viticultura-sostenible/</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Instituto Nacional de Vitivinicultura [INAVI]. (s.f.-f). Salto - Enoturismo. https://www.inavi.com.uy/enoturismo/salto/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Intendencia de Salto. (s.f.-a). Bodegas. Turismo Salto. https://turismo.salto.gub.uy/sitios-de-interes/bodegas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Intendencia de Salto. (s.f.-b). La Mesa Estratégica de Turismo de Salto apuesta al fortalecimiento del destino. https://www.salto.gub.uy/noticias/la-mesa-estrategica-de-turismo-de-salto-apuesta-al-fortalecimiento-del-destino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Intendencia de Salto. (s.f.-c). Nuevas acciones dentro del proceso de rescate de la Bodega Harriague. https://salto.gub.uy/noticias/nuevas-acciones-dentro-del-proceso-de-rescate-de-la-bodega-harriague</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Intendencia de Salto. (s.f.-d). Termal. Turismo Salto. https://turismo.salto.gub.uy/termal</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La Hora del Campo. (s.f.). Tres vinos del «terroir salteño» ganaron una «Medalla de Oro». https://lahoradelcampo.com.uy/site/tres-vinos-del-terroir-salteno-ganaron-una-medalla-de-oro/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La Sacristía. (s.f.). Bertolini &amp; Broglio Viognier. https://lasacristia.com.uy/catalogo/bertolini-broglio-viognier_7730951970161_7730951970161</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Maslow, A. H. (1964). Religions, values, and peak-experiences. Ohio State University Press.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Ministerio de Ganadería, Agricultura y Pesca [MGAP]. (2024). Programa de Viticultura Sostenible INAVI. https://descargas.mgap.gub.uy/OPYPA/Anuarios/Anuarioopypa2024/TP/11/TP11web/TP11-ProgramadeViticulturaSostenible.pdf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Ministerio de Turismo de Uruguay. (2025a). Turismo emisivo: Cuarto trimestre 2024. Observatorio de Turismo Inteligente. https://www.gub.uy/ministerio-turismo/sites/ministerio-turismo/files/2025-01/E4T2024.pdf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Ministerio de Turismo de Uruguay. (2025b). Turismo emisivo: Primer trimestre 2025. Observatorio de Turismo Inteligente. https://www.gub.uy/ministerio-turismo/sites/ministerio-turismo/files/2025-06/E-1T2025.pdf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Ministerio de Turismo de Uruguay. (2025c). Turismo emisivo: Tercer trimestre 2025. Observatorio de Turismo Inteligente. https://www.gub.uy/ministerio-turismo/sites/ministerio-turismo/files/2025-10/E3T25.pdf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Ministerio de Turismo de Uruguay. (s.f.-a). Destino Termas. https://destinotermas.gub.uy/</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Ministerio de Turismo de Uruguay. (s.f.-b). Descubrir la tierra del Tannat, piedras preciosas y termas. Uruguay Natural. https://uruguaynatural.com/es/experiences/descubrir-la-tierra-del-tannat-piedras-preciosas-y-termas/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Ministerio de Turismo de Uruguay. (s.f.-c). Wine tourism guide / Guía de enoturismo. Uruguay Natural. https://uruguaynatural.com/wp-content/uploads/2023/02/Enoturismo_ESP-ING_7mar2019.pdf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Montevideo.com. (s.f.). La brecha de precios entre Concordia y Salto creció a un 40%, según informe UC. https://www.montevideo.com.uy/Noticias/La-brecha-de-precios-entre-Concordia-y-Salto-crecio-a-un-40--segun-informe-uc954784</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Observatorio Económico, Universidad Católica del Uruguay Campus Salto [UCU]. (2024). Indicador de Precios Fronterizos, septiembre 2024. https://www.ucu.edu.uy/Institucionales/INFORMES-uc1313/4676/SET-24-compressed.pdf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Observatorio Económico, Universidad Católica del Uruguay Campus Salto [UCU]. (2025). Estudio del perfil del turista de la Región de Salto Grande.</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Oficina de Planeamiento y Presupuesto [OPP]. (s.f.). Programa vial departamental: Salto. https://www.opp.gub.uy/sites/default/files/inline-files/PVD_SALTO.pdf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Organización Mundial del Turismo [ONU Turismo]. (s.f.). Desarrollo sostenible. https://www.untourism.int/sustainable-development</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Pasaporte Uruguay. (s.f.). Enoturismo uruguayo recaudó 11 millones de dólares en 2022, informó INAVI. https://pasaporteuruguay.com/turismo/7630-enoturismo-uruguayo-recaudo-11-millones-de-dolares-en-2022-informo-inavi</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Pine, B. J., &amp; Gilmore, J. H. (1998). Welcome to the experience economy. Harvard Business Review, 76(4), 97–105.</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Playa Escondida. (s.f.). Enoturismo y la ruta del vino en Canelones. https://playaescondida.uy/blog/enoturismo-y-ruta-del-vino-canelones-uruguay/</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Por las Catas. (2018). Bodega Bertolini &amp; Broglio. De Salto vienen los mejores vinos uruguayos. http://porlascatas.blogspot.com/2018/03/bodega-bertolini-y-broglio-de-salto.html</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Presidencia de la República. (2014). Ley N.º 19.253. http://archivo.presidencia.gub.uy/sci/leyes/2014/08/mintur_660.pdf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PuntoVid. (s.f.). Del 13 al 18 de abril, Uruguay celebra su cepa insignia: el Tannat, la herencia Harriague. https://puntovid.com.ar/del-13-al-18-de-abril-uruguay-celebra-su-cepa-insginia-el-tannat-la-herencia-harriague/</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Radio Tabaré. (s.f.). Concordia promedió el 60% de ocupación hotelera durante el fin de semana con alta presencia de salteños. https://www.radiotabare.com.uy/concordia-promedio-el-60-de-ocupacion-hotelera-durante-el-fin-de-semana-con-alta-presencia-de-saltenos/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Redalyc. (s.f.). Historia del turismo en Salto: desde el encuentro social al esparcimiento termal. https://www.redalyc.org/pdf/276/27621284004.pdf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Ruta del Vino Carmelo. (s.f.). Bodegas y experiencias en Uruguay. https://enoturismocarmelo.com.uy/</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Salto Sale!. (s.f.). Semana de Pascual Harriague. https://saltosale.com/semana-de-pascual-harriague-3/</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Servicio Nacional de Turismo de Chile [Sernatur]. (2025). Brasil - Chile travel market report 2025. https://www.sernatur.cl/wp-content/uploads/2025/10/BRASIL-Chile-Travel-Market-Report-2025.pdf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Shop News. (s.f.). El Tannat y Harriague: raíces profundas en la tierra de Salto. https://shopnews.com.uy/el-tannat-y-harriague-raices-profundas-en-la-tierra-de-salto/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Tardáguila. (s.f.). Enoturismo en Uruguay genera ingresos de US$ 11 millones anuales. https://tardaguila.uy/varios/enoturismo-en-uruguay-genera-ingresos-de-us-11-millones-anuales</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Todo Uruguay. (s.f.). Visita a bodega boutique de Salto [Video]. YouTube. https://www.youtube.com/watch?v=PZz0xnOJWbE</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Urry, J. (2002). The tourist gaze (2.ª ed.). Sage Publications. (Trabajo original publicado en 1990)</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Uruguay. (1987). Ley N.º 15.903: Rendición de Cuentas y Balance de Ejecución Presupuestal, Ejercicio 1986 (norma de creación y regulación del INAVI). Diario Oficial. https://www.impo.com.uy/bases/leyes/15903-1987</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Uruguay en Vinos. (2021). Informe vendimia — Uruguay 2021. https://uruguayenvinos.com/docs/GabiZimmer_Informe_Vendimia_Uruguay2021_SP.pdf</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Uruguay. Poder Ejecutivo. (2010). Decreto N.° 370/010: Regulación del Turismo Enológico. Marco Jurídico. Registro Nacional de Leyes y Decretos, Tomo 2, Semestre 2, Año 2010, p. 1420. IMPO. https://www.impo.com.uy/bases/decretos/370-2010</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Uruguay. Poder Ejecutivo. (2015). Decreto N.° 278/015: Reglamentación de la Ley N.° 19.253 relativa a la regulación de la actividad turística (empresas de transporte turístico). Diario Oficial, 20 de octubre de 2015. IMPO. https://www.impo.com.uy/bases/decretos/278-2015</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Winesof. (s.f.). Don Pascual Harriague: el pionero del Tannat y una festividad que honra su legado. https://www.winesof.wine/uruguay/noticia/user/don-pascual-harriague-el-pionero-del-tannat-y-una-festividad-que-honra-su-legado</w:t>
      </w:r>
    </w:p>
    <w:p>
      <w:pPr>
        <w:spacing w:after="160" w:line="240" w:lineRule="auto"/>
        <w:ind w:left="720" w:hanging="720"/>
        <w:jc w:val="left"/>
      </w:pPr>
      <w:r>
        <w:rPr>
          <w:rFonts w:ascii="Times New Roman" w:cs="Times New Roman" w:eastAsia="Times New Roman" w:hAnsi="Times New Roman"/>
          <w:b w:val="false"/>
          <w:bCs w:val="false"/>
          <w:i w:val="false"/>
          <w:iCs w:val="false"/>
          <w:color w:val="000000"/>
          <w:sz w:val="24"/>
          <w:szCs w:val="24"/>
        </w:rPr>
        <w:t xml:space="preserve">Yvera. (s.f.). Informe de mercado: Uruguay. https://www.yvera.tur.ar/sinta/informe/documentos/descarga/5cb0af2f9496e699071138.pdf</w:t>
      </w:r>
    </w:p>
    <w:p>
      <w:pPr>
        <w:pStyle w:val="Heading1"/>
        <w:keepNext/>
        <w:pageBreakBefore/>
        <w:spacing w:after="240" w:before="0" w:line="240" w:lineRule="auto"/>
        <w:jc w:val="center"/>
      </w:pPr>
      <w:r>
        <w:rPr>
          <w:rFonts w:ascii="Times New Roman" w:cs="Times New Roman" w:eastAsia="Times New Roman" w:hAnsi="Times New Roman"/>
          <w:b/>
          <w:bCs/>
          <w:i w:val="false"/>
          <w:iCs w:val="false"/>
          <w:color w:val="000000"/>
          <w:sz w:val="24"/>
          <w:szCs w:val="24"/>
        </w:rPr>
        <w:t xml:space="preserve">Anexos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Se presenta un anexo por capítulo, con el material de respaldo real (instrumentos, fichas y matrices) en lugar de una descripción genérica de su contenido.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Anexo Capítulo 1 — Ficha de Inventario de Activos Vitivinícolas e Históricos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Formulario técnico a completar en el relevamiento de campo de cada activo (Bodega Harriague, viñedos de Colonia Osimani y Parada Daymán):</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4756"/>
        <w:gridCol w:w="3748"/>
      </w:tblGrid>
      <w:tr>
        <w:trPr>
          <w:cantSplit/>
        </w:trPr>
        <w:tc>
          <w:tcPr>
            <w:tcW w:type="dxa" w:w="4756"/>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Campo</w:t>
            </w:r>
          </w:p>
        </w:tc>
        <w:tc>
          <w:tcPr>
            <w:tcW w:type="dxa" w:w="374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Detalle a completar</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Nombre del activo</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Coordenadas (lat./long.)</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Tipo de activo</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Arqueológico / productivo / paisajístico</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Estado de conservación</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Bueno / regular / malo — observaciones</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Accesibilidad vehicular</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Pavimento / ripio / tierra — estado en día de lluvia</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Variedad(es) de vid / portainjertos y clones</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 cuando corresponda]</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Capacidad de recepción de visitantes</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Infraestructura disponible (baños, estacionamiento, salón de cata)</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Responsable / contacto</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r>
        <w:trPr>
          <w:cantSplit/>
        </w:trPr>
        <w:tc>
          <w:tcPr>
            <w:tcW w:type="dxa" w:w="47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Observaciones</w:t>
            </w:r>
          </w:p>
        </w:tc>
        <w:tc>
          <w:tcPr>
            <w:tcW w:type="dxa" w:w="374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[COMPLETAR]</w:t>
            </w:r>
          </w:p>
        </w:tc>
      </w:tr>
    </w:tbl>
    <w:p>
      <w:pPr>
        <w:spacing w:after="160"/>
      </w:pP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Anexo Capítulo 2 — Matriz de Indicadores del Marco Teórico</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1931"/>
        <w:gridCol w:w="4596"/>
        <w:gridCol w:w="1977"/>
      </w:tblGrid>
      <w:tr>
        <w:trPr>
          <w:cantSplit/>
        </w:trPr>
        <w:tc>
          <w:tcPr>
            <w:tcW w:type="dxa" w:w="1931"/>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Variable conceptual</w:t>
            </w:r>
          </w:p>
        </w:tc>
        <w:tc>
          <w:tcPr>
            <w:tcW w:type="dxa" w:w="4596"/>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Indicador operativo</w:t>
            </w:r>
          </w:p>
        </w:tc>
        <w:tc>
          <w:tcPr>
            <w:tcW w:type="dxa" w:w="1977"/>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Fuente de verificación</w:t>
            </w:r>
          </w:p>
        </w:tc>
      </w:tr>
      <w:tr>
        <w:trPr>
          <w:cantSplit/>
        </w:trPr>
        <w:tc>
          <w:tcPr>
            <w:tcW w:type="dxa" w:w="193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Desestacionalización del turismo</w:t>
            </w:r>
          </w:p>
        </w:tc>
        <w:tc>
          <w:tcPr>
            <w:tcW w:type="dxa" w:w="459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Variación mensual de turistas del circuito respecto a la curva termal tradicional</w:t>
            </w:r>
          </w:p>
        </w:tc>
        <w:tc>
          <w:tcPr>
            <w:tcW w:type="dxa" w:w="197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Registros de reservas del Comité de Gestión</w:t>
            </w:r>
          </w:p>
        </w:tc>
      </w:tr>
      <w:tr>
        <w:trPr>
          <w:cantSplit/>
        </w:trPr>
        <w:tc>
          <w:tcPr>
            <w:tcW w:type="dxa" w:w="193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Eslabonamientos productivos rurales</w:t>
            </w:r>
          </w:p>
        </w:tc>
        <w:tc>
          <w:tcPr>
            <w:tcW w:type="dxa" w:w="459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N.º de proveedores locales activos (quesos, panificados, mermeladas) por temporada</w:t>
            </w:r>
          </w:p>
        </w:tc>
        <w:tc>
          <w:tcPr>
            <w:tcW w:type="dxa" w:w="197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Convenios de abastecimiento local</w:t>
            </w:r>
          </w:p>
        </w:tc>
      </w:tr>
      <w:tr>
        <w:trPr>
          <w:cantSplit/>
        </w:trPr>
        <w:tc>
          <w:tcPr>
            <w:tcW w:type="dxa" w:w="193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Recordación de la narrativa histórica</w:t>
            </w:r>
          </w:p>
        </w:tc>
        <w:tc>
          <w:tcPr>
            <w:tcW w:type="dxa" w:w="459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 de visitantes que identifica correctamente el origen de Pascual Harriague y el Tannat tras el tour</w:t>
            </w:r>
          </w:p>
        </w:tc>
        <w:tc>
          <w:tcPr>
            <w:tcW w:type="dxa" w:w="197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Cuestionario QR post-visita (Anexo Cap. 6)</w:t>
            </w:r>
          </w:p>
        </w:tc>
      </w:tr>
      <w:tr>
        <w:trPr>
          <w:cantSplit/>
        </w:trPr>
        <w:tc>
          <w:tcPr>
            <w:tcW w:type="dxa" w:w="193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Experiencia transformadora (Ahlfert, 2012)</w:t>
            </w:r>
          </w:p>
        </w:tc>
        <w:tc>
          <w:tcPr>
            <w:tcW w:type="dxa" w:w="459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Puntaje de satisfacción emocional / recomendación (NPS)</w:t>
            </w:r>
          </w:p>
        </w:tc>
        <w:tc>
          <w:tcPr>
            <w:tcW w:type="dxa" w:w="1977"/>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Cuestionario QR post-visita</w:t>
            </w:r>
          </w:p>
        </w:tc>
      </w:tr>
    </w:tbl>
    <w:p>
      <w:pPr>
        <w:spacing w:after="160"/>
      </w:pP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Anexo Capítulo 3 — Instrumentos de Recolección de Datos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A. Cuestionario a turistas (versión imprimible)</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Encuesta anónima — Ruta del Tannat. Duración estimada: 5 minutos. Marque con una X.</w:t>
      </w:r>
    </w:p>
    <w:p>
      <w:pPr>
        <w:spacing w:after="120" w:line="240" w:lineRule="auto"/>
        <w:ind w:left="720"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¿De dónde viene? Montevideo / interior de Uruguay / Argentina / Brasil / otro: ____</w:t>
      </w:r>
    </w:p>
    <w:p>
      <w:pPr>
        <w:spacing w:after="120" w:line="240" w:lineRule="auto"/>
        <w:ind w:left="720"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Motivo principal del viaje a Salto: descanso termal / visita familiar / negocios / otro: ____</w:t>
      </w:r>
    </w:p>
    <w:p>
      <w:pPr>
        <w:spacing w:after="120" w:line="240" w:lineRule="auto"/>
        <w:ind w:left="720" w:hanging="360"/>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¿Cuántos días permanece en el destino? ____</w:t>
      </w:r>
    </w:p>
    <w:p>
      <w:pPr>
        <w:spacing w:after="120" w:line="240" w:lineRule="auto"/>
        <w:ind w:left="720" w:hanging="360"/>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Gasto diario estimado (USD): 0-50 / 51-100 / 101-150 / más de 150</w:t>
      </w:r>
    </w:p>
    <w:p>
      <w:pPr>
        <w:spacing w:after="120" w:line="240" w:lineRule="auto"/>
        <w:ind w:left="720" w:hanging="360"/>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¿Conocía la existencia de bodegas activas en Salto? Sí / No</w:t>
      </w:r>
    </w:p>
    <w:p>
      <w:pPr>
        <w:spacing w:after="120" w:line="240" w:lineRule="auto"/>
        <w:ind w:left="720" w:hanging="360"/>
        <w:jc w:val="both"/>
      </w:pPr>
      <w:r>
        <w:rPr>
          <w:rFonts w:ascii="Times New Roman" w:cs="Times New Roman" w:eastAsia="Times New Roman" w:hAnsi="Times New Roman"/>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¿Consumió vinos de bodegas salteñas durante su estadía? Sí / No</w:t>
      </w:r>
    </w:p>
    <w:p>
      <w:pPr>
        <w:spacing w:after="120" w:line="240" w:lineRule="auto"/>
        <w:ind w:left="720" w:hanging="360"/>
        <w:jc w:val="both"/>
      </w:pPr>
      <w:r>
        <w:rPr>
          <w:rFonts w:ascii="Times New Roman" w:cs="Times New Roman" w:eastAsia="Times New Roman" w:hAnsi="Times New Roman"/>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Interés en una visita guiada a bodegas y al Espacio Cultural Bodega Harriague (1 = nada interesado, 5 = muy interesado): 1 2 3 4 5</w:t>
      </w:r>
    </w:p>
    <w:p>
      <w:pPr>
        <w:spacing w:after="120" w:line="240" w:lineRule="auto"/>
        <w:ind w:left="720" w:hanging="360"/>
        <w:jc w:val="both"/>
      </w:pPr>
      <w:r>
        <w:rPr>
          <w:rFonts w:ascii="Times New Roman" w:cs="Times New Roman" w:eastAsia="Times New Roman" w:hAnsi="Times New Roman"/>
          <w:color w:val="000000"/>
          <w:sz w:val="24"/>
          <w:szCs w:val="24"/>
        </w:rPr>
        <w:t xml:space="preserve">8. </w:t>
      </w:r>
      <w:r>
        <w:rPr>
          <w:rFonts w:ascii="Times New Roman" w:cs="Times New Roman" w:eastAsia="Times New Roman" w:hAnsi="Times New Roman"/>
          <w:b w:val="false"/>
          <w:bCs w:val="false"/>
          <w:i w:val="false"/>
          <w:iCs w:val="false"/>
          <w:color w:val="000000"/>
          <w:sz w:val="24"/>
          <w:szCs w:val="24"/>
        </w:rPr>
        <w:t xml:space="preserve">¿Cuánto pagaría por un tour de media jornada? Menos de USD 30 / 30-45 / 46-60 / más de 60</w:t>
      </w:r>
    </w:p>
    <w:p>
      <w:pPr>
        <w:spacing w:after="120" w:line="240" w:lineRule="auto"/>
        <w:ind w:left="720" w:hanging="360"/>
        <w:jc w:val="both"/>
      </w:pPr>
      <w:r>
        <w:rPr>
          <w:rFonts w:ascii="Times New Roman" w:cs="Times New Roman" w:eastAsia="Times New Roman" w:hAnsi="Times New Roman"/>
          <w:color w:val="000000"/>
          <w:sz w:val="24"/>
          <w:szCs w:val="24"/>
        </w:rPr>
        <w:t xml:space="preserve">9. </w:t>
      </w:r>
      <w:r>
        <w:rPr>
          <w:rFonts w:ascii="Times New Roman" w:cs="Times New Roman" w:eastAsia="Times New Roman" w:hAnsi="Times New Roman"/>
          <w:b w:val="false"/>
          <w:bCs w:val="false"/>
          <w:i w:val="false"/>
          <w:iCs w:val="false"/>
          <w:color w:val="000000"/>
          <w:sz w:val="24"/>
          <w:szCs w:val="24"/>
        </w:rPr>
        <w:t xml:space="preserve">Actividades que valoraría sumar a su estadía (puede marcar más de una): gastronomía local / cata de vinos / patrimonio histórico / naturaleza / otro: ____</w:t>
      </w:r>
    </w:p>
    <w:p>
      <w:pPr>
        <w:spacing w:after="120" w:line="240" w:lineRule="auto"/>
        <w:ind w:left="720" w:hanging="360"/>
        <w:jc w:val="both"/>
      </w:pPr>
      <w:r>
        <w:rPr>
          <w:rFonts w:ascii="Times New Roman" w:cs="Times New Roman" w:eastAsia="Times New Roman" w:hAnsi="Times New Roman"/>
          <w:color w:val="000000"/>
          <w:sz w:val="24"/>
          <w:szCs w:val="24"/>
        </w:rPr>
        <w:t xml:space="preserve">10. </w:t>
      </w:r>
      <w:r>
        <w:rPr>
          <w:rFonts w:ascii="Times New Roman" w:cs="Times New Roman" w:eastAsia="Times New Roman" w:hAnsi="Times New Roman"/>
          <w:b w:val="false"/>
          <w:bCs w:val="false"/>
          <w:i w:val="false"/>
          <w:iCs w:val="false"/>
          <w:color w:val="000000"/>
          <w:sz w:val="24"/>
          <w:szCs w:val="24"/>
        </w:rPr>
        <w:t xml:space="preserve">Edad: ____  Nivel educativo: ____  Grupo de viaje: solo/a / pareja / familia / amigos</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B. Guía de entrevista en profundidad (bodegas y Centro Vasco)</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¿Cuál es la capacidad actual de recepción de visitantes de su establecimiento (infraestructura, horarios, personal)?</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¿Tiene experiencia previa recibiendo visitas guiadas o realizando degustaciones comerciales?</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¿Estaría dispuesto/a a integrarse a un circuito asociativo con otras bodegas y el sector hotelero? ¿Bajo qué condiciones?</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¿Qué necesidades de capacitación identifica en su personal para la atención al turista enológico?</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¿Qué opina de un motor de reservas y pagos compartido entre las bodegas del circuito?</w:t>
      </w:r>
    </w:p>
    <w:p>
      <w:pPr>
        <w:spacing w:after="120" w:line="240" w:lineRule="auto"/>
        <w:ind w:left="720" w:hanging="360"/>
        <w:jc w:val="both"/>
      </w:pP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val="false"/>
          <w:bCs w:val="false"/>
          <w:i w:val="false"/>
          <w:iCs w:val="false"/>
          <w:color w:val="000000"/>
          <w:sz w:val="24"/>
          <w:szCs w:val="24"/>
        </w:rPr>
        <w:t xml:space="preserve">(Para el Centro Vasco / Comisión de Gestión) ¿Cuál es el estado de conservación actual del Espacio Cultural Bodega Harriague y qué expectativas tienen sobre su uso turístico?</w:t>
      </w: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Anexo Capítulo 4 — Matriz FODA Cruzada</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872"/>
        <w:gridCol w:w="4051"/>
        <w:gridCol w:w="3582"/>
      </w:tblGrid>
      <w:tr>
        <w:trPr>
          <w:cantSplit/>
        </w:trPr>
        <w:tc>
          <w:tcPr>
            <w:tcW w:type="dxa" w:w="872"/>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Cruce</w:t>
            </w:r>
          </w:p>
        </w:tc>
        <w:tc>
          <w:tcPr>
            <w:tcW w:type="dxa" w:w="4051"/>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Estrategia</w:t>
            </w:r>
          </w:p>
        </w:tc>
        <w:tc>
          <w:tcPr>
            <w:tcW w:type="dxa" w:w="3582"/>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Acción derivada</w:t>
            </w:r>
          </w:p>
        </w:tc>
      </w:tr>
      <w:tr>
        <w:trPr>
          <w:cantSplit/>
        </w:trPr>
        <w:tc>
          <w:tcPr>
            <w:tcW w:type="dxa" w:w="87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FO — Ofensiva</w:t>
            </w:r>
          </w:p>
        </w:tc>
        <w:tc>
          <w:tcPr>
            <w:tcW w:type="dxa" w:w="405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Legitimidad histórica + terroir + bodegas boutique, frente al crecimiento del mercado brasileño y los fondos concursables</w:t>
            </w:r>
          </w:p>
        </w:tc>
        <w:tc>
          <w:tcPr>
            <w:tcW w:type="dxa" w:w="358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Postular al Fondo Enoturismo MINTUR-INAVI y a ANDE; campaña dirigida a Rio Grande do Sul</w:t>
            </w:r>
          </w:p>
        </w:tc>
      </w:tr>
      <w:tr>
        <w:trPr>
          <w:cantSplit/>
        </w:trPr>
        <w:tc>
          <w:tcPr>
            <w:tcW w:type="dxa" w:w="87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DO — Adaptación</w:t>
            </w:r>
          </w:p>
        </w:tc>
        <w:tc>
          <w:tcPr>
            <w:tcW w:type="dxa" w:w="405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Brecha digital de las bodegas, resuelta con fondos no reembolsables; débil asociatividad, resuelta vía proyecto U-riharri</w:t>
            </w:r>
          </w:p>
        </w:tc>
        <w:tc>
          <w:tcPr>
            <w:tcW w:type="dxa" w:w="358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Desarrollo del motor de reservas compartido; activación del Espacio Harriague como “kilómetro cero”</w:t>
            </w:r>
          </w:p>
        </w:tc>
      </w:tr>
      <w:tr>
        <w:trPr>
          <w:cantSplit/>
        </w:trPr>
        <w:tc>
          <w:tcPr>
            <w:tcW w:type="dxa" w:w="87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FA — Defensiva</w:t>
            </w:r>
          </w:p>
        </w:tc>
        <w:tc>
          <w:tcPr>
            <w:tcW w:type="dxa" w:w="405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Fuga de turistas hacia Entre Ríos por brecha cambiaria, enfrentada con diferenciación por autenticidad, no por precio</w:t>
            </w:r>
          </w:p>
        </w:tc>
        <w:tc>
          <w:tcPr>
            <w:tcW w:type="dxa" w:w="358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Reposicionar la oferta termal como experiencia híbrida de bienestar, historia y alta enología</w:t>
            </w:r>
          </w:p>
        </w:tc>
      </w:tr>
      <w:tr>
        <w:trPr>
          <w:cantSplit/>
        </w:trPr>
        <w:tc>
          <w:tcPr>
            <w:tcW w:type="dxa" w:w="87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DA — Supervivencia</w:t>
            </w:r>
          </w:p>
        </w:tc>
        <w:tc>
          <w:tcPr>
            <w:tcW w:type="dxa" w:w="4051"/>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Marca departamental centrada en “Destino Termas” + deficiencias de caminería y señalética</w:t>
            </w:r>
          </w:p>
        </w:tc>
        <w:tc>
          <w:tcPr>
            <w:tcW w:type="dxa" w:w="3582"/>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Gestionar ante el MINTUR la señalética de Ruta 3; fondo de caminería rural (3% del ingreso neto, punto 6.2)</w:t>
            </w:r>
          </w:p>
        </w:tc>
      </w:tr>
    </w:tbl>
    <w:p>
      <w:pPr>
        <w:spacing w:after="160"/>
      </w:pP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Anexo Capítulo 5 — Fichas Técnicas de Itinerario por Estación</w:t>
      </w:r>
    </w:p>
    <w:tbl>
      <w:tblPr>
        <w:tblW w:type="dxa" w:w="8504"/>
        <w:tblBorders>
          <w:top w:val="single" w:color="000000" w:sz="4"/>
          <w:left w:val="single" w:color="000000" w:sz="4"/>
          <w:bottom w:val="single" w:color="000000" w:sz="4"/>
          <w:right w:val="single" w:color="000000" w:sz="4"/>
          <w:insideH w:val="single" w:color="999999" w:sz="2"/>
          <w:insideV w:val="single" w:color="999999" w:sz="2"/>
        </w:tblBorders>
      </w:tblPr>
      <w:tblGrid>
        <w:gridCol w:w="880"/>
        <w:gridCol w:w="4468"/>
        <w:gridCol w:w="3156"/>
      </w:tblGrid>
      <w:tr>
        <w:trPr>
          <w:cantSplit/>
        </w:trPr>
        <w:tc>
          <w:tcPr>
            <w:tcW w:type="dxa" w:w="88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Estación</w:t>
            </w:r>
          </w:p>
        </w:tc>
        <w:tc>
          <w:tcPr>
            <w:tcW w:type="dxa" w:w="4468"/>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Guión interpretativo (síntesis)</w:t>
            </w:r>
          </w:p>
        </w:tc>
        <w:tc>
          <w:tcPr>
            <w:tcW w:type="dxa" w:w="3156"/>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i w:val="false"/>
                <w:iCs w:val="false"/>
                <w:color w:val="000000"/>
                <w:sz w:val="22"/>
                <w:szCs w:val="22"/>
              </w:rPr>
              <w:t xml:space="preserve">Requisitos de accesibilidad</w:t>
            </w:r>
          </w:p>
        </w:tc>
      </w:tr>
      <w:tr>
        <w:trPr>
          <w:cantSplit/>
        </w:trPr>
        <w:tc>
          <w:tcPr>
            <w:tcW w:type="dxa" w:w="8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1. Espacio Harriague</w:t>
            </w:r>
          </w:p>
        </w:tc>
        <w:tc>
          <w:tcPr>
            <w:tcW w:type="dxa" w:w="446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Llegada de Pascual Harriague en 1840; introducción del Tannat en 1874; primera vinificación comercial en 1876; vínculo con la inmigración vasca</w:t>
            </w:r>
          </w:p>
        </w:tc>
        <w:tc>
          <w:tcPr>
            <w:tcW w:type="dxa" w:w="31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Acceso pavimentado; recorrido alternativo sin escalones; material interpretativo en formato accesible</w:t>
            </w:r>
          </w:p>
        </w:tc>
      </w:tr>
      <w:tr>
        <w:trPr>
          <w:cantSplit/>
        </w:trPr>
        <w:tc>
          <w:tcPr>
            <w:tcW w:type="dxa" w:w="8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2. Salto Chico</w:t>
            </w:r>
          </w:p>
        </w:tc>
        <w:tc>
          <w:tcPr>
            <w:tcW w:type="dxa" w:w="446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Terroir de lecho basáltico; implantación de cepas finas en 1999; rol del río Uruguay en la maduración</w:t>
            </w:r>
          </w:p>
        </w:tc>
        <w:tc>
          <w:tcPr>
            <w:tcW w:type="dxa" w:w="31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Sendero de viñedo con tramo alternativo nivelado hasta la terraza de degustación</w:t>
            </w:r>
          </w:p>
        </w:tc>
      </w:tr>
      <w:tr>
        <w:trPr>
          <w:cantSplit/>
        </w:trPr>
        <w:tc>
          <w:tcPr>
            <w:tcW w:type="dxa" w:w="8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3. Bertolini &amp; Broglio</w:t>
            </w:r>
          </w:p>
        </w:tc>
        <w:tc>
          <w:tcPr>
            <w:tcW w:type="dxa" w:w="446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Vinificación por gravedad sin bombeo mecánico; escala boutique con proyección internacional (medallas OIV)</w:t>
            </w:r>
          </w:p>
        </w:tc>
        <w:tc>
          <w:tcPr>
            <w:tcW w:type="dxa" w:w="31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Planta con circulación en un solo nivel; sala de cava accesible</w:t>
            </w:r>
          </w:p>
        </w:tc>
      </w:tr>
      <w:tr>
        <w:trPr>
          <w:cantSplit/>
        </w:trPr>
        <w:tc>
          <w:tcPr>
            <w:tcW w:type="dxa" w:w="880"/>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4. Mori Maglio</w:t>
            </w:r>
          </w:p>
        </w:tc>
        <w:tc>
          <w:tcPr>
            <w:tcW w:type="dxa" w:w="4468"/>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Microvinificación familiar; taller artesanal de grappa y vermouth</w:t>
            </w:r>
          </w:p>
        </w:tc>
        <w:tc>
          <w:tcPr>
            <w:tcW w:type="dxa" w:w="3156"/>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2"/>
                <w:szCs w:val="22"/>
              </w:rPr>
              <w:t xml:space="preserve">Grupo reducido; adaptar el taller práctico para participación desde silla de ruedas</w:t>
            </w:r>
          </w:p>
        </w:tc>
      </w:tr>
    </w:tbl>
    <w:p>
      <w:pPr>
        <w:spacing w:after="160"/>
      </w:pPr>
    </w:p>
    <w:p>
      <w:pPr>
        <w:pStyle w:val="Heading2"/>
        <w:keepNext/>
        <w:spacing w:after="160" w:before="240" w:line="240" w:lineRule="auto"/>
        <w:jc w:val="left"/>
      </w:pPr>
      <w:r>
        <w:rPr>
          <w:rFonts w:ascii="Times New Roman" w:cs="Times New Roman" w:eastAsia="Times New Roman" w:hAnsi="Times New Roman"/>
          <w:b/>
          <w:bCs/>
          <w:i w:val="false"/>
          <w:iCs w:val="false"/>
          <w:color w:val="000000"/>
          <w:sz w:val="24"/>
          <w:szCs w:val="24"/>
        </w:rPr>
        <w:t xml:space="preserve">Anexo Capítulo 6 — Plantilla de Cálculo Financiero y Modelo de Cuestionario QR</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A. Detalle de fórmulas financieras</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Punto de equilibrio: PE = CF ÷ (PVU − CVU) = 24.000 ÷ (45 − 30) = 1.600 turistas/año.</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ROI Año 1: (Flujo de caja neto ÷ Inversión inicial) × 100 = (30.450 ÷ 45.000) × 100 ≈ 67,7%.</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VAN (5 años, tasa de descuento 12%): USD 192.418. TIR: 84%. [COMPLETAR: adjuntar la planilla de cálculo con el flujo de caja proyectado año a año y la fórmula de descuento aplicada, como respaldo del valor de VAN/TIR reportado en 6.5.4].</w:t>
      </w:r>
    </w:p>
    <w:p>
      <w:pPr>
        <w:pStyle w:val="Heading3"/>
        <w:keepNext/>
        <w:spacing w:after="120" w:before="200" w:line="240" w:lineRule="auto"/>
        <w:jc w:val="left"/>
      </w:pPr>
      <w:r>
        <w:rPr>
          <w:rFonts w:ascii="Times New Roman" w:cs="Times New Roman" w:eastAsia="Times New Roman" w:hAnsi="Times New Roman"/>
          <w:b/>
          <w:bCs/>
          <w:i/>
          <w:iCs/>
          <w:color w:val="000000"/>
          <w:sz w:val="24"/>
          <w:szCs w:val="24"/>
        </w:rPr>
        <w:t xml:space="preserve">B. Modelo de cuestionario QR de satisfacción (post-visita)</w:t>
      </w:r>
    </w:p>
    <w:p>
      <w:pPr>
        <w:spacing w:after="120" w:line="240" w:lineRule="auto"/>
        <w:ind w:left="720" w:hanging="360"/>
        <w:jc w:val="both"/>
      </w:pPr>
      <w:r>
        <w:rPr>
          <w:rFonts w:ascii="Times New Roman" w:cs="Times New Roman" w:eastAsia="Times New Roman" w:hAnsi="Times New Roman"/>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¿Cómo calificaría la experiencia general del tour? (1 a 5 estrellas)</w:t>
      </w:r>
    </w:p>
    <w:p>
      <w:pPr>
        <w:spacing w:after="120" w:line="240" w:lineRule="auto"/>
        <w:ind w:left="720" w:hanging="360"/>
        <w:jc w:val="both"/>
      </w:pPr>
      <w:r>
        <w:rPr>
          <w:rFonts w:ascii="Times New Roman" w:cs="Times New Roman" w:eastAsia="Times New Roman" w:hAnsi="Times New Roman"/>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¿Cómo calificaría al guía/anfitrión? (1 a 5 estrellas)</w:t>
      </w:r>
    </w:p>
    <w:p>
      <w:pPr>
        <w:spacing w:after="120" w:line="240" w:lineRule="auto"/>
        <w:ind w:left="720" w:hanging="360"/>
        <w:jc w:val="both"/>
      </w:pPr>
      <w:r>
        <w:rPr>
          <w:rFonts w:ascii="Times New Roman" w:cs="Times New Roman" w:eastAsia="Times New Roman" w:hAnsi="Times New Roman"/>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¿La duración del tour fue adecuada? Sí / No — comentario: ____</w:t>
      </w:r>
    </w:p>
    <w:p>
      <w:pPr>
        <w:spacing w:after="120" w:line="240" w:lineRule="auto"/>
        <w:ind w:left="720" w:hanging="360"/>
        <w:jc w:val="both"/>
      </w:pPr>
      <w:r>
        <w:rPr>
          <w:rFonts w:ascii="Times New Roman" w:cs="Times New Roman" w:eastAsia="Times New Roman" w:hAnsi="Times New Roman"/>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¿Recomendaría la Ruta del Tannat a otro viajero? Sí / No</w:t>
      </w:r>
    </w:p>
    <w:p>
      <w:pPr>
        <w:spacing w:after="120" w:line="240" w:lineRule="auto"/>
        <w:ind w:left="720" w:hanging="360"/>
        <w:jc w:val="both"/>
      </w:pPr>
      <w:r>
        <w:rPr>
          <w:rFonts w:ascii="Times New Roman" w:cs="Times New Roman" w:eastAsia="Times New Roman" w:hAnsi="Times New Roman"/>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Sugerencias para mejorar la experiencia: ____</w:t>
      </w:r>
    </w:p>
    <w:p>
      <w:pPr>
        <w:keepNext w:val="false"/>
        <w:spacing w:after="160" w:line="240" w:lineRule="auto"/>
        <w:jc w:val="both"/>
      </w:pPr>
      <w:r>
        <w:rPr>
          <w:rFonts w:ascii="Times New Roman" w:cs="Times New Roman" w:eastAsia="Times New Roman" w:hAnsi="Times New Roman"/>
          <w:b w:val="false"/>
          <w:bCs w:val="false"/>
          <w:i w:val="false"/>
          <w:iCs w:val="false"/>
          <w:color w:val="000000"/>
          <w:sz w:val="24"/>
          <w:szCs w:val="24"/>
        </w:rPr>
        <w:t xml:space="preserve">Nota: no se incluye un anexo específico para el Capítulo 7 (Reflexiones Finales), ya que ese capítulo no genera instrumentos ni datos propios de respaldo.</w:t>
      </w:r>
    </w:p>
    <w:sectPr>
      <w:headerReference w:type="default" r:id="rId7"/>
      <w:headerReference w:type="first" r:id="rId8"/>
      <w:footerReference w:type="default" r:id="rId9"/>
      <w:footerReference w:type="first" r:id="rId10"/>
      <w:pgSz w:w="11906" w:h="16838"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2026-09-04T17:24:17.634Z</dcterms:created>
  <dcterms:modified xsi:type="dcterms:W3CDTF">2026-09-04T17:24:17.636Z</dcterms:modified>
</cp:coreProperties>
</file>

<file path=docProps/custom.xml><?xml version="1.0" encoding="utf-8"?>
<Properties xmlns="http://schemas.openxmlformats.org/officeDocument/2006/custom-properties" xmlns:vt="http://schemas.openxmlformats.org/officeDocument/2006/docPropsVTypes"/>
</file>