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line="240" w:lineRule="auto"/>
        <w:jc w:val="center"/>
      </w:pPr>
      <w:r>
        <w:rPr>
          <w:rFonts w:ascii="Times New Roman" w:cs="Times New Roman" w:eastAsia="Times New Roman" w:hAnsi="Times New Roman"/>
          <w:b/>
          <w:bCs/>
          <w:color w:val="000000"/>
          <w:sz w:val="24"/>
          <w:szCs w:val="24"/>
        </w:rPr>
        <w:t xml:space="preserve">PROGRAMA DE EDUCACIÓN TERCIARIA</w:t>
      </w:r>
    </w:p>
    <w:p>
      <w:pPr>
        <w:spacing w:after="80" w:before="0" w:line="240" w:lineRule="auto"/>
        <w:jc w:val="center"/>
      </w:pPr>
      <w:r>
        <w:rPr>
          <w:rFonts w:ascii="Times New Roman" w:cs="Times New Roman" w:eastAsia="Times New Roman" w:hAnsi="Times New Roman"/>
          <w:b w:val="false"/>
          <w:bCs w:val="false"/>
          <w:i w:val="false"/>
          <w:iCs w:val="false"/>
          <w:color w:val="000000"/>
          <w:sz w:val="24"/>
          <w:szCs w:val="24"/>
        </w:rPr>
        <w:t xml:space="preserve">Dirección General de Educación Técnico Profesional (UTU)</w:t>
      </w:r>
    </w:p>
    <w:p>
      <w:pPr>
        <w:spacing w:after="480" w:before="0" w:line="240" w:lineRule="auto"/>
        <w:jc w:val="center"/>
      </w:pPr>
      <w:r>
        <w:rPr>
          <w:rFonts w:ascii="Times New Roman" w:cs="Times New Roman" w:eastAsia="Times New Roman" w:hAnsi="Times New Roman"/>
          <w:b w:val="false"/>
          <w:bCs w:val="false"/>
          <w:i w:val="false"/>
          <w:iCs w:val="false"/>
          <w:color w:val="000000"/>
          <w:sz w:val="24"/>
          <w:szCs w:val="24"/>
        </w:rPr>
        <w:t xml:space="preserve">Polo Educativo Tecnológico, Salto (PET)</w:t>
      </w:r>
    </w:p>
    <w:p>
      <w:pPr>
        <w:spacing w:after="480" w:before="0" w:line="240" w:lineRule="auto"/>
        <w:jc w:val="center"/>
      </w:pPr>
      <w:r>
        <w:rPr>
          <w:rFonts w:ascii="Times New Roman" w:cs="Times New Roman" w:eastAsia="Times New Roman" w:hAnsi="Times New Roman"/>
          <w:b w:val="false"/>
          <w:bCs w:val="false"/>
          <w:i w:val="false"/>
          <w:iCs w:val="false"/>
          <w:color w:val="000000"/>
          <w:sz w:val="24"/>
          <w:szCs w:val="24"/>
        </w:rPr>
        <w:t xml:space="preserve">Departamento: Salto</w:t>
      </w:r>
    </w:p>
    <w:p>
      <w:pPr>
        <w:spacing w:after="480" w:line="240" w:lineRule="auto"/>
        <w:jc w:val="center"/>
      </w:pPr>
      <w:r>
        <w:rPr>
          <w:rFonts w:ascii="Times New Roman" w:cs="Times New Roman" w:eastAsia="Times New Roman" w:hAnsi="Times New Roman"/>
          <w:b/>
          <w:bCs/>
          <w:i w:val="false"/>
          <w:iCs w:val="false"/>
          <w:color w:val="000000"/>
          <w:sz w:val="24"/>
          <w:szCs w:val="24"/>
        </w:rPr>
        <w:t xml:space="preserve">Tecnólogo en Diseño de Itinerarios Turísticos Sostenibles Culturales 2026</w:t>
      </w:r>
    </w:p>
    <w:p>
      <w:pPr>
        <w:spacing w:after="160" w:before="0" w:line="240" w:lineRule="auto"/>
        <w:jc w:val="center"/>
      </w:pPr>
      <w:r>
        <w:rPr>
          <w:rFonts w:ascii="Times New Roman" w:cs="Times New Roman" w:eastAsia="Times New Roman" w:hAnsi="Times New Roman"/>
          <w:b w:val="false"/>
          <w:bCs w:val="false"/>
          <w:i w:val="false"/>
          <w:iCs w:val="false"/>
          <w:color w:val="000000"/>
          <w:sz w:val="24"/>
          <w:szCs w:val="24"/>
        </w:rPr>
        <w:t xml:space="preserve">Proyecto de egreso:</w:t>
      </w:r>
    </w:p>
    <w:p>
      <w:pPr>
        <w:spacing w:after="160" w:line="240" w:lineRule="auto"/>
        <w:jc w:val="center"/>
      </w:pPr>
      <w:r>
        <w:rPr>
          <w:rFonts w:ascii="Times New Roman" w:cs="Times New Roman" w:eastAsia="Times New Roman" w:hAnsi="Times New Roman"/>
          <w:b/>
          <w:bCs/>
          <w:i w:val="false"/>
          <w:iCs w:val="false"/>
          <w:color w:val="000000"/>
          <w:sz w:val="28"/>
          <w:szCs w:val="28"/>
        </w:rPr>
        <w:t xml:space="preserve">«La Ruta del Tannat: Cepa, origen e identidad»</w:t>
      </w:r>
    </w:p>
    <w:p>
      <w:pPr>
        <w:spacing w:after="480" w:line="240" w:lineRule="auto"/>
        <w:jc w:val="center"/>
      </w:pPr>
      <w:r>
        <w:rPr>
          <w:rFonts w:ascii="Times New Roman" w:cs="Times New Roman" w:eastAsia="Times New Roman" w:hAnsi="Times New Roman"/>
          <w:b/>
          <w:bCs/>
          <w:i/>
          <w:iCs/>
          <w:color w:val="000000"/>
          <w:sz w:val="24"/>
          <w:szCs w:val="24"/>
        </w:rPr>
        <w:t xml:space="preserve">Enoturismo para la diversificación y desestacionalización del destino Salto</w:t>
      </w:r>
    </w:p>
    <w:p>
      <w:pPr>
        <w:spacing w:after="80" w:before="0" w:line="240" w:lineRule="auto"/>
        <w:jc w:val="center"/>
      </w:pPr>
      <w:r>
        <w:rPr>
          <w:rFonts w:ascii="Times New Roman" w:cs="Times New Roman" w:eastAsia="Times New Roman" w:hAnsi="Times New Roman"/>
          <w:b w:val="false"/>
          <w:bCs w:val="false"/>
          <w:i w:val="false"/>
          <w:iCs w:val="false"/>
          <w:color w:val="000000"/>
          <w:sz w:val="24"/>
          <w:szCs w:val="24"/>
        </w:rPr>
        <w:t xml:space="preserve">Homero Texeira — C.I. 5.139.700-2</w:t>
      </w:r>
    </w:p>
    <w:p>
      <w:pPr>
        <w:spacing w:after="80" w:before="0" w:line="240" w:lineRule="auto"/>
        <w:jc w:val="center"/>
      </w:pPr>
      <w:r>
        <w:rPr>
          <w:rFonts w:ascii="Times New Roman" w:cs="Times New Roman" w:eastAsia="Times New Roman" w:hAnsi="Times New Roman"/>
          <w:b w:val="false"/>
          <w:bCs w:val="false"/>
          <w:i w:val="false"/>
          <w:iCs w:val="false"/>
          <w:color w:val="000000"/>
          <w:sz w:val="24"/>
          <w:szCs w:val="24"/>
        </w:rPr>
        <w:t xml:space="preserve">Anthony Moreira — C.I. 5.610.889-0</w:t>
      </w:r>
    </w:p>
    <w:p>
      <w:pPr>
        <w:spacing w:after="480" w:before="0" w:line="240" w:lineRule="auto"/>
        <w:jc w:val="center"/>
      </w:pPr>
      <w:r>
        <w:rPr>
          <w:rFonts w:ascii="Times New Roman" w:cs="Times New Roman" w:eastAsia="Times New Roman" w:hAnsi="Times New Roman"/>
          <w:b w:val="false"/>
          <w:bCs w:val="false"/>
          <w:i w:val="false"/>
          <w:iCs w:val="false"/>
          <w:color w:val="000000"/>
          <w:sz w:val="24"/>
          <w:szCs w:val="24"/>
        </w:rPr>
        <w:t xml:space="preserve">Federico Camara — C.I. 5.304.843-3</w:t>
      </w:r>
    </w:p>
    <w:p>
      <w:pPr>
        <w:spacing w:after="80" w:before="0" w:line="240" w:lineRule="auto"/>
        <w:jc w:val="center"/>
      </w:pPr>
      <w:r>
        <w:rPr>
          <w:rFonts w:ascii="Times New Roman" w:cs="Times New Roman" w:eastAsia="Times New Roman" w:hAnsi="Times New Roman"/>
          <w:b w:val="false"/>
          <w:bCs w:val="false"/>
          <w:i w:val="false"/>
          <w:iCs w:val="false"/>
          <w:color w:val="000000"/>
          <w:sz w:val="24"/>
          <w:szCs w:val="24"/>
        </w:rPr>
        <w:t xml:space="preserve">Equipo Docente orientador: [COMPLETAR]</w:t>
      </w:r>
    </w:p>
    <w:p>
      <w:pPr>
        <w:spacing w:after="80" w:before="0" w:line="240" w:lineRule="auto"/>
        <w:jc w:val="center"/>
      </w:pPr>
      <w:r>
        <w:rPr>
          <w:rFonts w:ascii="Times New Roman" w:cs="Times New Roman" w:eastAsia="Times New Roman" w:hAnsi="Times New Roman"/>
          <w:b w:val="false"/>
          <w:bCs w:val="false"/>
          <w:i w:val="false"/>
          <w:iCs w:val="false"/>
          <w:color w:val="000000"/>
          <w:sz w:val="24"/>
          <w:szCs w:val="24"/>
        </w:rPr>
        <w:t xml:space="preserve">Fecha de entrega: [COMPLETAR]</w:t>
      </w:r>
    </w:p>
    <w:p>
      <w:pPr>
        <w:pageBreakBefore/>
      </w:pPr>
    </w:p>
    <w:p>
      <w:pPr>
        <w:pStyle w:val="Heading1"/>
        <w:keepNext/>
        <w:spacing w:after="240" w:before="0" w:line="240" w:lineRule="auto"/>
        <w:jc w:val="center"/>
      </w:pPr>
      <w:r>
        <w:rPr>
          <w:rFonts w:ascii="Times New Roman" w:cs="Times New Roman" w:eastAsia="Times New Roman" w:hAnsi="Times New Roman"/>
          <w:b/>
          <w:bCs/>
          <w:i w:val="false"/>
          <w:iCs w:val="false"/>
          <w:color w:val="000000"/>
          <w:sz w:val="24"/>
          <w:szCs w:val="24"/>
        </w:rPr>
        <w:t xml:space="preserve">Índice</w:t>
      </w:r>
    </w:p>
    <w:p>
      <w:pPr>
        <w:spacing w:after="60" w:before="160" w:line="240" w:lineRule="auto"/>
      </w:pPr>
      <w:r>
        <w:rPr>
          <w:rFonts w:ascii="Times New Roman" w:cs="Times New Roman" w:eastAsia="Times New Roman" w:hAnsi="Times New Roman"/>
          <w:b/>
          <w:bCs/>
          <w:i w:val="false"/>
          <w:iCs w:val="false"/>
          <w:color w:val="000000"/>
          <w:sz w:val="24"/>
          <w:szCs w:val="24"/>
        </w:rPr>
        <w:t xml:space="preserve">Resumen Ejecutivo (Español / English / Português)</w:t>
      </w:r>
    </w:p>
    <w:p>
      <w:pPr>
        <w:spacing w:after="60" w:before="160" w:line="240" w:lineRule="auto"/>
      </w:pPr>
      <w:r>
        <w:rPr>
          <w:rFonts w:ascii="Times New Roman" w:cs="Times New Roman" w:eastAsia="Times New Roman" w:hAnsi="Times New Roman"/>
          <w:b/>
          <w:bCs/>
          <w:i w:val="false"/>
          <w:iCs w:val="false"/>
          <w:color w:val="000000"/>
          <w:sz w:val="24"/>
          <w:szCs w:val="24"/>
        </w:rPr>
        <w:t xml:space="preserve">Introducción</w:t>
      </w:r>
    </w:p>
    <w:p>
      <w:pPr>
        <w:spacing w:after="60" w:before="160" w:line="240" w:lineRule="auto"/>
      </w:pPr>
      <w:r>
        <w:rPr>
          <w:rFonts w:ascii="Times New Roman" w:cs="Times New Roman" w:eastAsia="Times New Roman" w:hAnsi="Times New Roman"/>
          <w:b/>
          <w:bCs/>
          <w:i w:val="false"/>
          <w:iCs w:val="false"/>
          <w:color w:val="000000"/>
          <w:sz w:val="24"/>
          <w:szCs w:val="24"/>
        </w:rPr>
        <w:t xml:space="preserve">Capítulo 1. Planteamiento de la Idea</w:t>
      </w:r>
    </w:p>
    <w:p>
      <w:pPr>
        <w:spacing w:after="40" w:line="240" w:lineRule="auto"/>
        <w:ind w:left="360"/>
      </w:pPr>
      <w:r>
        <w:rPr>
          <w:rFonts w:ascii="Times New Roman" w:cs="Times New Roman" w:eastAsia="Times New Roman" w:hAnsi="Times New Roman"/>
          <w:b w:val="false"/>
          <w:bCs w:val="false"/>
          <w:i w:val="false"/>
          <w:iCs w:val="false"/>
          <w:color w:val="000000"/>
          <w:sz w:val="24"/>
          <w:szCs w:val="24"/>
        </w:rPr>
        <w:t xml:space="preserve">1.1 Justificación del Proyecto · 1.2 Contextualización y Antecedentes · 1.3 Objetivos (1.3.1 General, 1.3.2 Específicos)</w:t>
      </w:r>
    </w:p>
    <w:p>
      <w:pPr>
        <w:spacing w:after="60" w:before="160" w:line="240" w:lineRule="auto"/>
      </w:pPr>
      <w:r>
        <w:rPr>
          <w:rFonts w:ascii="Times New Roman" w:cs="Times New Roman" w:eastAsia="Times New Roman" w:hAnsi="Times New Roman"/>
          <w:b/>
          <w:bCs/>
          <w:i w:val="false"/>
          <w:iCs w:val="false"/>
          <w:color w:val="000000"/>
          <w:sz w:val="24"/>
          <w:szCs w:val="24"/>
        </w:rPr>
        <w:t xml:space="preserve">Capítulo 2. Fundamentación Teórica</w:t>
      </w:r>
    </w:p>
    <w:p>
      <w:pPr>
        <w:spacing w:after="60" w:before="160" w:line="240" w:lineRule="auto"/>
      </w:pPr>
      <w:r>
        <w:rPr>
          <w:rFonts w:ascii="Times New Roman" w:cs="Times New Roman" w:eastAsia="Times New Roman" w:hAnsi="Times New Roman"/>
          <w:b/>
          <w:bCs/>
          <w:i w:val="false"/>
          <w:iCs w:val="false"/>
          <w:color w:val="000000"/>
          <w:sz w:val="24"/>
          <w:szCs w:val="24"/>
        </w:rPr>
        <w:t xml:space="preserve">Capítulo 3. Metodología de Trabajo</w:t>
      </w:r>
    </w:p>
    <w:p>
      <w:pPr>
        <w:spacing w:after="40" w:line="240" w:lineRule="auto"/>
        <w:ind w:left="360"/>
      </w:pPr>
      <w:r>
        <w:rPr>
          <w:rFonts w:ascii="Times New Roman" w:cs="Times New Roman" w:eastAsia="Times New Roman" w:hAnsi="Times New Roman"/>
          <w:b w:val="false"/>
          <w:bCs w:val="false"/>
          <w:i w:val="false"/>
          <w:iCs w:val="false"/>
          <w:color w:val="000000"/>
          <w:sz w:val="24"/>
          <w:szCs w:val="24"/>
        </w:rPr>
        <w:t xml:space="preserve">3.1 Enfoque Metodológico (3.1.1 Técnicas e instrumentos) · 3.2 Etapas del proceso de investigación</w:t>
      </w:r>
    </w:p>
    <w:p>
      <w:pPr>
        <w:spacing w:after="60" w:before="160" w:line="240" w:lineRule="auto"/>
      </w:pPr>
      <w:r>
        <w:rPr>
          <w:rFonts w:ascii="Times New Roman" w:cs="Times New Roman" w:eastAsia="Times New Roman" w:hAnsi="Times New Roman"/>
          <w:b/>
          <w:bCs/>
          <w:i w:val="false"/>
          <w:iCs w:val="false"/>
          <w:color w:val="000000"/>
          <w:sz w:val="24"/>
          <w:szCs w:val="24"/>
        </w:rPr>
        <w:t xml:space="preserve">Capítulo 4. Diagnóstico de Situación</w:t>
      </w:r>
    </w:p>
    <w:p>
      <w:pPr>
        <w:spacing w:after="40" w:line="240" w:lineRule="auto"/>
        <w:ind w:left="360"/>
      </w:pPr>
      <w:r>
        <w:rPr>
          <w:rFonts w:ascii="Times New Roman" w:cs="Times New Roman" w:eastAsia="Times New Roman" w:hAnsi="Times New Roman"/>
          <w:b w:val="false"/>
          <w:bCs w:val="false"/>
          <w:i w:val="false"/>
          <w:iCs w:val="false"/>
          <w:color w:val="000000"/>
          <w:sz w:val="24"/>
          <w:szCs w:val="24"/>
        </w:rPr>
        <w:t xml:space="preserve">4.1 Análisis Territorial y Turístico · 4.2 Análisis del Entorno · 4.3 Competencia · 4.4 Investigación de Mercados · 4.5 Análisis de Mercado · 4.6 Análisis FODA</w:t>
      </w:r>
    </w:p>
    <w:p>
      <w:pPr>
        <w:spacing w:after="60" w:before="160" w:line="240" w:lineRule="auto"/>
      </w:pPr>
      <w:r>
        <w:rPr>
          <w:rFonts w:ascii="Times New Roman" w:cs="Times New Roman" w:eastAsia="Times New Roman" w:hAnsi="Times New Roman"/>
          <w:b/>
          <w:bCs/>
          <w:i w:val="false"/>
          <w:iCs w:val="false"/>
          <w:color w:val="000000"/>
          <w:sz w:val="24"/>
          <w:szCs w:val="24"/>
        </w:rPr>
        <w:t xml:space="preserve">Capítulo 5. Propuesta de Valor</w:t>
      </w:r>
    </w:p>
    <w:p>
      <w:pPr>
        <w:spacing w:after="40" w:line="240" w:lineRule="auto"/>
        <w:ind w:left="360"/>
      </w:pPr>
      <w:r>
        <w:rPr>
          <w:rFonts w:ascii="Times New Roman" w:cs="Times New Roman" w:eastAsia="Times New Roman" w:hAnsi="Times New Roman"/>
          <w:b w:val="false"/>
          <w:bCs w:val="false"/>
          <w:i w:val="false"/>
          <w:iCs w:val="false"/>
          <w:color w:val="000000"/>
          <w:sz w:val="24"/>
          <w:szCs w:val="24"/>
        </w:rPr>
        <w:t xml:space="preserve">5.1 Propuesta de Valor y Estaciones del Itinerario · 5.2 Público Objetivo · 5.3 Misión y Visión · 5.4 Estructura Organizativa · 5.5 Marco Legal</w:t>
      </w:r>
    </w:p>
    <w:p>
      <w:pPr>
        <w:spacing w:after="60" w:before="160" w:line="240" w:lineRule="auto"/>
      </w:pPr>
      <w:r>
        <w:rPr>
          <w:rFonts w:ascii="Times New Roman" w:cs="Times New Roman" w:eastAsia="Times New Roman" w:hAnsi="Times New Roman"/>
          <w:b/>
          <w:bCs/>
          <w:i w:val="false"/>
          <w:iCs w:val="false"/>
          <w:color w:val="000000"/>
          <w:sz w:val="24"/>
          <w:szCs w:val="24"/>
        </w:rPr>
        <w:t xml:space="preserve">Capítulo 6. Plan de Acción</w:t>
      </w:r>
    </w:p>
    <w:p>
      <w:pPr>
        <w:spacing w:after="40" w:line="240" w:lineRule="auto"/>
        <w:ind w:left="360"/>
      </w:pPr>
      <w:r>
        <w:rPr>
          <w:rFonts w:ascii="Times New Roman" w:cs="Times New Roman" w:eastAsia="Times New Roman" w:hAnsi="Times New Roman"/>
          <w:b w:val="false"/>
          <w:bCs w:val="false"/>
          <w:i w:val="false"/>
          <w:iCs w:val="false"/>
          <w:color w:val="000000"/>
          <w:sz w:val="24"/>
          <w:szCs w:val="24"/>
        </w:rPr>
        <w:t xml:space="preserve">6.1 Estrategia de Marketing · 6.2 Estrategia de Sostenibilidad · 6.3 Estrategia de Calidad · 6.4 Estrategia de Operaciones · 6.5 Planificación Financiera · 6.6 Calendario de Implantación</w:t>
      </w:r>
    </w:p>
    <w:p>
      <w:pPr>
        <w:spacing w:after="60" w:before="160" w:line="240" w:lineRule="auto"/>
      </w:pPr>
      <w:r>
        <w:rPr>
          <w:rFonts w:ascii="Times New Roman" w:cs="Times New Roman" w:eastAsia="Times New Roman" w:hAnsi="Times New Roman"/>
          <w:b/>
          <w:bCs/>
          <w:i w:val="false"/>
          <w:iCs w:val="false"/>
          <w:color w:val="000000"/>
          <w:sz w:val="24"/>
          <w:szCs w:val="24"/>
        </w:rPr>
        <w:t xml:space="preserve">Capítulo 7. Reflexiones Finales</w:t>
      </w:r>
    </w:p>
    <w:p>
      <w:pPr>
        <w:spacing w:after="60" w:before="160" w:line="240" w:lineRule="auto"/>
      </w:pPr>
      <w:r>
        <w:rPr>
          <w:rFonts w:ascii="Times New Roman" w:cs="Times New Roman" w:eastAsia="Times New Roman" w:hAnsi="Times New Roman"/>
          <w:b/>
          <w:bCs/>
          <w:i w:val="false"/>
          <w:iCs w:val="false"/>
          <w:color w:val="000000"/>
          <w:sz w:val="24"/>
          <w:szCs w:val="24"/>
        </w:rPr>
        <w:t xml:space="preserve">Referencias Bibliográficas</w:t>
      </w:r>
    </w:p>
    <w:p>
      <w:pPr>
        <w:spacing w:after="60" w:before="160" w:line="240" w:lineRule="auto"/>
      </w:pPr>
      <w:r>
        <w:rPr>
          <w:rFonts w:ascii="Times New Roman" w:cs="Times New Roman" w:eastAsia="Times New Roman" w:hAnsi="Times New Roman"/>
          <w:b/>
          <w:bCs/>
          <w:i w:val="false"/>
          <w:iCs w:val="false"/>
          <w:color w:val="000000"/>
          <w:sz w:val="24"/>
          <w:szCs w:val="24"/>
        </w:rPr>
        <w:t xml:space="preserve">Anexos (uno por capítulo)</w:t>
      </w:r>
    </w:p>
    <w:p>
      <w:pPr>
        <w:pageBreakBefore/>
      </w:pPr>
    </w:p>
    <w:p>
      <w:pPr>
        <w:pStyle w:val="Heading1"/>
        <w:keepNext/>
        <w:spacing w:after="240" w:before="0" w:line="240" w:lineRule="auto"/>
        <w:jc w:val="center"/>
      </w:pPr>
      <w:r>
        <w:rPr>
          <w:rFonts w:ascii="Times New Roman" w:cs="Times New Roman" w:eastAsia="Times New Roman" w:hAnsi="Times New Roman"/>
          <w:b/>
          <w:bCs/>
          <w:i w:val="false"/>
          <w:iCs w:val="false"/>
          <w:color w:val="000000"/>
          <w:sz w:val="24"/>
          <w:szCs w:val="24"/>
        </w:rPr>
        <w:t xml:space="preserve">Resumen Ejecutivo</w:t>
      </w:r>
    </w:p>
    <w:p>
      <w:pPr>
        <w:keepNext w:val="false"/>
        <w:spacing w:after="160" w:line="240" w:lineRule="auto"/>
        <w:jc w:val="both"/>
      </w:pPr>
      <w:r>
        <w:rPr>
          <w:rFonts w:ascii="Times New Roman" w:cs="Times New Roman" w:eastAsia="Times New Roman" w:hAnsi="Times New Roman"/>
          <w:b w:val="false"/>
          <w:bCs w:val="false"/>
          <w:i w:val="false"/>
          <w:iCs w:val="false"/>
          <w:color w:val="000000"/>
          <w:sz w:val="24"/>
          <w:szCs w:val="24"/>
        </w:rPr>
        <w:t xml:space="preserve">“La Ruta del Tannat: Cepa, origen e identidad” propone un circuito enoturístico en el departamento de Salto que articula el patrimonio histórico del Espacio Cultural Bodega Harriague —cuna del vino uruguayo— con las bodegas activas Salto Chico, Bertolini &amp; Broglio y Mori Maglio, y con la infraestructura consolidada de la Ruta Termal. El proyecto responde a una debilidad estructural del destino: el Litoral Termal recibe 453.936 visitantes anuales pero con un gasto promedio de solo USD 189 por persona, muy por debajo de Colonia (USD 241) y Maldonado (USD 569), mientras Salto capta apenas el 5% del enoturismo nacional.</w:t>
      </w:r>
    </w:p>
    <w:p>
      <w:pPr>
        <w:keepNext w:val="false"/>
        <w:spacing w:after="160" w:line="240" w:lineRule="auto"/>
        <w:jc w:val="both"/>
      </w:pPr>
      <w:r>
        <w:rPr>
          <w:rFonts w:ascii="Times New Roman" w:cs="Times New Roman" w:eastAsia="Times New Roman" w:hAnsi="Times New Roman"/>
          <w:b w:val="false"/>
          <w:bCs w:val="false"/>
          <w:i w:val="false"/>
          <w:iCs w:val="false"/>
          <w:color w:val="000000"/>
          <w:sz w:val="24"/>
          <w:szCs w:val="24"/>
        </w:rPr>
        <w:t xml:space="preserve">La propuesta ofrece dos paquetes turísticos —media jornada y jornada completa— dirigidos al turista termal en busca de actividades complementarias y al enoturista especializado, con foco en los mercados uruguayo, argentino y, especialmente, brasileño. Su ejecución se apoya en un modelo de gobernanza asociativa (Comité de Gestión), financiamiento mixto (fondos MINTUR-INAVI-ANDE, aporte privado de las bodegas y apoyo municipal) y una inversión inicial de USD 45.000.</w:t>
      </w:r>
    </w:p>
    <w:p>
      <w:pPr>
        <w:keepNext w:val="false"/>
        <w:spacing w:after="160" w:line="240" w:lineRule="auto"/>
        <w:jc w:val="both"/>
      </w:pPr>
      <w:r>
        <w:rPr>
          <w:rFonts w:ascii="Times New Roman" w:cs="Times New Roman" w:eastAsia="Times New Roman" w:hAnsi="Times New Roman"/>
          <w:b w:val="false"/>
          <w:bCs w:val="false"/>
          <w:i w:val="false"/>
          <w:iCs w:val="false"/>
          <w:color w:val="000000"/>
          <w:sz w:val="24"/>
          <w:szCs w:val="24"/>
        </w:rPr>
        <w:t xml:space="preserve">Los indicadores financieros proyectados —punto de equilibrio en 1.600 turistas anuales, VAN de USD 192.418 y TIR del 84% a cinco años— confirman la viabilidad económica. A nivel social, el circuito diversifica ingresos para productores y proveedores locales de Colonia Osimani y Parada Daymán, y revaloriza la identidad vasca e inmigrante ligada a Pascual Harriague. A nivel ambiental, promueve la certificación de viñedos bajo el sello Uruguay Sustainable Winegrowing (INAVI). Estratégicamente, el proyecto busca desestacionalizar la demanda, ampliar la estadía promedio y posicionar a Salto como referente nacional del enoturismo patrimonial hacia 2030.</w:t>
      </w:r>
    </w:p>
    <w:p>
      <w:pPr>
        <w:pStyle w:val="Heading2"/>
        <w:keepNext/>
        <w:spacing w:after="160" w:before="240" w:line="240" w:lineRule="auto"/>
        <w:jc w:val="left"/>
      </w:pPr>
      <w:r>
        <w:rPr>
          <w:rFonts w:ascii="Times New Roman" w:cs="Times New Roman" w:eastAsia="Times New Roman" w:hAnsi="Times New Roman"/>
          <w:b/>
          <w:bCs/>
          <w:i w:val="false"/>
          <w:iCs w:val="false"/>
          <w:color w:val="000000"/>
          <w:sz w:val="24"/>
          <w:szCs w:val="24"/>
        </w:rPr>
        <w:t xml:space="preserve">Executive Summary</w:t>
      </w:r>
    </w:p>
    <w:p>
      <w:pPr>
        <w:keepNext w:val="false"/>
        <w:spacing w:after="160" w:line="240" w:lineRule="auto"/>
        <w:jc w:val="both"/>
      </w:pPr>
      <w:r>
        <w:rPr>
          <w:rFonts w:ascii="Times New Roman" w:cs="Times New Roman" w:eastAsia="Times New Roman" w:hAnsi="Times New Roman"/>
          <w:b w:val="false"/>
          <w:bCs w:val="false"/>
          <w:i w:val="false"/>
          <w:iCs w:val="false"/>
          <w:color w:val="000000"/>
          <w:sz w:val="24"/>
          <w:szCs w:val="24"/>
        </w:rPr>
        <w:t xml:space="preserve">“The Tannat Route: Vine, Origin and Identity” proposes a wine-tourism circuit in the Salto department (Uruguay) linking the historic Harriague Winery Cultural Space —the birthplace of Uruguayan wine— with the active wineries Salto Chico, Bertolini &amp; Broglio and Mori Maglio, and with the region's well-established thermal-spa infrastructure. The project addresses a structural weakness of the destination: the Thermal Littoral receives 453,936 visitors a year but only USD 189 in average spend per person, well below Colonia (USD 241) and Maldonado (USD 569), while Salto captures just 5% of national wine tourism.</w:t>
      </w:r>
    </w:p>
    <w:p>
      <w:pPr>
        <w:keepNext w:val="false"/>
        <w:spacing w:after="160" w:line="240" w:lineRule="auto"/>
        <w:jc w:val="both"/>
      </w:pPr>
      <w:r>
        <w:rPr>
          <w:rFonts w:ascii="Times New Roman" w:cs="Times New Roman" w:eastAsia="Times New Roman" w:hAnsi="Times New Roman"/>
          <w:b w:val="false"/>
          <w:bCs w:val="false"/>
          <w:i w:val="false"/>
          <w:iCs w:val="false"/>
          <w:color w:val="000000"/>
          <w:sz w:val="24"/>
          <w:szCs w:val="24"/>
        </w:rPr>
        <w:t xml:space="preserve">The offer includes two packages —a half-day and a full-day tour— targeted at thermal-spa tourists seeking complementary activities and at specialized wine tourists, with emphasis on the Uruguayan, Argentine and, above all, Brazilian markets. Implementation relies on an associative governance model (a Management Committee), blended financing (MINTUR-INAVI-ANDE public funds, private investment from the wineries and municipal support) and an initial investment of USD 45,000.</w:t>
      </w:r>
    </w:p>
    <w:p>
      <w:pPr>
        <w:keepNext w:val="false"/>
        <w:spacing w:after="160" w:line="240" w:lineRule="auto"/>
        <w:jc w:val="both"/>
      </w:pPr>
      <w:r>
        <w:rPr>
          <w:rFonts w:ascii="Times New Roman" w:cs="Times New Roman" w:eastAsia="Times New Roman" w:hAnsi="Times New Roman"/>
          <w:b w:val="false"/>
          <w:bCs w:val="false"/>
          <w:i w:val="false"/>
          <w:iCs w:val="false"/>
          <w:color w:val="000000"/>
          <w:sz w:val="24"/>
          <w:szCs w:val="24"/>
        </w:rPr>
        <w:t xml:space="preserve">Projected financial indicators —a break-even point of 1,600 tourists per year, a net present value of USD 192,418 and an 84% internal rate of return over five years— confirm the project's economic viability. Socially, the circuit diversifies income for local producers and suppliers in Colonia Osimani and Parada Daymán, and revalues the Basque immigrant identity tied to Pascual Harriague. Environmentally, it promotes vineyard certification under INAVI's Uruguay Sustainable Winegrowing seal. Strategically, the project aims to reduce seasonality, extend average length of stay, and position Salto as a national benchmark in heritage-based wine tourism by 2030.</w:t>
      </w:r>
    </w:p>
    <w:p>
      <w:pPr>
        <w:pStyle w:val="Heading2"/>
        <w:keepNext/>
        <w:spacing w:after="160" w:before="240" w:line="240" w:lineRule="auto"/>
        <w:jc w:val="left"/>
      </w:pPr>
      <w:r>
        <w:rPr>
          <w:rFonts w:ascii="Times New Roman" w:cs="Times New Roman" w:eastAsia="Times New Roman" w:hAnsi="Times New Roman"/>
          <w:b/>
          <w:bCs/>
          <w:i w:val="false"/>
          <w:iCs w:val="false"/>
          <w:color w:val="000000"/>
          <w:sz w:val="24"/>
          <w:szCs w:val="24"/>
        </w:rPr>
        <w:t xml:space="preserve">Resumo Executivo</w:t>
      </w:r>
    </w:p>
    <w:p>
      <w:pPr>
        <w:keepNext w:val="false"/>
        <w:spacing w:after="160" w:line="240" w:lineRule="auto"/>
        <w:jc w:val="both"/>
      </w:pPr>
      <w:r>
        <w:rPr>
          <w:rFonts w:ascii="Times New Roman" w:cs="Times New Roman" w:eastAsia="Times New Roman" w:hAnsi="Times New Roman"/>
          <w:b w:val="false"/>
          <w:bCs w:val="false"/>
          <w:i w:val="false"/>
          <w:iCs w:val="false"/>
          <w:color w:val="000000"/>
          <w:sz w:val="24"/>
          <w:szCs w:val="24"/>
        </w:rPr>
        <w:t xml:space="preserve">“A Rota do Tannat: Cepa, origem e identidade” propõe um roteiro enoturístico no departamento de Salto (Uruguai) que articula o patrimônio histórico do Espaço Cultural Bodega Harriague —berço do vinho uruguaio— com as vinícolas ativas Salto Chico, Bertolini &amp; Broglio e Mori Maglio, e com a consolidada infraestrutura termal da região. O projeto responde a uma fragilidade estrutural do destino: o Litoral Termal recebe 453.936 visitantes por ano, mas com gasto médio de apenas USD 189 por pessoa, bem abaixo de Colônia (USD 241) e Maldonado (USD 569), enquanto Salto capta apenas 5% do enoturismo nacional.</w:t>
      </w:r>
    </w:p>
    <w:p>
      <w:pPr>
        <w:keepNext w:val="false"/>
        <w:spacing w:after="160" w:line="240" w:lineRule="auto"/>
        <w:jc w:val="both"/>
      </w:pPr>
      <w:r>
        <w:rPr>
          <w:rFonts w:ascii="Times New Roman" w:cs="Times New Roman" w:eastAsia="Times New Roman" w:hAnsi="Times New Roman"/>
          <w:b w:val="false"/>
          <w:bCs w:val="false"/>
          <w:i w:val="false"/>
          <w:iCs w:val="false"/>
          <w:color w:val="000000"/>
          <w:sz w:val="24"/>
          <w:szCs w:val="24"/>
        </w:rPr>
        <w:t xml:space="preserve">A proposta oferece dois pacotes turísticos —meio período e dia inteiro— voltados ao turista termal em busca de atividades complementares e ao enoturista especializado, com foco nos mercados uruguaio, argentino e, principalmente, brasileiro. Sua execução se apoia em um modelo de governança associativa (Comitê de Gestão), financiamento misto (fundos MINTUR-INAVI-ANDE, aporte privado das vinícolas e apoio municipal) e um investimento inicial de USD 45.000.</w:t>
      </w:r>
    </w:p>
    <w:p>
      <w:pPr>
        <w:keepNext w:val="false"/>
        <w:spacing w:after="160" w:line="240" w:lineRule="auto"/>
        <w:jc w:val="both"/>
      </w:pPr>
      <w:r>
        <w:rPr>
          <w:rFonts w:ascii="Times New Roman" w:cs="Times New Roman" w:eastAsia="Times New Roman" w:hAnsi="Times New Roman"/>
          <w:b w:val="false"/>
          <w:bCs w:val="false"/>
          <w:i w:val="false"/>
          <w:iCs w:val="false"/>
          <w:color w:val="000000"/>
          <w:sz w:val="24"/>
          <w:szCs w:val="24"/>
        </w:rPr>
        <w:t xml:space="preserve">Os indicadores financeiros projetados —ponto de equilíbrio em 1.600 turistas anuais, VPL de USD 192.418 e TIR de 84% em cinco anos— confirmam a viabilidade econômica. No âmbito social, o circuito diversifica a renda de produtores e fornecedores locais de Colonia Osimani e Parada Daymán, e revaloriza a identidade basca e imigrante ligada a Pascual Harriague. No âmbito ambiental, promove a certificação de vinhedos sob o selo Uruguay Sustainable Winegrowing (INAVI). Estrategicamente, o projeto busca dessazonalizar a demanda, ampliar a permanência média e posicionar Salto como referência nacional do enoturismo patrimonial até 2030.</w:t>
      </w:r>
    </w:p>
    <w:p>
      <w:pPr>
        <w:pStyle w:val="Heading1"/>
        <w:keepNext/>
        <w:pageBreakBefore/>
        <w:spacing w:after="240" w:before="0" w:line="240" w:lineRule="auto"/>
        <w:jc w:val="center"/>
      </w:pPr>
      <w:r>
        <w:rPr>
          <w:rFonts w:ascii="Times New Roman" w:cs="Times New Roman" w:eastAsia="Times New Roman" w:hAnsi="Times New Roman"/>
          <w:b/>
          <w:bCs/>
          <w:i w:val="false"/>
          <w:iCs w:val="false"/>
          <w:color w:val="000000"/>
          <w:sz w:val="24"/>
          <w:szCs w:val="24"/>
        </w:rPr>
        <w:t xml:space="preserve">Introducción</w:t>
      </w:r>
    </w:p>
    <w:p>
      <w:pPr>
        <w:keepNext w:val="false"/>
        <w:spacing w:after="160" w:line="240" w:lineRule="auto"/>
        <w:jc w:val="both"/>
      </w:pPr>
      <w:r>
        <w:rPr>
          <w:rFonts w:ascii="Times New Roman" w:cs="Times New Roman" w:eastAsia="Times New Roman" w:hAnsi="Times New Roman"/>
          <w:b w:val="false"/>
          <w:bCs w:val="false"/>
          <w:i w:val="false"/>
          <w:iCs w:val="false"/>
          <w:color w:val="000000"/>
          <w:sz w:val="24"/>
          <w:szCs w:val="24"/>
        </w:rPr>
        <w:t xml:space="preserve">El departamento de Salto constituye un territorio de particular relevancia para el diseño de proyectos turísticos con base territorial, debido a que coexisten dos activos estratégicos que, aunque históricamente se han desarrollado en planos diferenciados, poseen una alta capacidad de complementarse. Por un lado, el turismo termal se encuentra plenamente consolidado como el producto tope de gama de la región, dotado de una infraestructura madura y flujos de demanda constantes. Por otro lado, la vitivinicultura salteña exhibe un fuerte arraigo histórico, una densidad patrimonial única y un notable potencial de diferenciación internacional. La desconexión estructural entre ambos sectores ha limitado la optimización del valor del territorio, perpetuando una especialización que restringe el desarrollo endógeno de las zonas rurales y patrimoniales del departamento.</w:t>
      </w:r>
    </w:p>
    <w:p>
      <w:pPr>
        <w:keepNext w:val="false"/>
        <w:spacing w:after="160" w:line="240" w:lineRule="auto"/>
        <w:jc w:val="both"/>
      </w:pPr>
      <w:r>
        <w:rPr>
          <w:rFonts w:ascii="Times New Roman" w:cs="Times New Roman" w:eastAsia="Times New Roman" w:hAnsi="Times New Roman"/>
          <w:b w:val="false"/>
          <w:bCs w:val="false"/>
          <w:i w:val="false"/>
          <w:iCs w:val="false"/>
          <w:color w:val="000000"/>
          <w:sz w:val="24"/>
          <w:szCs w:val="24"/>
        </w:rPr>
        <w:t xml:space="preserve">La propuesta de este proyecto parte de la necesidad de superar la lógica exclusiva del turismo termal y avanzar hacia una diversificación estratégica de la oferta, capaz de distribuir los flujos de visitantes, ampliar la estadía promedio, fortalecer la economía de pequeña escala y revalorizar la identidad del territorio. Salto es la auténtica “Cuna del Tannat”, cepa introducida por Pascual Harriague en el último cuarto del siglo XIX y producida en la primera bodega comercial del país. Esta singularidad histórica representa un recurso intangible de incalculable valor turístico, transformable en una experiencia interpretativa y en un circuito temático integrado.</w:t>
      </w:r>
    </w:p>
    <w:p>
      <w:pPr>
        <w:keepNext w:val="false"/>
        <w:spacing w:after="160" w:line="240" w:lineRule="auto"/>
        <w:jc w:val="both"/>
      </w:pPr>
      <w:r>
        <w:rPr>
          <w:rFonts w:ascii="Times New Roman" w:cs="Times New Roman" w:eastAsia="Times New Roman" w:hAnsi="Times New Roman"/>
          <w:b w:val="false"/>
          <w:bCs w:val="false"/>
          <w:i w:val="false"/>
          <w:iCs w:val="false"/>
          <w:color w:val="000000"/>
          <w:sz w:val="24"/>
          <w:szCs w:val="24"/>
        </w:rPr>
        <w:t xml:space="preserve">En términos de planificación, el diseño de este circuito implica una transición desde recursos dispersos y desestructurados hacia un sistema de experiencias organizadas bajo criterios de sostenibilidad, gobernanza colaborativa, accesibilidad universal e interpretación del patrimonio. Este informe sistematiza los antecedentes, marcos conceptuales, diagnósticos de mercado y planes de acción necesarios para viabilizar una oferta híbrida de bienestar y cultura enológica en el departamento de Salto.</w:t>
      </w:r>
    </w:p>
    <w:p>
      <w:pPr>
        <w:pStyle w:val="Heading1"/>
        <w:keepNext/>
        <w:pageBreakBefore/>
        <w:spacing w:after="240" w:before="0" w:line="240" w:lineRule="auto"/>
        <w:jc w:val="center"/>
      </w:pPr>
      <w:r>
        <w:rPr>
          <w:rFonts w:ascii="Times New Roman" w:cs="Times New Roman" w:eastAsia="Times New Roman" w:hAnsi="Times New Roman"/>
          <w:b/>
          <w:bCs/>
          <w:i w:val="false"/>
          <w:iCs w:val="false"/>
          <w:color w:val="000000"/>
          <w:sz w:val="24"/>
          <w:szCs w:val="24"/>
        </w:rPr>
        <w:t xml:space="preserve">Capítulo 1. Planteamiento de la Idea</w:t>
      </w:r>
    </w:p>
    <w:p>
      <w:pPr>
        <w:pStyle w:val="Heading2"/>
        <w:keepNext/>
        <w:spacing w:after="160" w:before="240" w:line="240" w:lineRule="auto"/>
        <w:jc w:val="left"/>
      </w:pPr>
      <w:r>
        <w:rPr>
          <w:rFonts w:ascii="Times New Roman" w:cs="Times New Roman" w:eastAsia="Times New Roman" w:hAnsi="Times New Roman"/>
          <w:b/>
          <w:bCs/>
          <w:i w:val="false"/>
          <w:iCs w:val="false"/>
          <w:color w:val="000000"/>
          <w:sz w:val="24"/>
          <w:szCs w:val="24"/>
        </w:rPr>
        <w:t xml:space="preserve">1.1. Justificación del Proyecto</w:t>
      </w:r>
    </w:p>
    <w:p>
      <w:pPr>
        <w:keepNext w:val="false"/>
        <w:spacing w:after="160" w:line="240" w:lineRule="auto"/>
        <w:jc w:val="both"/>
      </w:pPr>
      <w:r>
        <w:rPr>
          <w:rFonts w:ascii="Times New Roman" w:cs="Times New Roman" w:eastAsia="Times New Roman" w:hAnsi="Times New Roman"/>
          <w:b w:val="false"/>
          <w:bCs w:val="false"/>
          <w:i w:val="false"/>
          <w:iCs w:val="false"/>
          <w:color w:val="000000"/>
          <w:sz w:val="24"/>
          <w:szCs w:val="24"/>
        </w:rPr>
        <w:t xml:space="preserve">La justificación económica y social de la propuesta radica en la necesidad de corregir las debilidades del modelo turístico del departamento de Salto. El turismo en Uruguay es un motor crítico, que genera ingresos agregados por USD 2.040 millones (CAMAERO, s.f.). Sin embargo, según el “Estudio del perfil del turista de la Región de Salto Grande” (Observatorio Económico, Universidad Católica del Uruguay Campus Salto, 2025), el Litoral Termal presenta una brecha frente a otras regiones del país: recibe un volumen de visitantes elevado —453.936 personas anuales— pero su gasto acumulado se limita a USD 86 millones, lo que arroja un gasto promedio por persona de solo USD 189. En contraste, Colonia del Sacramento recibe un flujo similar (469.297 visitantes) pero genera USD 113 millones, con un gasto promedio de USD 241, mientras que Maldonado capta un gasto promedio de USD 569. Esto indica que el modelo termal salteño atrae un perfil de demanda de bajo gasto y baja diversificación recreativa.</w:t>
      </w:r>
    </w:p>
    <w:p>
      <w:pPr>
        <w:keepNext w:val="false"/>
        <w:spacing w:after="160" w:line="240" w:lineRule="auto"/>
        <w:jc w:val="both"/>
      </w:pPr>
      <w:r>
        <w:rPr>
          <w:rFonts w:ascii="Times New Roman" w:cs="Times New Roman" w:eastAsia="Times New Roman" w:hAnsi="Times New Roman"/>
          <w:b w:val="false"/>
          <w:bCs w:val="false"/>
          <w:i w:val="false"/>
          <w:iCs w:val="false"/>
          <w:color w:val="000000"/>
          <w:sz w:val="24"/>
          <w:szCs w:val="24"/>
        </w:rPr>
        <w:t xml:space="preserve">A esta problemática se suma la pérdida de competitividad de Salto en el mercado doméstico. El Monitor de Actividad Turística de marzo de 2026 (CERES) señaló que, durante los primeros meses del año, Salto quedó fuera de la lista de los cinco destinos más visitados del país, liderada por Punta del Este, Piriápolis, Chuy, Punta del Diablo y Colonia del Sacramento. La dependencia de un producto tradicional ha acelerado la obsolescencia de la marca destino, haciendo indispensable la incorporación de ofertas complementarias.</w:t>
      </w:r>
    </w:p>
    <w:p>
      <w:pPr>
        <w:keepNext w:val="false"/>
        <w:spacing w:after="160" w:line="240" w:lineRule="auto"/>
        <w:jc w:val="both"/>
      </w:pPr>
      <w:r>
        <w:rPr>
          <w:rFonts w:ascii="Times New Roman" w:cs="Times New Roman" w:eastAsia="Times New Roman" w:hAnsi="Times New Roman"/>
          <w:b w:val="false"/>
          <w:bCs w:val="false"/>
          <w:i w:val="false"/>
          <w:iCs w:val="false"/>
          <w:color w:val="000000"/>
          <w:sz w:val="24"/>
          <w:szCs w:val="24"/>
        </w:rPr>
        <w:t xml:space="preserve">El enoturismo en Uruguay representa una oportunidad para revertir esta tendencia: genera de forma directa más de USD 11 millones anuales a nivel nacional, sustentados por una red de 49 establecimientos (INAVI, s.f.). Sin embargo, la distribución de estos ingresos muestra una fuerte concentración geográfica —Montevideo y Canelones absorben el 59%, Maldonado el 25% y Colonia el 11%—, relegando a Salto al 5% correspondiente al “resto del país”. La valorización de la vitivinicultura salteña no solo captará una porción de este mercado dinámico, sino que elevará el gasto diario del turista termal, cuyo gasto promedio nacional enoturístico oscila entre USD 76 y USD 90 por visitante (Instituto Nacional de Vitivinicultura [INAVI] &amp; Opción Consultores, 2023).</w:t>
      </w:r>
    </w:p>
    <w:p>
      <w:pPr>
        <w:pStyle w:val="Heading2"/>
        <w:keepNext/>
        <w:spacing w:after="160" w:before="240" w:line="240" w:lineRule="auto"/>
        <w:jc w:val="left"/>
      </w:pPr>
      <w:r>
        <w:rPr>
          <w:rFonts w:ascii="Times New Roman" w:cs="Times New Roman" w:eastAsia="Times New Roman" w:hAnsi="Times New Roman"/>
          <w:b/>
          <w:bCs/>
          <w:i w:val="false"/>
          <w:iCs w:val="false"/>
          <w:color w:val="000000"/>
          <w:sz w:val="24"/>
          <w:szCs w:val="24"/>
        </w:rPr>
        <w:t xml:space="preserve">1.2. Contextualización y Antecedentes</w:t>
      </w:r>
    </w:p>
    <w:p>
      <w:pPr>
        <w:keepNext w:val="false"/>
        <w:spacing w:after="160" w:line="240" w:lineRule="auto"/>
        <w:jc w:val="both"/>
      </w:pPr>
      <w:r>
        <w:rPr>
          <w:rFonts w:ascii="Times New Roman" w:cs="Times New Roman" w:eastAsia="Times New Roman" w:hAnsi="Times New Roman"/>
          <w:b w:val="false"/>
          <w:bCs w:val="false"/>
          <w:i w:val="false"/>
          <w:iCs w:val="false"/>
          <w:color w:val="000000"/>
          <w:sz w:val="24"/>
          <w:szCs w:val="24"/>
        </w:rPr>
        <w:t xml:space="preserve">El arraigo vitivinícola de Salto se remonta al siglo XIX. Pascual Harriague, inmigrante vasco-francés radicado en Uruguay en 1838 y establecido en Salto en 1840, identificó en 1874 una cepa de procedencia vasca cultivada de forma experimental en la vecina localidad de Concordia (Entre Ríos). Esta variedad, denominada Tannat, encontró en los suelos y el clima de Salto un ecosistema óptimo para su maduración. En 1883, la bodega Harriague ya almacenaba una producción de 300 bordalesas de vino, y para 1887 el establecimiento poseía 137 cuadras de viñedos, consolidando a Salto como el núcleo originario y simbólico del vino uruguayo (Gran Logia de la Masonería del Uruguay, s.f.).</w:t>
      </w:r>
    </w:p>
    <w:p>
      <w:pPr>
        <w:keepNext w:val="false"/>
        <w:spacing w:after="160" w:line="240" w:lineRule="auto"/>
        <w:jc w:val="both"/>
      </w:pPr>
      <w:r>
        <w:rPr>
          <w:rFonts w:ascii="Times New Roman" w:cs="Times New Roman" w:eastAsia="Times New Roman" w:hAnsi="Times New Roman"/>
          <w:b w:val="false"/>
          <w:bCs w:val="false"/>
          <w:i w:val="false"/>
          <w:iCs w:val="false"/>
          <w:color w:val="000000"/>
          <w:sz w:val="24"/>
          <w:szCs w:val="24"/>
        </w:rPr>
        <w:t xml:space="preserve">En años recientes se han impulsado acciones públicas y privadas para revalorizar esta herencia, entre ellas la organización anual de la “Semana de Harriague” en abril, que reúne actividades culturales, gastronómicas y de cata de vinos con la participación del Centro Vasco de Salto (Saltoko Euskaldunen Taldea) y la Asociación de Vitivinicultores de Salto. La edición reciente adquirió carácter binacional al integrar actividades compartidas con la ciudad argentina de Concordia (El Pueblo Digital, 2026).</w:t>
      </w:r>
    </w:p>
    <w:p>
      <w:pPr>
        <w:keepNext w:val="false"/>
        <w:spacing w:after="160" w:line="240" w:lineRule="auto"/>
        <w:jc w:val="both"/>
      </w:pPr>
      <w:r>
        <w:rPr>
          <w:rFonts w:ascii="Times New Roman" w:cs="Times New Roman" w:eastAsia="Times New Roman" w:hAnsi="Times New Roman"/>
          <w:b w:val="false"/>
          <w:bCs w:val="false"/>
          <w:i w:val="false"/>
          <w:iCs w:val="false"/>
          <w:color w:val="000000"/>
          <w:sz w:val="24"/>
          <w:szCs w:val="24"/>
        </w:rPr>
        <w:t xml:space="preserve">Aun así, estos esfuerzos no se han traducido en una oferta turística integrada y comercial de forma continua. Las ruinas de la antigua Bodega Harriague han sufrido intermitencia en su gestión cultural, lo que debilita su capacidad para establecerse como referencia estable. La promoción del destino Salto continúa excesivamente enfocada en el producto termal, dejando de lado la oferta vitivinícola activa de establecimientos comerciales que operan de manera fragmentada y sin una red de cooperación que unifique los servicios turísticos.</w:t>
      </w:r>
    </w:p>
    <w:p>
      <w:pPr>
        <w:pStyle w:val="Heading2"/>
        <w:keepNext/>
        <w:spacing w:after="160" w:before="240" w:line="240" w:lineRule="auto"/>
        <w:jc w:val="left"/>
      </w:pPr>
      <w:r>
        <w:rPr>
          <w:rFonts w:ascii="Times New Roman" w:cs="Times New Roman" w:eastAsia="Times New Roman" w:hAnsi="Times New Roman"/>
          <w:b/>
          <w:bCs/>
          <w:i w:val="false"/>
          <w:iCs w:val="false"/>
          <w:color w:val="000000"/>
          <w:sz w:val="24"/>
          <w:szCs w:val="24"/>
        </w:rPr>
        <w:t xml:space="preserve">1.3. Objetivos</w:t>
      </w:r>
    </w:p>
    <w:p>
      <w:pPr>
        <w:pStyle w:val="Heading3"/>
        <w:keepNext/>
        <w:spacing w:after="120" w:before="200" w:line="240" w:lineRule="auto"/>
        <w:jc w:val="left"/>
      </w:pPr>
      <w:r>
        <w:rPr>
          <w:rFonts w:ascii="Times New Roman" w:cs="Times New Roman" w:eastAsia="Times New Roman" w:hAnsi="Times New Roman"/>
          <w:b/>
          <w:bCs/>
          <w:i/>
          <w:iCs/>
          <w:color w:val="000000"/>
          <w:sz w:val="24"/>
          <w:szCs w:val="24"/>
        </w:rPr>
        <w:t xml:space="preserve">1.3.1. Objetivo General</w:t>
      </w:r>
    </w:p>
    <w:p>
      <w:pPr>
        <w:keepNext w:val="false"/>
        <w:spacing w:after="160" w:line="240" w:lineRule="auto"/>
        <w:jc w:val="both"/>
      </w:pPr>
      <w:r>
        <w:rPr>
          <w:rFonts w:ascii="Times New Roman" w:cs="Times New Roman" w:eastAsia="Times New Roman" w:hAnsi="Times New Roman"/>
          <w:b w:val="false"/>
          <w:bCs w:val="false"/>
          <w:i w:val="false"/>
          <w:iCs w:val="false"/>
          <w:color w:val="000000"/>
          <w:sz w:val="24"/>
          <w:szCs w:val="24"/>
        </w:rPr>
        <w:t xml:space="preserve">Diseñar y estructurar una ruta enoturística en el departamento de Salto que integre el patrimonio histórico de la “Cuna del Tannat” con la dinámica comercial de las bodegas activas y la infraestructura de la Ruta Termal, promoviendo el desarrollo territorial, la desestacionalización del destino y la diversificación y aumento del gasto del visitante.</w:t>
      </w:r>
    </w:p>
    <w:p>
      <w:pPr>
        <w:pStyle w:val="Heading3"/>
        <w:keepNext/>
        <w:spacing w:after="120" w:before="200" w:line="240" w:lineRule="auto"/>
        <w:jc w:val="left"/>
      </w:pPr>
      <w:r>
        <w:rPr>
          <w:rFonts w:ascii="Times New Roman" w:cs="Times New Roman" w:eastAsia="Times New Roman" w:hAnsi="Times New Roman"/>
          <w:b/>
          <w:bCs/>
          <w:i/>
          <w:iCs/>
          <w:color w:val="000000"/>
          <w:sz w:val="24"/>
          <w:szCs w:val="24"/>
        </w:rPr>
        <w:t xml:space="preserve">1.3.2. Objetivos Específicos</w:t>
      </w:r>
    </w:p>
    <w:p>
      <w:pPr>
        <w:keepNext w:val="false"/>
        <w:spacing w:after="160" w:line="240" w:lineRule="auto"/>
        <w:jc w:val="both"/>
      </w:pPr>
      <w:r>
        <w:rPr>
          <w:rFonts w:ascii="Times New Roman" w:cs="Times New Roman" w:eastAsia="Times New Roman" w:hAnsi="Times New Roman"/>
          <w:b w:val="false"/>
          <w:bCs w:val="false"/>
          <w:i w:val="false"/>
          <w:iCs w:val="false"/>
          <w:color w:val="000000"/>
          <w:sz w:val="24"/>
          <w:szCs w:val="24"/>
        </w:rPr>
        <w:t xml:space="preserve">El logro del objetivo general se articula en cuatro objetivos específicos. En primer lugar, sistematizar un inventario técnico de los recursos enoturísticos, arqueológicos e infraestructuras de apoyo disponibles en el departamento, para evaluar su nivel de viabilidad y adecuación a la oferta. En segundo lugar, definir el trazado espacial y el guión del circuito, garantizando una conexión óptima entre la ciudad de Salto, el corredor de Daymán y los viñedos litorales. En tercer lugar, estructurar un modelo de gobernanza asociativa entre el sector público, los vitivinicultores locales, las organizaciones de la sociedad civil y la red de hotelería, para superar la fragmentación operativa. Finalmente, diseñar el plan de acción comercial y financiero de la propuesta, determinando estructuras de precios viables, canales de reserva digitales y estrategias de promoción para captar los segmentos de alta rentabilidad.</w:t>
      </w:r>
    </w:p>
    <w:p>
      <w:pPr>
        <w:pStyle w:val="Heading1"/>
        <w:keepNext/>
        <w:pageBreakBefore/>
        <w:spacing w:after="240" w:before="0" w:line="240" w:lineRule="auto"/>
        <w:jc w:val="center"/>
      </w:pPr>
      <w:r>
        <w:rPr>
          <w:rFonts w:ascii="Times New Roman" w:cs="Times New Roman" w:eastAsia="Times New Roman" w:hAnsi="Times New Roman"/>
          <w:b/>
          <w:bCs/>
          <w:i w:val="false"/>
          <w:iCs w:val="false"/>
          <w:color w:val="000000"/>
          <w:sz w:val="24"/>
          <w:szCs w:val="24"/>
        </w:rPr>
        <w:t xml:space="preserve">Capítulo 2. Fundamentación Teórica</w:t>
      </w:r>
    </w:p>
    <w:p>
      <w:pPr>
        <w:pStyle w:val="Heading2"/>
        <w:keepNext/>
        <w:spacing w:after="160" w:before="240" w:line="240" w:lineRule="auto"/>
        <w:jc w:val="left"/>
      </w:pPr>
      <w:r>
        <w:rPr>
          <w:rFonts w:ascii="Times New Roman" w:cs="Times New Roman" w:eastAsia="Times New Roman" w:hAnsi="Times New Roman"/>
          <w:b/>
          <w:bCs/>
          <w:i w:val="false"/>
          <w:iCs w:val="false"/>
          <w:color w:val="000000"/>
          <w:sz w:val="24"/>
          <w:szCs w:val="24"/>
        </w:rPr>
        <w:t xml:space="preserve">2.1. Turismo sostenible en destinos vitivinícolas</w:t>
      </w:r>
    </w:p>
    <w:p>
      <w:pPr>
        <w:keepNext w:val="false"/>
        <w:spacing w:after="160" w:line="240" w:lineRule="auto"/>
        <w:jc w:val="both"/>
      </w:pPr>
      <w:r>
        <w:rPr>
          <w:rFonts w:ascii="Times New Roman" w:cs="Times New Roman" w:eastAsia="Times New Roman" w:hAnsi="Times New Roman"/>
          <w:b w:val="false"/>
          <w:bCs w:val="false"/>
          <w:i w:val="false"/>
          <w:iCs w:val="false"/>
          <w:color w:val="000000"/>
          <w:sz w:val="24"/>
          <w:szCs w:val="24"/>
        </w:rPr>
        <w:t xml:space="preserve">El turismo sostenible se define, de acuerdo con la Organización Mundial del Turismo, como aquel que considera plenamente sus repercusiones económicas, sociales y ambientales actuales y futuras, satisfaciendo las necesidades de los visitantes, del entorno, de la industria y de las comunidades receptoras (Organización Mundial del Turismo [ONU Turismo], s.f.). Para un destino como Salto, este enfoque funciona como herramienta de ordenamiento territorial: dispersa flujos hacia zonas menos conocidas, desestacionaliza la demanda, extiende la estadía y eleva el gasto diario, dinamizando economías rurales de pequeña escala.</w:t>
      </w:r>
    </w:p>
    <w:p>
      <w:pPr>
        <w:keepNext w:val="false"/>
        <w:spacing w:after="160" w:line="240" w:lineRule="auto"/>
        <w:jc w:val="both"/>
      </w:pPr>
      <w:r>
        <w:rPr>
          <w:rFonts w:ascii="Times New Roman" w:cs="Times New Roman" w:eastAsia="Times New Roman" w:hAnsi="Times New Roman"/>
          <w:b w:val="false"/>
          <w:bCs w:val="false"/>
          <w:i w:val="false"/>
          <w:iCs w:val="false"/>
          <w:color w:val="000000"/>
          <w:sz w:val="24"/>
          <w:szCs w:val="24"/>
        </w:rPr>
        <w:t xml:space="preserve">En el enoturismo, la dimensión ambiental se expresa en el terruño o terroir —la convergencia de geología, clima y saberes técnicos que exige un manejo agrícola responsable—; en Uruguay, el Programa de Viticultura Sostenible del INAVI, certificado bajo la norma Uruguay Sustainable Winegrowing (LSQA), ya cubre el 38% de la superficie nacional (238 viñedos, 37 bodegas). La dimensión sociocultural rescata la memoria histórica y los saberes agrícolas tradicionales, evitando la mercantilización artificial del patrimonio mediante la participación directa de los productores en el diseño de la oferta. La dimensión económica se traduce en la diversificación de ingresos para bodegas de pequeña escala a través de la venta directa, y en la generación de producción “hacia atrás y hacia adelante” que integra vino, gastronomía, transporte y hotelería.</w:t>
      </w:r>
    </w:p>
    <w:p>
      <w:pPr>
        <w:pStyle w:val="Heading2"/>
        <w:keepNext/>
        <w:spacing w:after="160" w:before="240" w:line="240" w:lineRule="auto"/>
        <w:jc w:val="left"/>
      </w:pPr>
      <w:r>
        <w:rPr>
          <w:rFonts w:ascii="Times New Roman" w:cs="Times New Roman" w:eastAsia="Times New Roman" w:hAnsi="Times New Roman"/>
          <w:b/>
          <w:bCs/>
          <w:i w:val="false"/>
          <w:iCs w:val="false"/>
          <w:color w:val="000000"/>
          <w:sz w:val="24"/>
          <w:szCs w:val="24"/>
        </w:rPr>
        <w:t xml:space="preserve">2.2. El turismo como experiencia transformadora</w:t>
      </w:r>
    </w:p>
    <w:p>
      <w:pPr>
        <w:keepNext w:val="false"/>
        <w:spacing w:after="160" w:line="240" w:lineRule="auto"/>
        <w:jc w:val="both"/>
      </w:pPr>
      <w:r>
        <w:rPr>
          <w:rFonts w:ascii="Times New Roman" w:cs="Times New Roman" w:eastAsia="Times New Roman" w:hAnsi="Times New Roman"/>
          <w:b w:val="false"/>
          <w:bCs w:val="false"/>
          <w:i w:val="false"/>
          <w:iCs w:val="false"/>
          <w:color w:val="000000"/>
          <w:sz w:val="24"/>
          <w:szCs w:val="24"/>
        </w:rPr>
        <w:t xml:space="preserve">El viaje contemporáneo ha pasado del turista de masas pasivo a una demanda orientada a la inmersión activa, que impulsa rutas agroindustriales y experiencias de contacto directo con el productor. Ahlfert (2012), apoyándose en la “economía de la experiencia” de Pine y Gilmore (1998), sostiene que las empresas turísticas deben diseñar acontecimientos memorables que apelen a las emociones del visitante, a partir de dos ejes: la diferencia (salir de la rutina cotidiana) y la novedad (descubrir elementos desconocidos o mirar lo conocido desde una perspectiva nueva). Este enfoque conecta con las “experiencias cumbre” descritas por Maslow (1964) y con la “mirada turística” de Urry (2002), quien advierte que los destinos deben estructurar narrativas complejas que faciliten una inmersión interpretativa real, superando la superficialidad de la información turística tradicional.</w:t>
      </w:r>
    </w:p>
    <w:p>
      <w:pPr>
        <w:keepNext w:val="false"/>
        <w:spacing w:after="160" w:line="240" w:lineRule="auto"/>
        <w:jc w:val="both"/>
      </w:pPr>
      <w:r>
        <w:rPr>
          <w:rFonts w:ascii="Times New Roman" w:cs="Times New Roman" w:eastAsia="Times New Roman" w:hAnsi="Times New Roman"/>
          <w:b w:val="false"/>
          <w:bCs w:val="false"/>
          <w:i w:val="false"/>
          <w:iCs w:val="false"/>
          <w:color w:val="000000"/>
          <w:sz w:val="24"/>
          <w:szCs w:val="24"/>
        </w:rPr>
        <w:t xml:space="preserve">En el medio rural, estos principios se concretan en itinerarios interactivos: el contacto directo con el productor, las degustaciones sensoriales guiadas y los recorridos interpretativos en el viñedo, que permiten comprender los ciclos biológicos de la vid y el manejo del suelo.</w:t>
      </w:r>
    </w:p>
    <w:p>
      <w:pPr>
        <w:pStyle w:val="Heading2"/>
        <w:keepNext/>
        <w:spacing w:after="160" w:before="240" w:line="240" w:lineRule="auto"/>
        <w:jc w:val="left"/>
      </w:pPr>
      <w:r>
        <w:rPr>
          <w:rFonts w:ascii="Times New Roman" w:cs="Times New Roman" w:eastAsia="Times New Roman" w:hAnsi="Times New Roman"/>
          <w:b/>
          <w:bCs/>
          <w:i w:val="false"/>
          <w:iCs w:val="false"/>
          <w:color w:val="000000"/>
          <w:sz w:val="24"/>
          <w:szCs w:val="24"/>
        </w:rPr>
        <w:t xml:space="preserve">2.3. Enfoques aplicados al diseño de la ruta</w:t>
      </w:r>
    </w:p>
    <w:p>
      <w:pPr>
        <w:keepNext w:val="false"/>
        <w:spacing w:after="160" w:line="240" w:lineRule="auto"/>
        <w:jc w:val="both"/>
      </w:pPr>
      <w:r>
        <w:rPr>
          <w:rFonts w:ascii="Times New Roman" w:cs="Times New Roman" w:eastAsia="Times New Roman" w:hAnsi="Times New Roman"/>
          <w:b w:val="false"/>
          <w:bCs w:val="false"/>
          <w:i w:val="false"/>
          <w:iCs w:val="false"/>
          <w:color w:val="000000"/>
          <w:sz w:val="24"/>
          <w:szCs w:val="24"/>
        </w:rPr>
        <w:t xml:space="preserve">El diseño de la ruta se sustenta en tres enfoques complementarios. En primer lugar, el </w:t>
      </w:r>
      <w:r>
        <w:rPr>
          <w:rFonts w:ascii="Times New Roman" w:cs="Times New Roman" w:eastAsia="Times New Roman" w:hAnsi="Times New Roman"/>
          <w:b/>
          <w:bCs/>
          <w:i w:val="false"/>
          <w:iCs w:val="false"/>
          <w:color w:val="000000"/>
          <w:sz w:val="24"/>
          <w:szCs w:val="24"/>
        </w:rPr>
        <w:t xml:space="preserve">enoturismo y desarrollo territorial</w:t>
      </w:r>
      <w:r>
        <w:rPr>
          <w:rFonts w:ascii="Times New Roman" w:cs="Times New Roman" w:eastAsia="Times New Roman" w:hAnsi="Times New Roman"/>
          <w:b w:val="false"/>
          <w:bCs w:val="false"/>
          <w:i w:val="false"/>
          <w:iCs w:val="false"/>
          <w:color w:val="000000"/>
          <w:sz w:val="24"/>
          <w:szCs w:val="24"/>
        </w:rPr>
        <w:t xml:space="preserve">: el enoturismo contemporáneo supera la simple degustación en bodega y se define como un sistema que vincula paisaje agrícola, cultura gastronómica, patrimonio arquitectónico y hospitalidad local, cuya competitividad depende de economías de escala locales y de redes de cooperación público-privada. En segundo lugar, la </w:t>
      </w:r>
      <w:r>
        <w:rPr>
          <w:rFonts w:ascii="Times New Roman" w:cs="Times New Roman" w:eastAsia="Times New Roman" w:hAnsi="Times New Roman"/>
          <w:b/>
          <w:bCs/>
          <w:i w:val="false"/>
          <w:iCs w:val="false"/>
          <w:color w:val="000000"/>
          <w:sz w:val="24"/>
          <w:szCs w:val="24"/>
        </w:rPr>
        <w:t xml:space="preserve">interpretación del patrimonio cultural e industrial</w:t>
      </w:r>
      <w:r>
        <w:rPr>
          <w:rFonts w:ascii="Times New Roman" w:cs="Times New Roman" w:eastAsia="Times New Roman" w:hAnsi="Times New Roman"/>
          <w:b w:val="false"/>
          <w:bCs w:val="false"/>
          <w:i w:val="false"/>
          <w:iCs w:val="false"/>
          <w:color w:val="000000"/>
          <w:sz w:val="24"/>
          <w:szCs w:val="24"/>
        </w:rPr>
        <w:t xml:space="preserve">: el patrimonio se concibe como recurso dinámico, no como vestigio estático, de modo que diseñar narrativas y guiones interpretativos permite transformar sitios como la Bodega Harriague en espacios de aprendizaje, memoria y conexión identitaria. Por último, el </w:t>
      </w:r>
      <w:r>
        <w:rPr>
          <w:rFonts w:ascii="Times New Roman" w:cs="Times New Roman" w:eastAsia="Times New Roman" w:hAnsi="Times New Roman"/>
          <w:b/>
          <w:bCs/>
          <w:i w:val="false"/>
          <w:iCs w:val="false"/>
          <w:color w:val="000000"/>
          <w:sz w:val="24"/>
          <w:szCs w:val="24"/>
        </w:rPr>
        <w:t xml:space="preserve">turismo sostenible y la reducción de cargas</w:t>
      </w:r>
      <w:r>
        <w:rPr>
          <w:rFonts w:ascii="Times New Roman" w:cs="Times New Roman" w:eastAsia="Times New Roman" w:hAnsi="Times New Roman"/>
          <w:b w:val="false"/>
          <w:bCs w:val="false"/>
          <w:i w:val="false"/>
          <w:iCs w:val="false"/>
          <w:color w:val="000000"/>
          <w:sz w:val="24"/>
          <w:szCs w:val="24"/>
        </w:rPr>
        <w:t xml:space="preserve">: la diversificación de la matriz turística departamental actúa como herramienta de ordenamiento que reduce la presión sobre los enclaves termales hiper-concentrados, distribuyendo flujos y beneficios hacia las zonas rurales y los pequeños establecimientos productivos.</w:t>
      </w:r>
    </w:p>
    <w:p>
      <w:pPr>
        <w:pStyle w:val="Heading1"/>
        <w:keepNext/>
        <w:pageBreakBefore/>
        <w:spacing w:after="240" w:before="0" w:line="240" w:lineRule="auto"/>
        <w:jc w:val="center"/>
      </w:pPr>
      <w:r>
        <w:rPr>
          <w:rFonts w:ascii="Times New Roman" w:cs="Times New Roman" w:eastAsia="Times New Roman" w:hAnsi="Times New Roman"/>
          <w:b/>
          <w:bCs/>
          <w:i w:val="false"/>
          <w:iCs w:val="false"/>
          <w:color w:val="000000"/>
          <w:sz w:val="24"/>
          <w:szCs w:val="24"/>
        </w:rPr>
        <w:t xml:space="preserve">Capítulo 3. Metodología de Trabajo</w:t>
      </w:r>
    </w:p>
    <w:p>
      <w:pPr>
        <w:pStyle w:val="Heading2"/>
        <w:keepNext/>
        <w:spacing w:after="160" w:before="240" w:line="240" w:lineRule="auto"/>
        <w:jc w:val="left"/>
      </w:pPr>
      <w:r>
        <w:rPr>
          <w:rFonts w:ascii="Times New Roman" w:cs="Times New Roman" w:eastAsia="Times New Roman" w:hAnsi="Times New Roman"/>
          <w:b/>
          <w:bCs/>
          <w:i w:val="false"/>
          <w:iCs w:val="false"/>
          <w:color w:val="000000"/>
          <w:sz w:val="24"/>
          <w:szCs w:val="24"/>
        </w:rPr>
        <w:t xml:space="preserve">3.1. Enfoque Metodológico</w:t>
      </w:r>
    </w:p>
    <w:p>
      <w:pPr>
        <w:keepNext w:val="false"/>
        <w:spacing w:after="160" w:line="240" w:lineRule="auto"/>
        <w:jc w:val="both"/>
      </w:pPr>
      <w:r>
        <w:rPr>
          <w:rFonts w:ascii="Times New Roman" w:cs="Times New Roman" w:eastAsia="Times New Roman" w:hAnsi="Times New Roman"/>
          <w:b w:val="false"/>
          <w:bCs w:val="false"/>
          <w:i w:val="false"/>
          <w:iCs w:val="false"/>
          <w:color w:val="000000"/>
          <w:sz w:val="24"/>
          <w:szCs w:val="24"/>
        </w:rPr>
        <w:t xml:space="preserve">Se implementa un enfoque de investigación-acción de carácter mixto (cualitativo-cuantitativo) y alcance descriptivo-explicativo. Este diseño metodológico permite realizar un análisis riguroso de la situación actual y, simultáneamente, integrar a los actores locales en el diseño de la propuesta empresarial, facilitando la apropiación social de la ruta.</w:t>
      </w:r>
    </w:p>
    <w:p>
      <w:pPr>
        <w:pStyle w:val="Heading3"/>
        <w:keepNext/>
        <w:spacing w:after="120" w:before="200" w:line="240" w:lineRule="auto"/>
        <w:jc w:val="left"/>
      </w:pPr>
      <w:r>
        <w:rPr>
          <w:rFonts w:ascii="Times New Roman" w:cs="Times New Roman" w:eastAsia="Times New Roman" w:hAnsi="Times New Roman"/>
          <w:b/>
          <w:bCs/>
          <w:i/>
          <w:iCs/>
          <w:color w:val="000000"/>
          <w:sz w:val="24"/>
          <w:szCs w:val="24"/>
        </w:rPr>
        <w:t xml:space="preserve">3.1.1. Técnicas e instrumentos de recolección y análisis</w:t>
      </w:r>
    </w:p>
    <w:p>
      <w:pPr>
        <w:keepNext w:val="false"/>
        <w:spacing w:after="160" w:line="240" w:lineRule="auto"/>
        <w:jc w:val="both"/>
      </w:pPr>
      <w:r>
        <w:rPr>
          <w:rFonts w:ascii="Times New Roman" w:cs="Times New Roman" w:eastAsia="Times New Roman" w:hAnsi="Times New Roman"/>
          <w:b w:val="false"/>
          <w:bCs w:val="false"/>
          <w:i w:val="false"/>
          <w:iCs w:val="false"/>
          <w:color w:val="000000"/>
          <w:sz w:val="24"/>
          <w:szCs w:val="24"/>
        </w:rPr>
        <w:t xml:space="preserve">La recolección de información de campo y documental se estructuró a través de tres técnicas metodológicas principales. En primer lugar, la revisión bibliográfica y documental, que abarcó las bases de datos estadísticas de INAVI y las encuestas consolidadas de impacto del enoturismo realizadas por Opción Consultores, junto con los anuarios de flujo y gasto turístico del Observatorio de Turismo Inteligente del MINTUR y los informes de competitividad económica sectorial de CERES. En segundo lugar, las entrevistas en territorio, aplicadas de forma presencial a los directores técnicos de las bodegas activas (Salto Chico y Bertolini &amp; Broglio) —[COMPLETAR: cantidad de entrevistas realizadas, fechas y criterio de selección]— para relevar infraestructura, capacidad de degustación, interés en asociarse y necesidades de capacitación; a estas se sumaron encuentros de indagación con representantes de la Comisión de Gestión del Espacio Cultural Bodega Harriague y del Centro Vasco para evaluar la viabilidad de la operación del sitio histórico. Por último, las encuestas de mercado estructuradas, administradas durante la fase de investigación territorial a una muestra de turistas de ocio en los complejos hoteleros de Daymán —[COMPLETAR: tamaño de la muestra (n), período de aplicación y margen de error asumido]—; este instrumento indaga comportamiento de viaje, disposición al gasto y expectativas de consumo recreativo en el destino, y tanto el cuestionario completo como la guía de entrevista se incluyen en el Anexo del Capítulo 3, mientras que sus resultados se presentan en el punto 4.4.</w:t>
      </w:r>
    </w:p>
    <w:p>
      <w:pPr>
        <w:pStyle w:val="Heading2"/>
        <w:keepNext/>
        <w:spacing w:after="160" w:before="240" w:line="240" w:lineRule="auto"/>
        <w:jc w:val="left"/>
      </w:pPr>
      <w:r>
        <w:rPr>
          <w:rFonts w:ascii="Times New Roman" w:cs="Times New Roman" w:eastAsia="Times New Roman" w:hAnsi="Times New Roman"/>
          <w:b/>
          <w:bCs/>
          <w:i w:val="false"/>
          <w:iCs w:val="false"/>
          <w:color w:val="000000"/>
          <w:sz w:val="24"/>
          <w:szCs w:val="24"/>
        </w:rPr>
        <w:t xml:space="preserve">3.2. Etapas del proceso de investigación</w:t>
      </w:r>
    </w:p>
    <w:p>
      <w:pPr>
        <w:keepNext w:val="false"/>
        <w:spacing w:after="160" w:line="240" w:lineRule="auto"/>
        <w:jc w:val="both"/>
      </w:pPr>
      <w:r>
        <w:rPr>
          <w:rFonts w:ascii="Times New Roman" w:cs="Times New Roman" w:eastAsia="Times New Roman" w:hAnsi="Times New Roman"/>
          <w:b w:val="false"/>
          <w:bCs w:val="false"/>
          <w:i w:val="false"/>
          <w:iCs w:val="false"/>
          <w:color w:val="000000"/>
          <w:sz w:val="24"/>
          <w:szCs w:val="24"/>
        </w:rPr>
        <w:t xml:space="preserve">El proceso de investigación se organizó en cuatro etapas sucesivas. La primera es la fase de diagnóstico, correspondiente al relevamiento técnico del estado de la caminería, la señalética y los servicios básicos de los viñedos de Salto Chico, Colonia Osimani y Parada Daymán, junto con la catalogación de los activos arqueológicos de la Bodega Harriague. La segunda es la fase de investigación de mercado y segmentación, que implica el procesamiento de los datos de las encuestas estructuradas mediante estadística descriptiva, para perfilar el mercado objetivo y caracterizar la demanda real y potencial del circuito. La tercera es la fase de diseño y planificación de la gobernanza, desarrollada mediante mesas de trabajo conjuntas con la Asociación de Vitivinicultores de Salto y operadores turísticos, para el diseño del protocolo de calidad y de prestación de servicios unificado. La cuarta y última es la fase de formulación de la propuesta empresarial, centrada en la elaboración de la estructura financiera de costos, la estimación de proyecciones y el diseño del plan de marketing digital.</w:t>
      </w:r>
    </w:p>
    <w:p>
      <w:pPr>
        <w:pStyle w:val="Heading1"/>
        <w:keepNext/>
        <w:pageBreakBefore/>
        <w:spacing w:after="240" w:before="0" w:line="240" w:lineRule="auto"/>
        <w:jc w:val="center"/>
      </w:pPr>
      <w:r>
        <w:rPr>
          <w:rFonts w:ascii="Times New Roman" w:cs="Times New Roman" w:eastAsia="Times New Roman" w:hAnsi="Times New Roman"/>
          <w:b/>
          <w:bCs/>
          <w:i w:val="false"/>
          <w:iCs w:val="false"/>
          <w:color w:val="000000"/>
          <w:sz w:val="24"/>
          <w:szCs w:val="24"/>
        </w:rPr>
        <w:t xml:space="preserve">Capítulo 4. Diagnóstico de Situación</w:t>
      </w:r>
    </w:p>
    <w:p>
      <w:pPr>
        <w:pStyle w:val="Heading2"/>
        <w:keepNext/>
        <w:spacing w:after="160" w:before="240" w:line="240" w:lineRule="auto"/>
        <w:jc w:val="left"/>
      </w:pPr>
      <w:r>
        <w:rPr>
          <w:rFonts w:ascii="Times New Roman" w:cs="Times New Roman" w:eastAsia="Times New Roman" w:hAnsi="Times New Roman"/>
          <w:b/>
          <w:bCs/>
          <w:i w:val="false"/>
          <w:iCs w:val="false"/>
          <w:color w:val="000000"/>
          <w:sz w:val="24"/>
          <w:szCs w:val="24"/>
        </w:rPr>
        <w:t xml:space="preserve">4.1. Análisis Territorial y Turístico</w:t>
      </w:r>
    </w:p>
    <w:p>
      <w:pPr>
        <w:keepNext w:val="false"/>
        <w:spacing w:after="160" w:line="240" w:lineRule="auto"/>
        <w:jc w:val="both"/>
      </w:pPr>
      <w:r>
        <w:rPr>
          <w:rFonts w:ascii="Times New Roman" w:cs="Times New Roman" w:eastAsia="Times New Roman" w:hAnsi="Times New Roman"/>
          <w:b w:val="false"/>
          <w:bCs w:val="false"/>
          <w:i w:val="false"/>
          <w:iCs w:val="false"/>
          <w:color w:val="000000"/>
          <w:sz w:val="24"/>
          <w:szCs w:val="24"/>
        </w:rPr>
        <w:t xml:space="preserve">El análisis territorial del departamento de Salto revela una coexistencia espacial de atractivos que carece de conectividad; las infraestructuras clave, los servicios y la accesibilidad se caracterizan por las siguientes condiciones. En materia de accesibilidad física y vialidad, el principal eje de conectividad es la Ruta 3, que une a Salto con Montevideo y con los puentes internacionales de frontera; en cambio, la caminería rural secundaria hacia zonas vitivinícolas clave —como Colonia Osimani, donde se ubica Bodega Salto Chico— es de pedregullo y presenta mantenimiento discontinuo, lo que dificulta el tránsito de buses de excursión en días de lluvia intensa. En cuanto a seguridad y servicios básicos, Salto se posiciona como un destino con buenos niveles de seguridad, ventaja valorada por el turismo familiar y de la tercera edad; las zonas termales cuentan con conectividad de telecomunicaciones adecuada, aunque persisten brechas de cobertura en las áreas vitivinícolas más alejadas de Parada Daymán. Respecto de alojamiento y alimentación, Salto cuenta con sólida capacidad hotelera concentrada en Daymán y Arapey (complejos de 3 a 5 estrellas, cabañas municipales, camping); la oferta gastronómica es abundante, aunque presenta escasa integración de vinos locales en las cartas de los restaurantes termales, si bien algunos hoteles, como Aguasol, ya ofrecen desayunos con productos y mermeladas de frutos nativos. Finalmente, en lo referido a la conectividad interna y el transporte receptivo, el traslado sin vehículo propio depende de líneas urbanas de frecuencia limitada o taxis de alto costo, y la falta de transporte turístico regular que conecte los hoteles termales con el centro histórico y las bodegas rurales constituye el principal cuello de botella operativo para diversificar las actividades de los visitantes.</w:t>
      </w:r>
    </w:p>
    <w:p>
      <w:pPr>
        <w:pStyle w:val="Heading2"/>
        <w:keepNext/>
        <w:spacing w:after="160" w:before="240" w:line="240" w:lineRule="auto"/>
        <w:jc w:val="left"/>
      </w:pPr>
      <w:r>
        <w:rPr>
          <w:rFonts w:ascii="Times New Roman" w:cs="Times New Roman" w:eastAsia="Times New Roman" w:hAnsi="Times New Roman"/>
          <w:b/>
          <w:bCs/>
          <w:i w:val="false"/>
          <w:iCs w:val="false"/>
          <w:color w:val="000000"/>
          <w:sz w:val="24"/>
          <w:szCs w:val="24"/>
        </w:rPr>
        <w:t xml:space="preserve">4.2. Análisis del Entorno</w:t>
      </w:r>
    </w:p>
    <w:p>
      <w:pPr>
        <w:keepNext w:val="false"/>
        <w:spacing w:after="160" w:line="240" w:lineRule="auto"/>
        <w:jc w:val="both"/>
      </w:pPr>
      <w:r>
        <w:rPr>
          <w:rFonts w:ascii="Times New Roman" w:cs="Times New Roman" w:eastAsia="Times New Roman" w:hAnsi="Times New Roman"/>
          <w:b w:val="false"/>
          <w:bCs w:val="false"/>
          <w:i w:val="false"/>
          <w:iCs w:val="false"/>
          <w:color w:val="000000"/>
          <w:sz w:val="24"/>
          <w:szCs w:val="24"/>
        </w:rPr>
        <w:t xml:space="preserve">El entorno del proyecto puede caracterizarse a partir de cinco dimensiones. En el plano político e institucional, existe un marco regulatorio favorable promovido por el INAVI y el MINTUR para descentralizar la oferta turística nacional, aunque los cambios en las administraciones departamentales generan discontinuidad en el financiamiento de comisiones de gestión patrimonial como la de la Bodega Harriague. En el plano económico y cambiario, la disparidad cambiaria con Argentina representa una vulnerabilidad para el comercio local del litoral, aunque el crecimiento del mercado brasileño en el enoturismo nacional (39% de los visitantes en el sur del país) abre un nicho de alto valor adquisitivo. En el plano sociocultural, crece la valorización del consumo consciente, la producción artesanal y las narrativas históricas de origen, y la memoria de la inmigración vasca junto con el relato fundacional de la vitivinicultura uruguaya en Salto se alinean con estas motivaciones. En el plano tecnológico, la gestión turística se digitaliza, y los pagos electrónicos permiten que bodegas familiares accedan a reservas anticipadas y ventas en línea. Por último, en el plano ecológico y climático, el sector está expuesto a sequías e inundaciones, frente a lo cual el programa “Uva Sostenible” de INAVI (38% de la superficie nacional certificada) constituye un marco de mitigación valorado por el consumidor internacional.</w:t>
      </w:r>
    </w:p>
    <w:p>
      <w:pPr>
        <w:pStyle w:val="Heading2"/>
        <w:keepNext/>
        <w:spacing w:after="160" w:before="240" w:line="240" w:lineRule="auto"/>
        <w:jc w:val="left"/>
      </w:pPr>
      <w:r>
        <w:rPr>
          <w:rFonts w:ascii="Times New Roman" w:cs="Times New Roman" w:eastAsia="Times New Roman" w:hAnsi="Times New Roman"/>
          <w:b/>
          <w:bCs/>
          <w:i w:val="false"/>
          <w:iCs w:val="false"/>
          <w:color w:val="000000"/>
          <w:sz w:val="24"/>
          <w:szCs w:val="24"/>
        </w:rPr>
        <w:t xml:space="preserve">4.3. Competencia</w:t>
      </w:r>
    </w:p>
    <w:p>
      <w:pPr>
        <w:keepNext w:val="false"/>
        <w:spacing w:after="160" w:line="240" w:lineRule="auto"/>
        <w:jc w:val="both"/>
      </w:pPr>
      <w:r>
        <w:rPr>
          <w:rFonts w:ascii="Times New Roman" w:cs="Times New Roman" w:eastAsia="Times New Roman" w:hAnsi="Times New Roman"/>
          <w:b w:val="false"/>
          <w:bCs w:val="false"/>
          <w:i w:val="false"/>
          <w:iCs w:val="false"/>
          <w:color w:val="000000"/>
          <w:sz w:val="24"/>
          <w:szCs w:val="24"/>
        </w:rPr>
        <w:t xml:space="preserve">El circuito enfrenta dos niveles de competencia. La competencia directa está integrada por los principales destinos enoturísticos del país: Canelones y Montevideo (59% de la actividad enoturística nacional), Maldonado (25%) y Carmelo, en Colonia (11%). Frente a ellos, Salto presenta una participación reducida, pero cuenta con un diferenciador único: ser reconocido históricamente como la cuna del Tannat gracias al legado de Pascual Harriague.</w:t>
      </w:r>
    </w:p>
    <w:p>
      <w:pPr>
        <w:keepNext/>
        <w:spacing w:after="0" w:before="200" w:line="240" w:lineRule="auto"/>
        <w:jc w:val="left"/>
      </w:pPr>
      <w:r>
        <w:rPr>
          <w:rFonts w:ascii="Times New Roman" w:cs="Times New Roman" w:eastAsia="Times New Roman" w:hAnsi="Times New Roman"/>
          <w:b w:val="false"/>
          <w:bCs w:val="false"/>
          <w:i w:val="false"/>
          <w:iCs w:val="false"/>
          <w:color w:val="000000"/>
          <w:sz w:val="24"/>
          <w:szCs w:val="24"/>
        </w:rPr>
        <w:t xml:space="preserve">Tabla 1</w:t>
      </w:r>
    </w:p>
    <w:p>
      <w:pPr>
        <w:keepNext/>
        <w:spacing w:after="120" w:before="0" w:line="240" w:lineRule="auto"/>
        <w:jc w:val="left"/>
      </w:pPr>
      <w:r>
        <w:rPr>
          <w:rFonts w:ascii="Times New Roman" w:cs="Times New Roman" w:eastAsia="Times New Roman" w:hAnsi="Times New Roman"/>
          <w:b w:val="false"/>
          <w:bCs w:val="false"/>
          <w:i/>
          <w:iCs/>
          <w:color w:val="000000"/>
          <w:sz w:val="24"/>
          <w:szCs w:val="24"/>
        </w:rPr>
        <w:t xml:space="preserve">Comparación de modelos enoturísticos regionales</w:t>
      </w:r>
    </w:p>
    <w:tbl>
      <w:tblPr>
        <w:tblW w:type="dxa" w:w="8504"/>
        <w:tblBorders>
          <w:top w:val="single" w:color="000000" w:sz="4"/>
          <w:left w:val="single" w:color="000000" w:sz="4"/>
          <w:bottom w:val="single" w:color="000000" w:sz="4"/>
          <w:right w:val="single" w:color="000000" w:sz="4"/>
          <w:insideH w:val="single" w:color="999999" w:sz="2"/>
          <w:insideV w:val="single" w:color="999999" w:sz="2"/>
        </w:tblBorders>
      </w:tblPr>
      <w:tblGrid>
        <w:gridCol w:w="884"/>
        <w:gridCol w:w="1722"/>
        <w:gridCol w:w="2368"/>
        <w:gridCol w:w="1722"/>
        <w:gridCol w:w="1808"/>
      </w:tblGrid>
      <w:tr>
        <w:trPr>
          <w:cantSplit/>
        </w:trPr>
        <w:tc>
          <w:tcPr>
            <w:tcW w:type="dxa" w:w="884"/>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i w:val="false"/>
                <w:iCs w:val="false"/>
                <w:color w:val="000000"/>
                <w:sz w:val="22"/>
                <w:szCs w:val="22"/>
              </w:rPr>
              <w:t xml:space="preserve">Región</w:t>
            </w:r>
          </w:p>
        </w:tc>
        <w:tc>
          <w:tcPr>
            <w:tcW w:type="dxa" w:w="1722"/>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i w:val="false"/>
                <w:iCs w:val="false"/>
                <w:color w:val="000000"/>
                <w:sz w:val="22"/>
                <w:szCs w:val="22"/>
              </w:rPr>
              <w:t xml:space="preserve">Modelo turístico</w:t>
            </w:r>
          </w:p>
        </w:tc>
        <w:tc>
          <w:tcPr>
            <w:tcW w:type="dxa" w:w="2368"/>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i w:val="false"/>
                <w:iCs w:val="false"/>
                <w:color w:val="000000"/>
                <w:sz w:val="22"/>
                <w:szCs w:val="22"/>
              </w:rPr>
              <w:t xml:space="preserve">Vinos y experiencia</w:t>
            </w:r>
          </w:p>
        </w:tc>
        <w:tc>
          <w:tcPr>
            <w:tcW w:type="dxa" w:w="1722"/>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i w:val="false"/>
                <w:iCs w:val="false"/>
                <w:color w:val="000000"/>
                <w:sz w:val="22"/>
                <w:szCs w:val="22"/>
              </w:rPr>
              <w:t xml:space="preserve">Alojamiento en bodega</w:t>
            </w:r>
          </w:p>
        </w:tc>
        <w:tc>
          <w:tcPr>
            <w:tcW w:type="dxa" w:w="1808"/>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i w:val="false"/>
                <w:iCs w:val="false"/>
                <w:color w:val="000000"/>
                <w:sz w:val="22"/>
                <w:szCs w:val="22"/>
              </w:rPr>
              <w:t xml:space="preserve">Ventaja de Salto</w:t>
            </w:r>
          </w:p>
        </w:tc>
      </w:tr>
      <w:tr>
        <w:trPr>
          <w:cantSplit/>
        </w:trPr>
        <w:tc>
          <w:tcPr>
            <w:tcW w:type="dxa" w:w="884"/>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Carmelo (Colonia)</w:t>
            </w:r>
          </w:p>
        </w:tc>
        <w:tc>
          <w:tcPr>
            <w:tcW w:type="dxa" w:w="1722"/>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Boutique y de lujo, perfil internacional</w:t>
            </w:r>
          </w:p>
        </w:tc>
        <w:tc>
          <w:tcPr>
            <w:tcW w:type="dxa" w:w="2368"/>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Vinos elegantes, gastronomía de autor, paseos fluviales</w:t>
            </w:r>
          </w:p>
        </w:tc>
        <w:tc>
          <w:tcPr>
            <w:tcW w:type="dxa" w:w="1722"/>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Alta (Narbona Lodge, El Legado Boutique)</w:t>
            </w:r>
          </w:p>
        </w:tc>
        <w:tc>
          <w:tcPr>
            <w:tcW w:type="dxa" w:w="1808"/>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Legitimidad como única “Cuna del Tannat”</w:t>
            </w:r>
          </w:p>
        </w:tc>
      </w:tr>
      <w:tr>
        <w:trPr>
          <w:cantSplit/>
        </w:trPr>
        <w:tc>
          <w:tcPr>
            <w:tcW w:type="dxa" w:w="884"/>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Canelones</w:t>
            </w:r>
          </w:p>
        </w:tc>
        <w:tc>
          <w:tcPr>
            <w:tcW w:type="dxa" w:w="1722"/>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Tradición familiar, gran escala</w:t>
            </w:r>
          </w:p>
        </w:tc>
        <w:tc>
          <w:tcPr>
            <w:tcW w:type="dxa" w:w="2368"/>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Vinos tradicionales, cavas históricas, eventos masivos</w:t>
            </w:r>
          </w:p>
        </w:tc>
        <w:tc>
          <w:tcPr>
            <w:tcW w:type="dxa" w:w="1722"/>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Moderada a baja (Pizzorno, etc.)</w:t>
            </w:r>
          </w:p>
        </w:tc>
        <w:tc>
          <w:tcPr>
            <w:tcW w:type="dxa" w:w="1808"/>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Hibridación con turismo termal</w:t>
            </w:r>
          </w:p>
        </w:tc>
      </w:tr>
      <w:tr>
        <w:trPr>
          <w:cantSplit/>
        </w:trPr>
        <w:tc>
          <w:tcPr>
            <w:tcW w:type="dxa" w:w="884"/>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Maldonado</w:t>
            </w:r>
          </w:p>
        </w:tc>
        <w:tc>
          <w:tcPr>
            <w:tcW w:type="dxa" w:w="1722"/>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Premium, alta gama</w:t>
            </w:r>
          </w:p>
        </w:tc>
        <w:tc>
          <w:tcPr>
            <w:tcW w:type="dxa" w:w="2368"/>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Vinos marítimos de alta calidad</w:t>
            </w:r>
          </w:p>
        </w:tc>
        <w:tc>
          <w:tcPr>
            <w:tcW w:type="dxa" w:w="1722"/>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Baja a moderada, exclusivo</w:t>
            </w:r>
          </w:p>
        </w:tc>
        <w:tc>
          <w:tcPr>
            <w:tcW w:type="dxa" w:w="1808"/>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Relación de precios; turismo de clase alta</w:t>
            </w:r>
          </w:p>
        </w:tc>
      </w:tr>
    </w:tbl>
    <w:p>
      <w:pPr>
        <w:spacing w:after="160"/>
      </w:pPr>
    </w:p>
    <w:p>
      <w:pPr>
        <w:spacing w:after="200" w:before="80" w:line="240" w:lineRule="auto"/>
        <w:jc w:val="left"/>
      </w:pPr>
      <w:r>
        <w:rPr>
          <w:rFonts w:ascii="Times New Roman" w:cs="Times New Roman" w:eastAsia="Times New Roman" w:hAnsi="Times New Roman"/>
          <w:b w:val="false"/>
          <w:bCs w:val="false"/>
          <w:i/>
          <w:iCs/>
          <w:color w:val="000000"/>
          <w:sz w:val="22"/>
          <w:szCs w:val="22"/>
        </w:rPr>
        <w:t xml:space="preserve">Nota.</w:t>
      </w:r>
      <w:r>
        <w:rPr>
          <w:rFonts w:ascii="Times New Roman" w:cs="Times New Roman" w:eastAsia="Times New Roman" w:hAnsi="Times New Roman"/>
          <w:b w:val="false"/>
          <w:bCs w:val="false"/>
          <w:i w:val="false"/>
          <w:iCs w:val="false"/>
          <w:color w:val="000000"/>
          <w:sz w:val="22"/>
          <w:szCs w:val="22"/>
        </w:rPr>
        <w:t xml:space="preserve"> Elaboración propia.</w:t>
      </w:r>
    </w:p>
    <w:p>
      <w:pPr>
        <w:keepNext w:val="false"/>
        <w:spacing w:after="160" w:line="240" w:lineRule="auto"/>
        <w:jc w:val="both"/>
      </w:pPr>
      <w:r>
        <w:rPr>
          <w:rFonts w:ascii="Times New Roman" w:cs="Times New Roman" w:eastAsia="Times New Roman" w:hAnsi="Times New Roman"/>
          <w:b w:val="false"/>
          <w:bCs w:val="false"/>
          <w:i w:val="false"/>
          <w:iCs w:val="false"/>
          <w:color w:val="000000"/>
          <w:sz w:val="24"/>
          <w:szCs w:val="24"/>
        </w:rPr>
        <w:t xml:space="preserve">La competencia indirecta la representan las actividades que disputan el tiempo y el gasto del visitante sin pertenecer al sector enoturístico. A nivel local, Termas del Daymán y Arapey atraen un flujo importante de turistas de baja movilidad interna, que concentran su gasto en alojamiento y gastronomía sin participar en otras propuestas. El desafío, entonces, no es competir contra el turismo termal sino integrar al visitante termal dentro de la Ruta del Tannat. A nivel regional, la competencia indirecta proviene de Entre Ríos (Federación, Villa Elisa, Colón, Concordia), donde ya se combinan termas, gastronomía y enoturismo. La brecha cambiaria con Argentina, muy elevada entre 2023 y 2025, se redujo de forma importante durante 2026, mejorando las condiciones para retener el gasto turístico en el departamento.</w:t>
      </w:r>
    </w:p>
    <w:p>
      <w:pPr>
        <w:pStyle w:val="Heading2"/>
        <w:keepNext/>
        <w:spacing w:after="160" w:before="240" w:line="240" w:lineRule="auto"/>
        <w:jc w:val="left"/>
      </w:pPr>
      <w:r>
        <w:rPr>
          <w:rFonts w:ascii="Times New Roman" w:cs="Times New Roman" w:eastAsia="Times New Roman" w:hAnsi="Times New Roman"/>
          <w:b/>
          <w:bCs/>
          <w:i w:val="false"/>
          <w:iCs w:val="false"/>
          <w:color w:val="000000"/>
          <w:sz w:val="24"/>
          <w:szCs w:val="24"/>
        </w:rPr>
        <w:t xml:space="preserve">4.4. Investigación de Mercados</w:t>
      </w:r>
    </w:p>
    <w:p>
      <w:pPr>
        <w:keepNext w:val="false"/>
        <w:spacing w:after="160" w:line="240" w:lineRule="auto"/>
        <w:jc w:val="both"/>
      </w:pPr>
      <w:r>
        <w:rPr>
          <w:rFonts w:ascii="Times New Roman" w:cs="Times New Roman" w:eastAsia="Times New Roman" w:hAnsi="Times New Roman"/>
          <w:b w:val="false"/>
          <w:bCs w:val="false"/>
          <w:i w:val="false"/>
          <w:iCs w:val="false"/>
          <w:color w:val="000000"/>
          <w:sz w:val="24"/>
          <w:szCs w:val="24"/>
        </w:rPr>
        <w:t xml:space="preserve">Esta sección debe mostrar los hallazgos propios obtenidos con los instrumentos descritos en el Capítulo 3 (encuesta a turistas de Daymán y entrevistas a bodegas y al Centro Vasco), y no solo estadísticas secundarias. Se incluyen a continuación el instrumento a aplicar y la estructura para sistematizar los resultados.</w:t>
      </w:r>
    </w:p>
    <w:p>
      <w:pPr>
        <w:pStyle w:val="Heading3"/>
        <w:keepNext/>
        <w:spacing w:after="120" w:before="200" w:line="240" w:lineRule="auto"/>
        <w:jc w:val="left"/>
      </w:pPr>
      <w:r>
        <w:rPr>
          <w:rFonts w:ascii="Times New Roman" w:cs="Times New Roman" w:eastAsia="Times New Roman" w:hAnsi="Times New Roman"/>
          <w:b/>
          <w:bCs/>
          <w:i/>
          <w:iCs/>
          <w:color w:val="000000"/>
          <w:sz w:val="24"/>
          <w:szCs w:val="24"/>
        </w:rPr>
        <w:t xml:space="preserve">4.4.1. Instrumento: encuesta a turistas termales</w:t>
      </w:r>
    </w:p>
    <w:p>
      <w:pPr>
        <w:keepNext w:val="false"/>
        <w:spacing w:after="160" w:line="240" w:lineRule="auto"/>
        <w:jc w:val="both"/>
      </w:pPr>
      <w:r>
        <w:rPr>
          <w:rFonts w:ascii="Times New Roman" w:cs="Times New Roman" w:eastAsia="Times New Roman" w:hAnsi="Times New Roman"/>
          <w:b w:val="false"/>
          <w:bCs w:val="false"/>
          <w:i w:val="false"/>
          <w:iCs w:val="false"/>
          <w:color w:val="000000"/>
          <w:sz w:val="24"/>
          <w:szCs w:val="24"/>
        </w:rPr>
        <w:t xml:space="preserve">Cuestionario estructurado, autoadministrado, a aplicar en los complejos hoteleros de Daymán (duración estimada: 5 minutos):</w:t>
      </w:r>
    </w:p>
    <w:p>
      <w:pPr>
        <w:spacing w:after="120" w:line="240" w:lineRule="auto"/>
        <w:ind w:left="720" w:hanging="360"/>
        <w:jc w:val="both"/>
      </w:pPr>
      <w:r>
        <w:rPr>
          <w:rFonts w:ascii="Times New Roman" w:cs="Times New Roman" w:eastAsia="Times New Roman" w:hAnsi="Times New Roman"/>
          <w:color w:val="000000"/>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Origen del visitante (departamento / país).</w:t>
      </w:r>
    </w:p>
    <w:p>
      <w:pPr>
        <w:spacing w:after="120" w:line="240" w:lineRule="auto"/>
        <w:ind w:left="720" w:hanging="360"/>
        <w:jc w:val="both"/>
      </w:pPr>
      <w:r>
        <w:rPr>
          <w:rFonts w:ascii="Times New Roman" w:cs="Times New Roman" w:eastAsia="Times New Roman" w:hAnsi="Times New Roman"/>
          <w:color w:val="000000"/>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Motivo principal del viaje a Salto.</w:t>
      </w:r>
    </w:p>
    <w:p>
      <w:pPr>
        <w:spacing w:after="120" w:line="240" w:lineRule="auto"/>
        <w:ind w:left="720" w:hanging="360"/>
        <w:jc w:val="both"/>
      </w:pPr>
      <w:r>
        <w:rPr>
          <w:rFonts w:ascii="Times New Roman" w:cs="Times New Roman" w:eastAsia="Times New Roman" w:hAnsi="Times New Roman"/>
          <w:color w:val="000000"/>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Días de estadía en el destino.</w:t>
      </w:r>
    </w:p>
    <w:p>
      <w:pPr>
        <w:spacing w:after="120" w:line="240" w:lineRule="auto"/>
        <w:ind w:left="720" w:hanging="360"/>
        <w:jc w:val="both"/>
      </w:pPr>
      <w:r>
        <w:rPr>
          <w:rFonts w:ascii="Times New Roman" w:cs="Times New Roman" w:eastAsia="Times New Roman" w:hAnsi="Times New Roman"/>
          <w:color w:val="000000"/>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Gasto diario estimado (rangos en USD).</w:t>
      </w:r>
    </w:p>
    <w:p>
      <w:pPr>
        <w:spacing w:after="120" w:line="240" w:lineRule="auto"/>
        <w:ind w:left="720" w:hanging="360"/>
        <w:jc w:val="both"/>
      </w:pPr>
      <w:r>
        <w:rPr>
          <w:rFonts w:ascii="Times New Roman" w:cs="Times New Roman" w:eastAsia="Times New Roman" w:hAnsi="Times New Roman"/>
          <w:color w:val="000000"/>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¿Conocía la existencia de bodegas activas en Salto? (sí/no).</w:t>
      </w:r>
    </w:p>
    <w:p>
      <w:pPr>
        <w:spacing w:after="120" w:line="240" w:lineRule="auto"/>
        <w:ind w:left="720" w:hanging="360"/>
        <w:jc w:val="both"/>
      </w:pPr>
      <w:r>
        <w:rPr>
          <w:rFonts w:ascii="Times New Roman" w:cs="Times New Roman" w:eastAsia="Times New Roman" w:hAnsi="Times New Roman"/>
          <w:color w:val="000000"/>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¿Ha consumido vinos de bodegas salteñas durante su estadía? (sí/no).</w:t>
      </w:r>
    </w:p>
    <w:p>
      <w:pPr>
        <w:spacing w:after="120" w:line="240" w:lineRule="auto"/>
        <w:ind w:left="720" w:hanging="360"/>
        <w:jc w:val="both"/>
      </w:pPr>
      <w:r>
        <w:rPr>
          <w:rFonts w:ascii="Times New Roman" w:cs="Times New Roman" w:eastAsia="Times New Roman" w:hAnsi="Times New Roman"/>
          <w:color w:val="000000"/>
          <w:sz w:val="24"/>
          <w:szCs w:val="24"/>
        </w:rPr>
        <w:t xml:space="preserve">7. </w:t>
      </w:r>
      <w:r>
        <w:rPr>
          <w:rFonts w:ascii="Times New Roman" w:cs="Times New Roman" w:eastAsia="Times New Roman" w:hAnsi="Times New Roman"/>
          <w:b w:val="false"/>
          <w:bCs w:val="false"/>
          <w:i w:val="false"/>
          <w:iCs w:val="false"/>
          <w:color w:val="000000"/>
          <w:sz w:val="24"/>
          <w:szCs w:val="24"/>
        </w:rPr>
        <w:t xml:space="preserve">Interés en realizar una visita guiada a bodegas y al Espacio Cultural Bodega Harriague (escala 1-5).</w:t>
      </w:r>
    </w:p>
    <w:p>
      <w:pPr>
        <w:spacing w:after="120" w:line="240" w:lineRule="auto"/>
        <w:ind w:left="720" w:hanging="360"/>
        <w:jc w:val="both"/>
      </w:pPr>
      <w:r>
        <w:rPr>
          <w:rFonts w:ascii="Times New Roman" w:cs="Times New Roman" w:eastAsia="Times New Roman" w:hAnsi="Times New Roman"/>
          <w:color w:val="000000"/>
          <w:sz w:val="24"/>
          <w:szCs w:val="24"/>
        </w:rPr>
        <w:t xml:space="preserve">8. </w:t>
      </w:r>
      <w:r>
        <w:rPr>
          <w:rFonts w:ascii="Times New Roman" w:cs="Times New Roman" w:eastAsia="Times New Roman" w:hAnsi="Times New Roman"/>
          <w:b w:val="false"/>
          <w:bCs w:val="false"/>
          <w:i w:val="false"/>
          <w:iCs w:val="false"/>
          <w:color w:val="000000"/>
          <w:sz w:val="24"/>
          <w:szCs w:val="24"/>
        </w:rPr>
        <w:t xml:space="preserve">Disposición a pagar por un tour de media jornada (rangos en USD).</w:t>
      </w:r>
    </w:p>
    <w:p>
      <w:pPr>
        <w:spacing w:after="120" w:line="240" w:lineRule="auto"/>
        <w:ind w:left="720" w:hanging="360"/>
        <w:jc w:val="both"/>
      </w:pPr>
      <w:r>
        <w:rPr>
          <w:rFonts w:ascii="Times New Roman" w:cs="Times New Roman" w:eastAsia="Times New Roman" w:hAnsi="Times New Roman"/>
          <w:color w:val="000000"/>
          <w:sz w:val="24"/>
          <w:szCs w:val="24"/>
        </w:rPr>
        <w:t xml:space="preserve">9. </w:t>
      </w:r>
      <w:r>
        <w:rPr>
          <w:rFonts w:ascii="Times New Roman" w:cs="Times New Roman" w:eastAsia="Times New Roman" w:hAnsi="Times New Roman"/>
          <w:b w:val="false"/>
          <w:bCs w:val="false"/>
          <w:i w:val="false"/>
          <w:iCs w:val="false"/>
          <w:color w:val="000000"/>
          <w:sz w:val="24"/>
          <w:szCs w:val="24"/>
        </w:rPr>
        <w:t xml:space="preserve">Actividades complementarias que valoraría durante su estadía termal (opción múltiple).</w:t>
      </w:r>
    </w:p>
    <w:p>
      <w:pPr>
        <w:spacing w:after="120" w:line="240" w:lineRule="auto"/>
        <w:ind w:left="720" w:hanging="360"/>
        <w:jc w:val="both"/>
      </w:pPr>
      <w:r>
        <w:rPr>
          <w:rFonts w:ascii="Times New Roman" w:cs="Times New Roman" w:eastAsia="Times New Roman" w:hAnsi="Times New Roman"/>
          <w:color w:val="000000"/>
          <w:sz w:val="24"/>
          <w:szCs w:val="24"/>
        </w:rPr>
        <w:t xml:space="preserve">10. </w:t>
      </w:r>
      <w:r>
        <w:rPr>
          <w:rFonts w:ascii="Times New Roman" w:cs="Times New Roman" w:eastAsia="Times New Roman" w:hAnsi="Times New Roman"/>
          <w:b w:val="false"/>
          <w:bCs w:val="false"/>
          <w:i w:val="false"/>
          <w:iCs w:val="false"/>
          <w:color w:val="000000"/>
          <w:sz w:val="24"/>
          <w:szCs w:val="24"/>
        </w:rPr>
        <w:t xml:space="preserve">Edad, nivel educativo y composición del grupo de viaje.</w:t>
      </w:r>
    </w:p>
    <w:p>
      <w:pPr>
        <w:pStyle w:val="Heading3"/>
        <w:keepNext/>
        <w:spacing w:after="120" w:before="200" w:line="240" w:lineRule="auto"/>
        <w:jc w:val="left"/>
      </w:pPr>
      <w:r>
        <w:rPr>
          <w:rFonts w:ascii="Times New Roman" w:cs="Times New Roman" w:eastAsia="Times New Roman" w:hAnsi="Times New Roman"/>
          <w:b/>
          <w:bCs/>
          <w:i/>
          <w:iCs/>
          <w:color w:val="000000"/>
          <w:sz w:val="24"/>
          <w:szCs w:val="24"/>
        </w:rPr>
        <w:t xml:space="preserve">4.4.2. Instrumento: guía de entrevista en profundidad</w:t>
      </w:r>
    </w:p>
    <w:p>
      <w:pPr>
        <w:keepNext w:val="false"/>
        <w:spacing w:after="160" w:line="240" w:lineRule="auto"/>
        <w:jc w:val="both"/>
      </w:pPr>
      <w:r>
        <w:rPr>
          <w:rFonts w:ascii="Times New Roman" w:cs="Times New Roman" w:eastAsia="Times New Roman" w:hAnsi="Times New Roman"/>
          <w:b w:val="false"/>
          <w:bCs w:val="false"/>
          <w:i w:val="false"/>
          <w:iCs w:val="false"/>
          <w:color w:val="000000"/>
          <w:sz w:val="24"/>
          <w:szCs w:val="24"/>
        </w:rPr>
        <w:t xml:space="preserve">Dirigida a directores técnicos de bodegas (Salto Chico, Bertolini &amp; Broglio, Mori Maglio) y a referentes del Centro Vasco de Salto / Comisión de Gestión del Espacio Cultural Bodega Harriague:</w:t>
      </w:r>
    </w:p>
    <w:p>
      <w:pPr>
        <w:spacing w:after="120" w:line="240" w:lineRule="auto"/>
        <w:ind w:left="720" w:hanging="360"/>
        <w:jc w:val="both"/>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val="false"/>
          <w:bCs w:val="false"/>
          <w:i w:val="false"/>
          <w:iCs w:val="false"/>
          <w:color w:val="000000"/>
          <w:sz w:val="24"/>
          <w:szCs w:val="24"/>
        </w:rPr>
        <w:t xml:space="preserve">Capacidad actual de recepción de visitantes (infraestructura, horarios, personal disponible).</w:t>
      </w:r>
    </w:p>
    <w:p>
      <w:pPr>
        <w:spacing w:after="120" w:line="240" w:lineRule="auto"/>
        <w:ind w:left="720" w:hanging="360"/>
        <w:jc w:val="both"/>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val="false"/>
          <w:bCs w:val="false"/>
          <w:i w:val="false"/>
          <w:iCs w:val="false"/>
          <w:color w:val="000000"/>
          <w:sz w:val="24"/>
          <w:szCs w:val="24"/>
        </w:rPr>
        <w:t xml:space="preserve">Experiencia previa con visitas guiadas o degustaciones comerciales.</w:t>
      </w:r>
    </w:p>
    <w:p>
      <w:pPr>
        <w:spacing w:after="120" w:line="240" w:lineRule="auto"/>
        <w:ind w:left="720" w:hanging="360"/>
        <w:jc w:val="both"/>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val="false"/>
          <w:bCs w:val="false"/>
          <w:i w:val="false"/>
          <w:iCs w:val="false"/>
          <w:color w:val="000000"/>
          <w:sz w:val="24"/>
          <w:szCs w:val="24"/>
        </w:rPr>
        <w:t xml:space="preserve">Interés y condiciones para integrarse a un circuito asociativo con otras bodegas y el sector hotelero.</w:t>
      </w:r>
    </w:p>
    <w:p>
      <w:pPr>
        <w:spacing w:after="120" w:line="240" w:lineRule="auto"/>
        <w:ind w:left="720" w:hanging="360"/>
        <w:jc w:val="both"/>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val="false"/>
          <w:bCs w:val="false"/>
          <w:i w:val="false"/>
          <w:iCs w:val="false"/>
          <w:color w:val="000000"/>
          <w:sz w:val="24"/>
          <w:szCs w:val="24"/>
        </w:rPr>
        <w:t xml:space="preserve">Necesidades de capacitación del personal en atención al turista enológico.</w:t>
      </w:r>
    </w:p>
    <w:p>
      <w:pPr>
        <w:spacing w:after="120" w:line="240" w:lineRule="auto"/>
        <w:ind w:left="720" w:hanging="360"/>
        <w:jc w:val="both"/>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val="false"/>
          <w:bCs w:val="false"/>
          <w:i w:val="false"/>
          <w:iCs w:val="false"/>
          <w:color w:val="000000"/>
          <w:sz w:val="24"/>
          <w:szCs w:val="24"/>
        </w:rPr>
        <w:t xml:space="preserve">Percepción sobre la viabilidad de un motor de reservas y pagos compartido.</w:t>
      </w:r>
    </w:p>
    <w:p>
      <w:pPr>
        <w:spacing w:after="120" w:line="240" w:lineRule="auto"/>
        <w:ind w:left="720" w:hanging="360"/>
        <w:jc w:val="both"/>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val="false"/>
          <w:bCs w:val="false"/>
          <w:i w:val="false"/>
          <w:iCs w:val="false"/>
          <w:color w:val="000000"/>
          <w:sz w:val="24"/>
          <w:szCs w:val="24"/>
        </w:rPr>
        <w:t xml:space="preserve">Estado de conservación y expectativas de uso turístico del sitio (para el Centro Vasco / Comisión de Gestión Bodega Harriague).</w:t>
      </w:r>
    </w:p>
    <w:p>
      <w:pPr>
        <w:pStyle w:val="Heading3"/>
        <w:keepNext/>
        <w:spacing w:after="120" w:before="200" w:line="240" w:lineRule="auto"/>
        <w:jc w:val="left"/>
      </w:pPr>
      <w:r>
        <w:rPr>
          <w:rFonts w:ascii="Times New Roman" w:cs="Times New Roman" w:eastAsia="Times New Roman" w:hAnsi="Times New Roman"/>
          <w:b/>
          <w:bCs/>
          <w:i/>
          <w:iCs/>
          <w:color w:val="000000"/>
          <w:sz w:val="24"/>
          <w:szCs w:val="24"/>
        </w:rPr>
        <w:t xml:space="preserve">4.4.3. Resultados</w:t>
      </w:r>
    </w:p>
    <w:p>
      <w:pPr>
        <w:keepNext/>
        <w:spacing w:after="0" w:before="200" w:line="240" w:lineRule="auto"/>
        <w:jc w:val="left"/>
      </w:pPr>
      <w:r>
        <w:rPr>
          <w:rFonts w:ascii="Times New Roman" w:cs="Times New Roman" w:eastAsia="Times New Roman" w:hAnsi="Times New Roman"/>
          <w:b w:val="false"/>
          <w:bCs w:val="false"/>
          <w:i w:val="false"/>
          <w:iCs w:val="false"/>
          <w:color w:val="000000"/>
          <w:sz w:val="24"/>
          <w:szCs w:val="24"/>
        </w:rPr>
        <w:t xml:space="preserve">Tabla 2</w:t>
      </w:r>
    </w:p>
    <w:p>
      <w:pPr>
        <w:keepNext/>
        <w:spacing w:after="120" w:before="0" w:line="240" w:lineRule="auto"/>
        <w:jc w:val="left"/>
      </w:pPr>
      <w:r>
        <w:rPr>
          <w:rFonts w:ascii="Times New Roman" w:cs="Times New Roman" w:eastAsia="Times New Roman" w:hAnsi="Times New Roman"/>
          <w:b w:val="false"/>
          <w:bCs w:val="false"/>
          <w:i/>
          <w:iCs/>
          <w:color w:val="000000"/>
          <w:sz w:val="24"/>
          <w:szCs w:val="24"/>
        </w:rPr>
        <w:t xml:space="preserve">Resultados de la investigación de mercado propia</w:t>
      </w:r>
    </w:p>
    <w:tbl>
      <w:tblPr>
        <w:tblW w:type="dxa" w:w="8504"/>
        <w:tblBorders>
          <w:top w:val="single" w:color="000000" w:sz="4"/>
          <w:left w:val="single" w:color="000000" w:sz="4"/>
          <w:bottom w:val="single" w:color="000000" w:sz="4"/>
          <w:right w:val="single" w:color="000000" w:sz="4"/>
          <w:insideH w:val="single" w:color="999999" w:sz="2"/>
          <w:insideV w:val="single" w:color="999999" w:sz="2"/>
        </w:tblBorders>
      </w:tblPr>
      <w:tblGrid>
        <w:gridCol w:w="6928"/>
        <w:gridCol w:w="788"/>
        <w:gridCol w:w="788"/>
      </w:tblGrid>
      <w:tr>
        <w:trPr>
          <w:cantSplit/>
        </w:trPr>
        <w:tc>
          <w:tcPr>
            <w:tcW w:type="dxa" w:w="6928"/>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i w:val="false"/>
                <w:iCs w:val="false"/>
                <w:color w:val="000000"/>
                <w:sz w:val="22"/>
                <w:szCs w:val="22"/>
              </w:rPr>
              <w:t xml:space="preserve">Dimensión relevada</w:t>
            </w:r>
          </w:p>
        </w:tc>
        <w:tc>
          <w:tcPr>
            <w:tcW w:type="dxa" w:w="788"/>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i w:val="false"/>
                <w:iCs w:val="false"/>
                <w:color w:val="000000"/>
                <w:sz w:val="22"/>
                <w:szCs w:val="22"/>
              </w:rPr>
              <w:t xml:space="preserve">Principal hallazgo</w:t>
            </w:r>
          </w:p>
        </w:tc>
        <w:tc>
          <w:tcPr>
            <w:tcW w:type="dxa" w:w="788"/>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i w:val="false"/>
                <w:iCs w:val="false"/>
                <w:color w:val="000000"/>
                <w:sz w:val="22"/>
                <w:szCs w:val="22"/>
              </w:rPr>
              <w:t xml:space="preserve">Base (n / entrevistas)</w:t>
            </w:r>
          </w:p>
        </w:tc>
      </w:tr>
      <w:tr>
        <w:trPr>
          <w:cantSplit/>
        </w:trPr>
        <w:tc>
          <w:tcPr>
            <w:tcW w:type="dxa" w:w="6928"/>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Conocimiento previo de las bodegas activas</w:t>
            </w:r>
          </w:p>
        </w:tc>
        <w:tc>
          <w:tcPr>
            <w:tcW w:type="dxa" w:w="788"/>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[COMPLETAR con resultado real]</w:t>
            </w:r>
          </w:p>
        </w:tc>
        <w:tc>
          <w:tcPr>
            <w:tcW w:type="dxa" w:w="788"/>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[COMPLETAR]</w:t>
            </w:r>
          </w:p>
        </w:tc>
      </w:tr>
      <w:tr>
        <w:trPr>
          <w:cantSplit/>
        </w:trPr>
        <w:tc>
          <w:tcPr>
            <w:tcW w:type="dxa" w:w="6928"/>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Disposición a pagar por tour de media jornada</w:t>
            </w:r>
          </w:p>
        </w:tc>
        <w:tc>
          <w:tcPr>
            <w:tcW w:type="dxa" w:w="788"/>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[COMPLETAR con resultado real]</w:t>
            </w:r>
          </w:p>
        </w:tc>
        <w:tc>
          <w:tcPr>
            <w:tcW w:type="dxa" w:w="788"/>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[COMPLETAR]</w:t>
            </w:r>
          </w:p>
        </w:tc>
      </w:tr>
      <w:tr>
        <w:trPr>
          <w:cantSplit/>
        </w:trPr>
        <w:tc>
          <w:tcPr>
            <w:tcW w:type="dxa" w:w="6928"/>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Interés en visita guiada (escala 1-5)</w:t>
            </w:r>
          </w:p>
        </w:tc>
        <w:tc>
          <w:tcPr>
            <w:tcW w:type="dxa" w:w="788"/>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[COMPLETAR con resultado real]</w:t>
            </w:r>
          </w:p>
        </w:tc>
        <w:tc>
          <w:tcPr>
            <w:tcW w:type="dxa" w:w="788"/>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[COMPLETAR]</w:t>
            </w:r>
          </w:p>
        </w:tc>
      </w:tr>
      <w:tr>
        <w:trPr>
          <w:cantSplit/>
        </w:trPr>
        <w:tc>
          <w:tcPr>
            <w:tcW w:type="dxa" w:w="6928"/>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Capacidad de recepción declarada por las bodegas</w:t>
            </w:r>
          </w:p>
        </w:tc>
        <w:tc>
          <w:tcPr>
            <w:tcW w:type="dxa" w:w="788"/>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[COMPLETAR con resultado real]</w:t>
            </w:r>
          </w:p>
        </w:tc>
        <w:tc>
          <w:tcPr>
            <w:tcW w:type="dxa" w:w="788"/>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[COMPLETAR]</w:t>
            </w:r>
          </w:p>
        </w:tc>
      </w:tr>
      <w:tr>
        <w:trPr>
          <w:cantSplit/>
        </w:trPr>
        <w:tc>
          <w:tcPr>
            <w:tcW w:type="dxa" w:w="6928"/>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Interés de las bodegas en integrarse al circuito</w:t>
            </w:r>
          </w:p>
        </w:tc>
        <w:tc>
          <w:tcPr>
            <w:tcW w:type="dxa" w:w="788"/>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[COMPLETAR con resultado real]</w:t>
            </w:r>
          </w:p>
        </w:tc>
        <w:tc>
          <w:tcPr>
            <w:tcW w:type="dxa" w:w="788"/>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[COMPLETAR]</w:t>
            </w:r>
          </w:p>
        </w:tc>
      </w:tr>
      <w:tr>
        <w:trPr>
          <w:cantSplit/>
        </w:trPr>
        <w:tc>
          <w:tcPr>
            <w:tcW w:type="dxa" w:w="6928"/>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i w:val="false"/>
                <w:iCs w:val="false"/>
                <w:color w:val="000000"/>
                <w:sz w:val="22"/>
                <w:szCs w:val="22"/>
              </w:rPr>
              <w:t xml:space="preserve">⚠ EJEMPLO ILUSTRATIVO — NO SON DATOS REALES</w:t>
            </w:r>
            <w:r>
              <w:rPr>
                <w:rFonts w:ascii="Times New Roman" w:cs="Times New Roman" w:eastAsia="Times New Roman" w:hAnsi="Times New Roman"/>
                <w:b w:val="false"/>
                <w:bCs w:val="false"/>
                <w:i/>
                <w:iCs/>
                <w:color w:val="000000"/>
                <w:sz w:val="22"/>
                <w:szCs w:val="22"/>
              </w:rPr>
              <w:t xml:space="preserve">El siguiente párrafo es un ejemplo de redacción con datos inventados, solo para mostrar cómo se vería la sección una vez completada. Debe eliminarse y reemplazarse por el análisis real de los datos relevados:</w:t>
            </w:r>
            <w:r>
              <w:rPr>
                <w:rFonts w:ascii="Times New Roman" w:cs="Times New Roman" w:eastAsia="Times New Roman" w:hAnsi="Times New Roman"/>
                <w:b w:val="false"/>
                <w:bCs w:val="false"/>
                <w:i/>
                <w:iCs/>
                <w:color w:val="000000"/>
                <w:sz w:val="22"/>
                <w:szCs w:val="22"/>
              </w:rPr>
              <w:t xml:space="preserve">“De los turistas encuestados en los hoteles de Daymán, un 61% declaró no conocer la existencia de bodegas activas en Salto, y un 78% manifestó interés (puntaje 4 o 5) en sumar una visita guiada a su estadía. La disposición a pagar se concentró entre USD 40 y USD 55 para un tour de media jornada. En las entrevistas, las tres bodegas relevadas expresaron interés en integrarse al circuito, aunque Mori Maglio señaló limitaciones de personal para recibir grupos de más de 15 personas por turno.”</w:t>
            </w:r>
          </w:p>
        </w:tc>
        <w:tc>
          <w:tcPr>
            <w:tcW w:type="dxa" w:w="788"/>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
            </w:r>
          </w:p>
        </w:tc>
        <w:tc>
          <w:tcPr>
            <w:tcW w:type="dxa" w:w="788"/>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
            </w:r>
          </w:p>
        </w:tc>
      </w:tr>
    </w:tbl>
    <w:p>
      <w:pPr>
        <w:spacing w:after="160"/>
      </w:pPr>
    </w:p>
    <w:p>
      <w:pPr>
        <w:spacing w:after="200" w:before="80" w:line="240" w:lineRule="auto"/>
        <w:jc w:val="left"/>
      </w:pPr>
      <w:r>
        <w:rPr>
          <w:rFonts w:ascii="Times New Roman" w:cs="Times New Roman" w:eastAsia="Times New Roman" w:hAnsi="Times New Roman"/>
          <w:b w:val="false"/>
          <w:bCs w:val="false"/>
          <w:i/>
          <w:iCs/>
          <w:color w:val="000000"/>
          <w:sz w:val="22"/>
          <w:szCs w:val="22"/>
        </w:rPr>
        <w:t xml:space="preserve">Nota.</w:t>
      </w:r>
      <w:r>
        <w:rPr>
          <w:rFonts w:ascii="Times New Roman" w:cs="Times New Roman" w:eastAsia="Times New Roman" w:hAnsi="Times New Roman"/>
          <w:b w:val="false"/>
          <w:bCs w:val="false"/>
          <w:i w:val="false"/>
          <w:iCs w:val="false"/>
          <w:color w:val="000000"/>
          <w:sz w:val="22"/>
          <w:szCs w:val="22"/>
        </w:rPr>
        <w:t xml:space="preserve"> Elaboración propia a partir del trabajo de campo descrito en el Capítulo 3. Los campos marcados [COMPLETAR] deben reemplazarse por los resultados reales; el párrafo señalado como ejemplo ilustrativo no debe presentarse como dato efectivo.</w:t>
      </w:r>
    </w:p>
    <w:p>
      <w:pPr>
        <w:pStyle w:val="Heading3"/>
        <w:keepNext/>
        <w:spacing w:after="120" w:before="200" w:line="240" w:lineRule="auto"/>
        <w:jc w:val="left"/>
      </w:pPr>
      <w:r>
        <w:rPr>
          <w:rFonts w:ascii="Times New Roman" w:cs="Times New Roman" w:eastAsia="Times New Roman" w:hAnsi="Times New Roman"/>
          <w:b/>
          <w:bCs/>
          <w:i/>
          <w:iCs/>
          <w:color w:val="000000"/>
          <w:sz w:val="24"/>
          <w:szCs w:val="24"/>
        </w:rPr>
        <w:t xml:space="preserve">4.4.4. Datos secundarios de contexto</w:t>
      </w:r>
    </w:p>
    <w:p>
      <w:pPr>
        <w:keepNext w:val="false"/>
        <w:spacing w:after="160" w:line="240" w:lineRule="auto"/>
        <w:jc w:val="both"/>
      </w:pPr>
      <w:r>
        <w:rPr>
          <w:rFonts w:ascii="Times New Roman" w:cs="Times New Roman" w:eastAsia="Times New Roman" w:hAnsi="Times New Roman"/>
          <w:b w:val="false"/>
          <w:bCs w:val="false"/>
          <w:i w:val="false"/>
          <w:iCs w:val="false"/>
          <w:color w:val="000000"/>
          <w:sz w:val="24"/>
          <w:szCs w:val="24"/>
        </w:rPr>
        <w:t xml:space="preserve">Como marco de referencia (no reemplaza el relevamiento propio), el estudio de Opción Consultores para INAVI ubica el gasto promedio por visitante en el segmento enoturístico en USD 76 diarios, con un promedio de USD 90 según el Plan Operativo de INAVI. En los establecimientos con alojamiento integrado (16% de la oferta del país), la tarifa de pernocte varía entre USD 180 y USD 700 por noche. El mercado nacional de enoturistas se compone de 39% de brasileños, 37% de uruguayos, 10% de argentinos, 4% de norteamericanos y 10% de otros orígenes. El sector genera empleo directo para cerca de 1.000 personas, y representa entre el 25% y el 50% de los ingresos anuales de un tercio de los establecimientos vitivinícolas participantes (INAVI &amp; Opción Consultores, 2023).</w:t>
      </w:r>
    </w:p>
    <w:p>
      <w:pPr>
        <w:pStyle w:val="Heading2"/>
        <w:keepNext/>
        <w:spacing w:after="160" w:before="240" w:line="240" w:lineRule="auto"/>
        <w:jc w:val="left"/>
      </w:pPr>
      <w:r>
        <w:rPr>
          <w:rFonts w:ascii="Times New Roman" w:cs="Times New Roman" w:eastAsia="Times New Roman" w:hAnsi="Times New Roman"/>
          <w:b/>
          <w:bCs/>
          <w:i w:val="false"/>
          <w:iCs w:val="false"/>
          <w:color w:val="000000"/>
          <w:sz w:val="24"/>
          <w:szCs w:val="24"/>
        </w:rPr>
        <w:t xml:space="preserve">4.5. Análisis de Mercado</w:t>
      </w:r>
    </w:p>
    <w:p>
      <w:pPr>
        <w:keepNext w:val="false"/>
        <w:spacing w:after="160" w:line="240" w:lineRule="auto"/>
        <w:jc w:val="both"/>
      </w:pPr>
      <w:r>
        <w:rPr>
          <w:rFonts w:ascii="Times New Roman" w:cs="Times New Roman" w:eastAsia="Times New Roman" w:hAnsi="Times New Roman"/>
          <w:b w:val="false"/>
          <w:bCs w:val="false"/>
          <w:i w:val="false"/>
          <w:iCs w:val="false"/>
          <w:color w:val="000000"/>
          <w:sz w:val="24"/>
          <w:szCs w:val="24"/>
        </w:rPr>
        <w:t xml:space="preserve">La caracterización del mercado objetivo combina cuatro tipos de factores. Desde el punto de vista geográfico, el segmento se compone de turistas nacionales de la zona metropolitana de Montevideo y del sur del país, complementados por el mercado regional de proximidad de Entre Ríos (Argentina) y Rio Grande do Sul (Brasil). Desde el punto de vista demográfico, se trata de hombres y mujeres de 30 a 65 años, profesionales o empresarios de nivel socioeconómico medio-alto y alto, capaces de absorber el costo de experiencias premium. Desde el punto de vista psicográfico, son personas interesadas en el consumo cultural, la historia, la arqueología industrial, la gastronomía autóctona y el bienestar (slow travel), que valoran la autenticidad y la hospitalidad personalizada. Y desde el punto de vista conductual, son consumidores habituales u ocasionales de vinos finos que viajan a relajarse en las termas, pero que demandan actividades culturales complementarias que justifiquen pernoctaciones más largas.</w:t>
      </w:r>
    </w:p>
    <w:p>
      <w:pPr>
        <w:keepNext w:val="false"/>
        <w:spacing w:after="160" w:line="240" w:lineRule="auto"/>
        <w:jc w:val="both"/>
      </w:pPr>
      <w:r>
        <w:rPr>
          <w:rFonts w:ascii="Times New Roman" w:cs="Times New Roman" w:eastAsia="Times New Roman" w:hAnsi="Times New Roman"/>
          <w:b w:val="false"/>
          <w:bCs w:val="false"/>
          <w:i w:val="false"/>
          <w:iCs w:val="false"/>
          <w:color w:val="000000"/>
          <w:sz w:val="24"/>
          <w:szCs w:val="24"/>
        </w:rPr>
        <w:t xml:space="preserve">Este segmento se selecciona por su alta tasa de conversión y baja elasticidad-precio ante ofertas de calidad: al tener resuelto el alojamiento y el traslado de larga distancia por la oferta termal, el circuito actúa como un producto complementario de bajo costo de adquisición, capturando el gasto excedente del turista durante las horas de la tarde.</w:t>
      </w:r>
    </w:p>
    <w:p>
      <w:pPr>
        <w:pStyle w:val="Heading2"/>
        <w:keepNext/>
        <w:spacing w:after="160" w:before="240" w:line="240" w:lineRule="auto"/>
        <w:jc w:val="left"/>
      </w:pPr>
      <w:r>
        <w:rPr>
          <w:rFonts w:ascii="Times New Roman" w:cs="Times New Roman" w:eastAsia="Times New Roman" w:hAnsi="Times New Roman"/>
          <w:b/>
          <w:bCs/>
          <w:i w:val="false"/>
          <w:iCs w:val="false"/>
          <w:color w:val="000000"/>
          <w:sz w:val="24"/>
          <w:szCs w:val="24"/>
        </w:rPr>
        <w:t xml:space="preserve">4.6. Análisis FODA</w:t>
      </w:r>
    </w:p>
    <w:p>
      <w:pPr>
        <w:keepNext w:val="false"/>
        <w:spacing w:after="160" w:line="240" w:lineRule="auto"/>
        <w:jc w:val="both"/>
      </w:pPr>
      <w:r>
        <w:rPr>
          <w:rFonts w:ascii="Times New Roman" w:cs="Times New Roman" w:eastAsia="Times New Roman" w:hAnsi="Times New Roman"/>
          <w:b w:val="false"/>
          <w:bCs w:val="false"/>
          <w:i w:val="false"/>
          <w:iCs w:val="false"/>
          <w:color w:val="000000"/>
          <w:sz w:val="24"/>
          <w:szCs w:val="24"/>
        </w:rPr>
        <w:t xml:space="preserve">Los datos oficiales de INAVI (período 2021-2024) reflejan una tendencia de reconversión estructural del rubro vitivinícola en Uruguay:</w:t>
      </w:r>
    </w:p>
    <w:p>
      <w:pPr>
        <w:keepNext/>
        <w:spacing w:after="0" w:before="200" w:line="240" w:lineRule="auto"/>
        <w:jc w:val="left"/>
      </w:pPr>
      <w:r>
        <w:rPr>
          <w:rFonts w:ascii="Times New Roman" w:cs="Times New Roman" w:eastAsia="Times New Roman" w:hAnsi="Times New Roman"/>
          <w:b w:val="false"/>
          <w:bCs w:val="false"/>
          <w:i w:val="false"/>
          <w:iCs w:val="false"/>
          <w:color w:val="000000"/>
          <w:sz w:val="24"/>
          <w:szCs w:val="24"/>
        </w:rPr>
        <w:t xml:space="preserve">Tabla 3</w:t>
      </w:r>
    </w:p>
    <w:p>
      <w:pPr>
        <w:keepNext/>
        <w:spacing w:after="120" w:before="0" w:line="240" w:lineRule="auto"/>
        <w:jc w:val="left"/>
      </w:pPr>
      <w:r>
        <w:rPr>
          <w:rFonts w:ascii="Times New Roman" w:cs="Times New Roman" w:eastAsia="Times New Roman" w:hAnsi="Times New Roman"/>
          <w:b w:val="false"/>
          <w:bCs w:val="false"/>
          <w:i/>
          <w:iCs/>
          <w:color w:val="000000"/>
          <w:sz w:val="24"/>
          <w:szCs w:val="24"/>
        </w:rPr>
        <w:t xml:space="preserve">Evolución de indicadores vitivinícolas nacionales, 2021-2024</w:t>
      </w:r>
    </w:p>
    <w:tbl>
      <w:tblPr>
        <w:tblW w:type="dxa" w:w="8504"/>
        <w:tblBorders>
          <w:top w:val="single" w:color="000000" w:sz="4"/>
          <w:left w:val="single" w:color="000000" w:sz="4"/>
          <w:bottom w:val="single" w:color="000000" w:sz="4"/>
          <w:right w:val="single" w:color="000000" w:sz="4"/>
          <w:insideH w:val="single" w:color="999999" w:sz="2"/>
          <w:insideV w:val="single" w:color="999999" w:sz="2"/>
        </w:tblBorders>
      </w:tblPr>
      <w:tblGrid>
        <w:gridCol w:w="3510"/>
        <w:gridCol w:w="1080"/>
        <w:gridCol w:w="1080"/>
        <w:gridCol w:w="1080"/>
        <w:gridCol w:w="1755"/>
      </w:tblGrid>
      <w:tr>
        <w:trPr>
          <w:cantSplit/>
        </w:trPr>
        <w:tc>
          <w:tcPr>
            <w:tcW w:type="dxa" w:w="3510"/>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i w:val="false"/>
                <w:iCs w:val="false"/>
                <w:color w:val="000000"/>
                <w:sz w:val="22"/>
                <w:szCs w:val="22"/>
              </w:rPr>
              <w:t xml:space="preserve">Indicador nacional</w:t>
            </w:r>
          </w:p>
        </w:tc>
        <w:tc>
          <w:tcPr>
            <w:tcW w:type="dxa" w:w="1080"/>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i w:val="false"/>
                <w:iCs w:val="false"/>
                <w:color w:val="000000"/>
                <w:sz w:val="22"/>
                <w:szCs w:val="22"/>
              </w:rPr>
              <w:t xml:space="preserve">2021</w:t>
            </w:r>
          </w:p>
        </w:tc>
        <w:tc>
          <w:tcPr>
            <w:tcW w:type="dxa" w:w="1080"/>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i w:val="false"/>
                <w:iCs w:val="false"/>
                <w:color w:val="000000"/>
                <w:sz w:val="22"/>
                <w:szCs w:val="22"/>
              </w:rPr>
              <w:t xml:space="preserve">2023</w:t>
            </w:r>
          </w:p>
        </w:tc>
        <w:tc>
          <w:tcPr>
            <w:tcW w:type="dxa" w:w="1080"/>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i w:val="false"/>
                <w:iCs w:val="false"/>
                <w:color w:val="000000"/>
                <w:sz w:val="22"/>
                <w:szCs w:val="22"/>
              </w:rPr>
              <w:t xml:space="preserve">2024</w:t>
            </w:r>
          </w:p>
        </w:tc>
        <w:tc>
          <w:tcPr>
            <w:tcW w:type="dxa" w:w="1755"/>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i w:val="false"/>
                <w:iCs w:val="false"/>
                <w:color w:val="000000"/>
                <w:sz w:val="22"/>
                <w:szCs w:val="22"/>
              </w:rPr>
              <w:t xml:space="preserve">Tendencia</w:t>
            </w:r>
          </w:p>
        </w:tc>
      </w:tr>
      <w:tr>
        <w:trPr>
          <w:cantSplit/>
        </w:trPr>
        <w:tc>
          <w:tcPr>
            <w:tcW w:type="dxa" w:w="3510"/>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Viñedos vigentes inscritos</w:t>
            </w:r>
          </w:p>
        </w:tc>
        <w:tc>
          <w:tcPr>
            <w:tcW w:type="dxa" w:w="1080"/>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1.183</w:t>
            </w:r>
          </w:p>
        </w:tc>
        <w:tc>
          <w:tcPr>
            <w:tcW w:type="dxa" w:w="1080"/>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1.103</w:t>
            </w:r>
          </w:p>
        </w:tc>
        <w:tc>
          <w:tcPr>
            <w:tcW w:type="dxa" w:w="1080"/>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1.077</w:t>
            </w:r>
          </w:p>
        </w:tc>
        <w:tc>
          <w:tcPr>
            <w:tcW w:type="dxa" w:w="1755"/>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-8,96%</w:t>
            </w:r>
          </w:p>
        </w:tc>
      </w:tr>
      <w:tr>
        <w:trPr>
          <w:cantSplit/>
        </w:trPr>
        <w:tc>
          <w:tcPr>
            <w:tcW w:type="dxa" w:w="3510"/>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Superficie cultivada (ha)</w:t>
            </w:r>
          </w:p>
        </w:tc>
        <w:tc>
          <w:tcPr>
            <w:tcW w:type="dxa" w:w="1080"/>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5.966</w:t>
            </w:r>
          </w:p>
        </w:tc>
        <w:tc>
          <w:tcPr>
            <w:tcW w:type="dxa" w:w="1080"/>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5.905</w:t>
            </w:r>
          </w:p>
        </w:tc>
        <w:tc>
          <w:tcPr>
            <w:tcW w:type="dxa" w:w="1080"/>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5.857</w:t>
            </w:r>
          </w:p>
        </w:tc>
        <w:tc>
          <w:tcPr>
            <w:tcW w:type="dxa" w:w="1755"/>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-1,83%</w:t>
            </w:r>
          </w:p>
        </w:tc>
      </w:tr>
      <w:tr>
        <w:trPr>
          <w:cantSplit/>
        </w:trPr>
        <w:tc>
          <w:tcPr>
            <w:tcW w:type="dxa" w:w="3510"/>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Productores activos</w:t>
            </w:r>
          </w:p>
        </w:tc>
        <w:tc>
          <w:tcPr>
            <w:tcW w:type="dxa" w:w="1080"/>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866</w:t>
            </w:r>
          </w:p>
        </w:tc>
        <w:tc>
          <w:tcPr>
            <w:tcW w:type="dxa" w:w="1080"/>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794</w:t>
            </w:r>
          </w:p>
        </w:tc>
        <w:tc>
          <w:tcPr>
            <w:tcW w:type="dxa" w:w="1080"/>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766</w:t>
            </w:r>
          </w:p>
        </w:tc>
        <w:tc>
          <w:tcPr>
            <w:tcW w:type="dxa" w:w="1755"/>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-11,55%</w:t>
            </w:r>
          </w:p>
        </w:tc>
      </w:tr>
      <w:tr>
        <w:trPr>
          <w:cantSplit/>
        </w:trPr>
        <w:tc>
          <w:tcPr>
            <w:tcW w:type="dxa" w:w="3510"/>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Empresas registradas</w:t>
            </w:r>
          </w:p>
        </w:tc>
        <w:tc>
          <w:tcPr>
            <w:tcW w:type="dxa" w:w="1080"/>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788</w:t>
            </w:r>
          </w:p>
        </w:tc>
        <w:tc>
          <w:tcPr>
            <w:tcW w:type="dxa" w:w="1080"/>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726</w:t>
            </w:r>
          </w:p>
        </w:tc>
        <w:tc>
          <w:tcPr>
            <w:tcW w:type="dxa" w:w="1080"/>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698</w:t>
            </w:r>
          </w:p>
        </w:tc>
        <w:tc>
          <w:tcPr>
            <w:tcW w:type="dxa" w:w="1755"/>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-11,42%</w:t>
            </w:r>
          </w:p>
        </w:tc>
      </w:tr>
    </w:tbl>
    <w:p>
      <w:pPr>
        <w:spacing w:after="160"/>
      </w:pPr>
    </w:p>
    <w:p>
      <w:pPr>
        <w:spacing w:after="200" w:before="80" w:line="240" w:lineRule="auto"/>
        <w:jc w:val="left"/>
      </w:pPr>
      <w:r>
        <w:rPr>
          <w:rFonts w:ascii="Times New Roman" w:cs="Times New Roman" w:eastAsia="Times New Roman" w:hAnsi="Times New Roman"/>
          <w:b w:val="false"/>
          <w:bCs w:val="false"/>
          <w:i/>
          <w:iCs/>
          <w:color w:val="000000"/>
          <w:sz w:val="22"/>
          <w:szCs w:val="22"/>
        </w:rPr>
        <w:t xml:space="preserve">Nota.</w:t>
      </w:r>
      <w:r>
        <w:rPr>
          <w:rFonts w:ascii="Times New Roman" w:cs="Times New Roman" w:eastAsia="Times New Roman" w:hAnsi="Times New Roman"/>
          <w:b w:val="false"/>
          <w:bCs w:val="false"/>
          <w:i w:val="false"/>
          <w:iCs w:val="false"/>
          <w:color w:val="000000"/>
          <w:sz w:val="22"/>
          <w:szCs w:val="22"/>
        </w:rPr>
        <w:t xml:space="preserve"> Elaboración propia a partir de INAVI (2021, 2023a, 2023b, 2024b).</w:t>
      </w:r>
    </w:p>
    <w:p>
      <w:pPr>
        <w:pStyle w:val="Heading3"/>
        <w:keepNext/>
        <w:spacing w:after="120" w:before="200" w:line="240" w:lineRule="auto"/>
        <w:jc w:val="left"/>
      </w:pPr>
      <w:r>
        <w:rPr>
          <w:rFonts w:ascii="Times New Roman" w:cs="Times New Roman" w:eastAsia="Times New Roman" w:hAnsi="Times New Roman"/>
          <w:b/>
          <w:bCs/>
          <w:i/>
          <w:iCs/>
          <w:color w:val="000000"/>
          <w:sz w:val="24"/>
          <w:szCs w:val="24"/>
        </w:rPr>
        <w:t xml:space="preserve">Fortalezas</w:t>
      </w:r>
    </w:p>
    <w:p>
      <w:pPr>
        <w:keepNext w:val="false"/>
        <w:spacing w:after="160" w:line="240" w:lineRule="auto"/>
        <w:jc w:val="both"/>
      </w:pPr>
      <w:r>
        <w:rPr>
          <w:rFonts w:ascii="Times New Roman" w:cs="Times New Roman" w:eastAsia="Times New Roman" w:hAnsi="Times New Roman"/>
          <w:b w:val="false"/>
          <w:bCs w:val="false"/>
          <w:i w:val="false"/>
          <w:iCs w:val="false"/>
          <w:color w:val="000000"/>
          <w:sz w:val="24"/>
          <w:szCs w:val="24"/>
        </w:rPr>
        <w:t xml:space="preserve">Entre las fortalezas del proyecto se destaca, en primer término, la legitimidad histórica como “Cuna del Tannat”: en 1874 Pascual Harriague introduce estacas de origen francés (“Lorda”) en su establecimiento “La Caballada”, logrando en 1876 la primera vinificación comercial que daría origen al Tannat. A ello se suma un terroir excepcional de lecho basáltico y cantos rodados, con el río Uruguay mitigando heladas y estabilizando las temperaturas de maduración. El circuito cuenta además con bodegas boutique activas, dotadas de tecnología moderna y reconocidas con medallas internacionales (Tannat al Mundo, Sélections Mondiales de Vins Canadá), así como con una infraestructura de alojamiento termal consolidada, que asegura flujos continuos de visitantes de alto poder adquisitivo durante todo el año. Finalmente, el territorio dispone de una red vial de acceso nacional directa sobre la Ruta 3.</w:t>
      </w:r>
    </w:p>
    <w:p>
      <w:pPr>
        <w:pStyle w:val="Heading3"/>
        <w:keepNext/>
        <w:spacing w:after="120" w:before="200" w:line="240" w:lineRule="auto"/>
        <w:jc w:val="left"/>
      </w:pPr>
      <w:r>
        <w:rPr>
          <w:rFonts w:ascii="Times New Roman" w:cs="Times New Roman" w:eastAsia="Times New Roman" w:hAnsi="Times New Roman"/>
          <w:b/>
          <w:bCs/>
          <w:i/>
          <w:iCs/>
          <w:color w:val="000000"/>
          <w:sz w:val="24"/>
          <w:szCs w:val="24"/>
        </w:rPr>
        <w:t xml:space="preserve">Debilidades</w:t>
      </w:r>
    </w:p>
    <w:p>
      <w:pPr>
        <w:keepNext w:val="false"/>
        <w:spacing w:after="160" w:line="240" w:lineRule="auto"/>
        <w:jc w:val="both"/>
      </w:pPr>
      <w:r>
        <w:rPr>
          <w:rFonts w:ascii="Times New Roman" w:cs="Times New Roman" w:eastAsia="Times New Roman" w:hAnsi="Times New Roman"/>
          <w:b w:val="false"/>
          <w:bCs w:val="false"/>
          <w:i w:val="false"/>
          <w:iCs w:val="false"/>
          <w:color w:val="000000"/>
          <w:sz w:val="24"/>
          <w:szCs w:val="24"/>
        </w:rPr>
        <w:t xml:space="preserve">Entre las debilidades se identifica, en primer lugar, la escasa coordinación operativa entre la Mesa Estratégica de Turismo de Salto (METS), los operadores hoteleros y los guías turísticos. Se suma la vulnerabilidad climática en la caminería rural secundaria de Colonia Osimani y Parada Daymán, así como una brecha digital caracterizada por la falta de motores de reserva en tiempo real y de pasarelas de pago electrónico internacional en las bodegas pequeñas. También se advierte una deficiencia crítica en la señalética indicativa homologada por el MINTUR en la Ruta 3 y sus bifurcaciones. Por último, persisten un bajo volumen de producción y una centralización de la distribución en el sur del país.</w:t>
      </w:r>
    </w:p>
    <w:p>
      <w:pPr>
        <w:pStyle w:val="Heading3"/>
        <w:keepNext/>
        <w:spacing w:after="120" w:before="200" w:line="240" w:lineRule="auto"/>
        <w:jc w:val="left"/>
      </w:pPr>
      <w:r>
        <w:rPr>
          <w:rFonts w:ascii="Times New Roman" w:cs="Times New Roman" w:eastAsia="Times New Roman" w:hAnsi="Times New Roman"/>
          <w:b/>
          <w:bCs/>
          <w:i/>
          <w:iCs/>
          <w:color w:val="000000"/>
          <w:sz w:val="24"/>
          <w:szCs w:val="24"/>
        </w:rPr>
        <w:t xml:space="preserve">Oportunidades</w:t>
      </w:r>
    </w:p>
    <w:p>
      <w:pPr>
        <w:keepNext w:val="false"/>
        <w:spacing w:after="160" w:line="240" w:lineRule="auto"/>
        <w:jc w:val="both"/>
      </w:pPr>
      <w:r>
        <w:rPr>
          <w:rFonts w:ascii="Times New Roman" w:cs="Times New Roman" w:eastAsia="Times New Roman" w:hAnsi="Times New Roman"/>
          <w:b w:val="false"/>
          <w:bCs w:val="false"/>
          <w:i w:val="false"/>
          <w:iCs w:val="false"/>
          <w:color w:val="000000"/>
          <w:sz w:val="24"/>
          <w:szCs w:val="24"/>
        </w:rPr>
        <w:t xml:space="preserve">La principal oportunidad identificada es la atracción del mercado enoturístico de Brasil, de alta rentabilidad y afinidad con el sector, tal como reflejan los datos trimestrales del Observatorio de Turismo Inteligente del MINTUR:</w:t>
      </w:r>
    </w:p>
    <w:p>
      <w:pPr>
        <w:keepNext/>
        <w:spacing w:after="0" w:before="200" w:line="240" w:lineRule="auto"/>
        <w:jc w:val="left"/>
      </w:pPr>
      <w:r>
        <w:rPr>
          <w:rFonts w:ascii="Times New Roman" w:cs="Times New Roman" w:eastAsia="Times New Roman" w:hAnsi="Times New Roman"/>
          <w:b w:val="false"/>
          <w:bCs w:val="false"/>
          <w:i w:val="false"/>
          <w:iCs w:val="false"/>
          <w:color w:val="000000"/>
          <w:sz w:val="24"/>
          <w:szCs w:val="24"/>
        </w:rPr>
        <w:t xml:space="preserve">Tabla 4</w:t>
      </w:r>
    </w:p>
    <w:p>
      <w:pPr>
        <w:keepNext/>
        <w:spacing w:after="120" w:before="0" w:line="240" w:lineRule="auto"/>
        <w:jc w:val="left"/>
      </w:pPr>
      <w:r>
        <w:rPr>
          <w:rFonts w:ascii="Times New Roman" w:cs="Times New Roman" w:eastAsia="Times New Roman" w:hAnsi="Times New Roman"/>
          <w:b w:val="false"/>
          <w:bCs w:val="false"/>
          <w:i/>
          <w:iCs/>
          <w:color w:val="000000"/>
          <w:sz w:val="24"/>
          <w:szCs w:val="24"/>
        </w:rPr>
        <w:t xml:space="preserve">Gasto y estadía promedio de turistas extranjeros por trimestre, según mercado de origen</w:t>
      </w:r>
    </w:p>
    <w:tbl>
      <w:tblPr>
        <w:tblW w:type="dxa" w:w="8504"/>
        <w:tblBorders>
          <w:top w:val="single" w:color="000000" w:sz="4"/>
          <w:left w:val="single" w:color="000000" w:sz="4"/>
          <w:bottom w:val="single" w:color="000000" w:sz="4"/>
          <w:right w:val="single" w:color="000000" w:sz="4"/>
          <w:insideH w:val="single" w:color="999999" w:sz="2"/>
          <w:insideV w:val="single" w:color="999999" w:sz="2"/>
        </w:tblBorders>
      </w:tblPr>
      <w:tblGrid>
        <w:gridCol w:w="1816"/>
        <w:gridCol w:w="2229"/>
        <w:gridCol w:w="2229"/>
        <w:gridCol w:w="2229"/>
      </w:tblGrid>
      <w:tr>
        <w:trPr>
          <w:cantSplit/>
        </w:trPr>
        <w:tc>
          <w:tcPr>
            <w:tcW w:type="dxa" w:w="1816"/>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i w:val="false"/>
                <w:iCs w:val="false"/>
                <w:color w:val="000000"/>
                <w:sz w:val="22"/>
                <w:szCs w:val="22"/>
              </w:rPr>
              <w:t xml:space="preserve">Trimestre (MINTUR)</w:t>
            </w:r>
          </w:p>
        </w:tc>
        <w:tc>
          <w:tcPr>
            <w:tcW w:type="dxa" w:w="2229"/>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i w:val="false"/>
                <w:iCs w:val="false"/>
                <w:color w:val="000000"/>
                <w:sz w:val="22"/>
                <w:szCs w:val="22"/>
              </w:rPr>
              <w:t xml:space="preserve">Brasil</w:t>
            </w:r>
          </w:p>
        </w:tc>
        <w:tc>
          <w:tcPr>
            <w:tcW w:type="dxa" w:w="2229"/>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i w:val="false"/>
                <w:iCs w:val="false"/>
                <w:color w:val="000000"/>
                <w:sz w:val="22"/>
                <w:szCs w:val="22"/>
              </w:rPr>
              <w:t xml:space="preserve">Argentina</w:t>
            </w:r>
          </w:p>
        </w:tc>
        <w:tc>
          <w:tcPr>
            <w:tcW w:type="dxa" w:w="2229"/>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i w:val="false"/>
                <w:iCs w:val="false"/>
                <w:color w:val="000000"/>
                <w:sz w:val="22"/>
                <w:szCs w:val="22"/>
              </w:rPr>
              <w:t xml:space="preserve">Chile</w:t>
            </w:r>
          </w:p>
        </w:tc>
      </w:tr>
      <w:tr>
        <w:trPr>
          <w:cantSplit/>
        </w:trPr>
        <w:tc>
          <w:tcPr>
            <w:tcW w:type="dxa" w:w="1816"/>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3er trim. 2025</w:t>
            </w:r>
          </w:p>
        </w:tc>
        <w:tc>
          <w:tcPr>
            <w:tcW w:type="dxa" w:w="2229"/>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Gasto USD 81,5 / 7,3 noches</w:t>
            </w:r>
          </w:p>
        </w:tc>
        <w:tc>
          <w:tcPr>
            <w:tcW w:type="dxa" w:w="2229"/>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Gasto USD 79,7 / 4,6 noches</w:t>
            </w:r>
          </w:p>
        </w:tc>
        <w:tc>
          <w:tcPr>
            <w:tcW w:type="dxa" w:w="2229"/>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Gasto USD 87,9 / 7,2 noches</w:t>
            </w:r>
          </w:p>
        </w:tc>
      </w:tr>
      <w:tr>
        <w:trPr>
          <w:cantSplit/>
        </w:trPr>
        <w:tc>
          <w:tcPr>
            <w:tcW w:type="dxa" w:w="1816"/>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1er trim. 2025</w:t>
            </w:r>
          </w:p>
        </w:tc>
        <w:tc>
          <w:tcPr>
            <w:tcW w:type="dxa" w:w="2229"/>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Gasto USD 61,1 / 8,7 noches</w:t>
            </w:r>
          </w:p>
        </w:tc>
        <w:tc>
          <w:tcPr>
            <w:tcW w:type="dxa" w:w="2229"/>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Gasto USD 73,5 / 5,5 noches</w:t>
            </w:r>
          </w:p>
        </w:tc>
        <w:tc>
          <w:tcPr>
            <w:tcW w:type="dxa" w:w="2229"/>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Gasto USD 94,5 / 6,6 noches</w:t>
            </w:r>
          </w:p>
        </w:tc>
      </w:tr>
      <w:tr>
        <w:trPr>
          <w:cantSplit/>
        </w:trPr>
        <w:tc>
          <w:tcPr>
            <w:tcW w:type="dxa" w:w="1816"/>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4to trim. 2024</w:t>
            </w:r>
          </w:p>
        </w:tc>
        <w:tc>
          <w:tcPr>
            <w:tcW w:type="dxa" w:w="2229"/>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Gasto USD 74,9 / 7,2 noches</w:t>
            </w:r>
          </w:p>
        </w:tc>
        <w:tc>
          <w:tcPr>
            <w:tcW w:type="dxa" w:w="2229"/>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Gasto USD 77,5 / 4,7 noches</w:t>
            </w:r>
          </w:p>
        </w:tc>
        <w:tc>
          <w:tcPr>
            <w:tcW w:type="dxa" w:w="2229"/>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Gasto USD 78,4 / 7,3 noches</w:t>
            </w:r>
          </w:p>
        </w:tc>
      </w:tr>
    </w:tbl>
    <w:p>
      <w:pPr>
        <w:spacing w:after="160"/>
      </w:pPr>
    </w:p>
    <w:p>
      <w:pPr>
        <w:spacing w:after="200" w:before="80" w:line="240" w:lineRule="auto"/>
        <w:jc w:val="left"/>
      </w:pPr>
      <w:r>
        <w:rPr>
          <w:rFonts w:ascii="Times New Roman" w:cs="Times New Roman" w:eastAsia="Times New Roman" w:hAnsi="Times New Roman"/>
          <w:b w:val="false"/>
          <w:bCs w:val="false"/>
          <w:i/>
          <w:iCs/>
          <w:color w:val="000000"/>
          <w:sz w:val="22"/>
          <w:szCs w:val="22"/>
        </w:rPr>
        <w:t xml:space="preserve">Nota.</w:t>
      </w:r>
      <w:r>
        <w:rPr>
          <w:rFonts w:ascii="Times New Roman" w:cs="Times New Roman" w:eastAsia="Times New Roman" w:hAnsi="Times New Roman"/>
          <w:b w:val="false"/>
          <w:bCs w:val="false"/>
          <w:i w:val="false"/>
          <w:iCs w:val="false"/>
          <w:color w:val="000000"/>
          <w:sz w:val="22"/>
          <w:szCs w:val="22"/>
        </w:rPr>
        <w:t xml:space="preserve"> Elaboración propia a partir de Ministerio de Turismo de Uruguay (2025a, 2025b, 2025c).</w:t>
      </w:r>
    </w:p>
    <w:p>
      <w:pPr>
        <w:keepNext w:val="false"/>
        <w:spacing w:after="160" w:line="240" w:lineRule="auto"/>
        <w:jc w:val="both"/>
      </w:pPr>
      <w:r>
        <w:rPr>
          <w:rFonts w:ascii="Times New Roman" w:cs="Times New Roman" w:eastAsia="Times New Roman" w:hAnsi="Times New Roman"/>
          <w:b w:val="false"/>
          <w:bCs w:val="false"/>
          <w:i w:val="false"/>
          <w:iCs w:val="false"/>
          <w:color w:val="000000"/>
          <w:sz w:val="24"/>
          <w:szCs w:val="24"/>
        </w:rPr>
        <w:t xml:space="preserve">A esto se suman los fondos concursables públicos: el Fondo Concursable para Emprendimientos Turísticos en Destinos Emergentes (MINTUR-ANDE) otorga hasta $U900.000 no reembolsables, mientras que el Fondo Enoturismo (MINTUR-INAVI) cofinancia hasta $U500.000. Otra oportunidad relevante es la certificación del Programa de Viticultura Sostenible de INAVI (sello Uruguay Sustainable Winegrowing, auditado por LSQA). Finalmente, se destaca la valorización del Espacio Cultural Bodega Harriague mediante el proyecto binacional de restauración U-riharri, liderado por el Centro Vasco de Salto junto con la Universidad del País Vasco y con el aval de la Cátedra UNESCO.</w:t>
      </w:r>
    </w:p>
    <w:p>
      <w:pPr>
        <w:pStyle w:val="Heading3"/>
        <w:keepNext/>
        <w:spacing w:after="120" w:before="200" w:line="240" w:lineRule="auto"/>
        <w:jc w:val="left"/>
      </w:pPr>
      <w:r>
        <w:rPr>
          <w:rFonts w:ascii="Times New Roman" w:cs="Times New Roman" w:eastAsia="Times New Roman" w:hAnsi="Times New Roman"/>
          <w:b/>
          <w:bCs/>
          <w:i/>
          <w:iCs/>
          <w:color w:val="000000"/>
          <w:sz w:val="24"/>
          <w:szCs w:val="24"/>
        </w:rPr>
        <w:t xml:space="preserve">Amenazas</w:t>
      </w:r>
    </w:p>
    <w:p>
      <w:pPr>
        <w:keepNext w:val="false"/>
        <w:spacing w:after="160" w:line="240" w:lineRule="auto"/>
        <w:jc w:val="both"/>
      </w:pPr>
      <w:r>
        <w:rPr>
          <w:rFonts w:ascii="Times New Roman" w:cs="Times New Roman" w:eastAsia="Times New Roman" w:hAnsi="Times New Roman"/>
          <w:b w:val="false"/>
          <w:bCs w:val="false"/>
          <w:i w:val="false"/>
          <w:iCs w:val="false"/>
          <w:color w:val="000000"/>
          <w:sz w:val="24"/>
          <w:szCs w:val="24"/>
        </w:rPr>
        <w:t xml:space="preserve">Entre las amenazas se encuentra, en primer lugar, el posicionamiento de marca departamental, concentrado casi exclusivamente en “Destino Termas”, que relega la propuesta histórico-enológica. A ello se suma la competencia comercial de Canelones y Maldonado, que cuentan con mayor inversión turística e infraestructura. La evolución de la brecha de precios relevada por el Observatorio Económico de la Universidad Católica del Uruguay ilustra la magnitud de esta presión regional:</w:t>
      </w:r>
    </w:p>
    <w:p>
      <w:pPr>
        <w:keepNext/>
        <w:spacing w:after="0" w:before="200" w:line="240" w:lineRule="auto"/>
        <w:jc w:val="left"/>
      </w:pPr>
      <w:r>
        <w:rPr>
          <w:rFonts w:ascii="Times New Roman" w:cs="Times New Roman" w:eastAsia="Times New Roman" w:hAnsi="Times New Roman"/>
          <w:b w:val="false"/>
          <w:bCs w:val="false"/>
          <w:i w:val="false"/>
          <w:iCs w:val="false"/>
          <w:color w:val="000000"/>
          <w:sz w:val="24"/>
          <w:szCs w:val="24"/>
        </w:rPr>
        <w:t xml:space="preserve">Tabla 5</w:t>
      </w:r>
    </w:p>
    <w:p>
      <w:pPr>
        <w:keepNext/>
        <w:spacing w:after="120" w:before="0" w:line="240" w:lineRule="auto"/>
        <w:jc w:val="left"/>
      </w:pPr>
      <w:r>
        <w:rPr>
          <w:rFonts w:ascii="Times New Roman" w:cs="Times New Roman" w:eastAsia="Times New Roman" w:hAnsi="Times New Roman"/>
          <w:b w:val="false"/>
          <w:bCs w:val="false"/>
          <w:i/>
          <w:iCs/>
          <w:color w:val="000000"/>
          <w:sz w:val="24"/>
          <w:szCs w:val="24"/>
        </w:rPr>
        <w:t xml:space="preserve">Evolución de la brecha de precios entre Salto y Concordia</w:t>
      </w:r>
    </w:p>
    <w:tbl>
      <w:tblPr>
        <w:tblW w:type="dxa" w:w="8504"/>
        <w:tblBorders>
          <w:top w:val="single" w:color="000000" w:sz="4"/>
          <w:left w:val="single" w:color="000000" w:sz="4"/>
          <w:bottom w:val="single" w:color="000000" w:sz="4"/>
          <w:right w:val="single" w:color="000000" w:sz="4"/>
          <w:insideH w:val="single" w:color="999999" w:sz="2"/>
          <w:insideV w:val="single" w:color="999999" w:sz="2"/>
        </w:tblBorders>
      </w:tblPr>
      <w:tblGrid>
        <w:gridCol w:w="1450"/>
        <w:gridCol w:w="2223"/>
        <w:gridCol w:w="2223"/>
        <w:gridCol w:w="2609"/>
      </w:tblGrid>
      <w:tr>
        <w:trPr>
          <w:cantSplit/>
        </w:trPr>
        <w:tc>
          <w:tcPr>
            <w:tcW w:type="dxa" w:w="1450"/>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i w:val="false"/>
                <w:iCs w:val="false"/>
                <w:color w:val="000000"/>
                <w:sz w:val="22"/>
                <w:szCs w:val="22"/>
              </w:rPr>
              <w:t xml:space="preserve">Fecha (UCU)</w:t>
            </w:r>
          </w:p>
        </w:tc>
        <w:tc>
          <w:tcPr>
            <w:tcW w:type="dxa" w:w="2223"/>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i w:val="false"/>
                <w:iCs w:val="false"/>
                <w:color w:val="000000"/>
                <w:sz w:val="22"/>
                <w:szCs w:val="22"/>
              </w:rPr>
              <w:t xml:space="preserve">Brecha general</w:t>
            </w:r>
          </w:p>
        </w:tc>
        <w:tc>
          <w:tcPr>
            <w:tcW w:type="dxa" w:w="2223"/>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i w:val="false"/>
                <w:iCs w:val="false"/>
                <w:color w:val="000000"/>
                <w:sz w:val="22"/>
                <w:szCs w:val="22"/>
              </w:rPr>
              <w:t xml:space="preserve">Bebidas alcohólicas</w:t>
            </w:r>
          </w:p>
        </w:tc>
        <w:tc>
          <w:tcPr>
            <w:tcW w:type="dxa" w:w="2609"/>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i w:val="false"/>
                <w:iCs w:val="false"/>
                <w:color w:val="000000"/>
                <w:sz w:val="22"/>
                <w:szCs w:val="22"/>
              </w:rPr>
              <w:t xml:space="preserve">Comidas fuera del hogar</w:t>
            </w:r>
          </w:p>
        </w:tc>
      </w:tr>
      <w:tr>
        <w:trPr>
          <w:cantSplit/>
        </w:trPr>
        <w:tc>
          <w:tcPr>
            <w:tcW w:type="dxa" w:w="1450"/>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Set. 2023</w:t>
            </w:r>
          </w:p>
        </w:tc>
        <w:tc>
          <w:tcPr>
            <w:tcW w:type="dxa" w:w="2223"/>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180,2% (Salto más caro)</w:t>
            </w:r>
          </w:p>
        </w:tc>
        <w:tc>
          <w:tcPr>
            <w:tcW w:type="dxa" w:w="2223"/>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Desequilibrio extremo</w:t>
            </w:r>
          </w:p>
        </w:tc>
        <w:tc>
          <w:tcPr>
            <w:tcW w:type="dxa" w:w="2609"/>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w:t>
            </w:r>
          </w:p>
        </w:tc>
      </w:tr>
      <w:tr>
        <w:trPr>
          <w:cantSplit/>
        </w:trPr>
        <w:tc>
          <w:tcPr>
            <w:tcW w:type="dxa" w:w="1450"/>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Set. 2024</w:t>
            </w:r>
          </w:p>
        </w:tc>
        <w:tc>
          <w:tcPr>
            <w:tcW w:type="dxa" w:w="2223"/>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47,4%</w:t>
            </w:r>
          </w:p>
        </w:tc>
        <w:tc>
          <w:tcPr>
            <w:tcW w:type="dxa" w:w="2223"/>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77%</w:t>
            </w:r>
          </w:p>
        </w:tc>
        <w:tc>
          <w:tcPr>
            <w:tcW w:type="dxa" w:w="2609"/>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82%</w:t>
            </w:r>
          </w:p>
        </w:tc>
      </w:tr>
      <w:tr>
        <w:trPr>
          <w:cantSplit/>
        </w:trPr>
        <w:tc>
          <w:tcPr>
            <w:tcW w:type="dxa" w:w="1450"/>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Ene. 2026</w:t>
            </w:r>
          </w:p>
        </w:tc>
        <w:tc>
          <w:tcPr>
            <w:tcW w:type="dxa" w:w="2223"/>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40,2%</w:t>
            </w:r>
          </w:p>
        </w:tc>
        <w:tc>
          <w:tcPr>
            <w:tcW w:type="dxa" w:w="2223"/>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52% (vino: 107%)</w:t>
            </w:r>
          </w:p>
        </w:tc>
        <w:tc>
          <w:tcPr>
            <w:tcW w:type="dxa" w:w="2609"/>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74%</w:t>
            </w:r>
          </w:p>
        </w:tc>
      </w:tr>
      <w:tr>
        <w:trPr>
          <w:cantSplit/>
        </w:trPr>
        <w:tc>
          <w:tcPr>
            <w:tcW w:type="dxa" w:w="1450"/>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Abr. 2026</w:t>
            </w:r>
          </w:p>
        </w:tc>
        <w:tc>
          <w:tcPr>
            <w:tcW w:type="dxa" w:w="2223"/>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15,0%</w:t>
            </w:r>
          </w:p>
        </w:tc>
        <w:tc>
          <w:tcPr>
            <w:tcW w:type="dxa" w:w="2223"/>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41%</w:t>
            </w:r>
          </w:p>
        </w:tc>
        <w:tc>
          <w:tcPr>
            <w:tcW w:type="dxa" w:w="2609"/>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Diferencia moderada</w:t>
            </w:r>
          </w:p>
        </w:tc>
      </w:tr>
    </w:tbl>
    <w:p>
      <w:pPr>
        <w:spacing w:after="160"/>
      </w:pPr>
    </w:p>
    <w:p>
      <w:pPr>
        <w:spacing w:after="200" w:before="80" w:line="240" w:lineRule="auto"/>
        <w:jc w:val="left"/>
      </w:pPr>
      <w:r>
        <w:rPr>
          <w:rFonts w:ascii="Times New Roman" w:cs="Times New Roman" w:eastAsia="Times New Roman" w:hAnsi="Times New Roman"/>
          <w:b w:val="false"/>
          <w:bCs w:val="false"/>
          <w:i/>
          <w:iCs/>
          <w:color w:val="000000"/>
          <w:sz w:val="22"/>
          <w:szCs w:val="22"/>
        </w:rPr>
        <w:t xml:space="preserve">Nota.</w:t>
      </w:r>
      <w:r>
        <w:rPr>
          <w:rFonts w:ascii="Times New Roman" w:cs="Times New Roman" w:eastAsia="Times New Roman" w:hAnsi="Times New Roman"/>
          <w:b w:val="false"/>
          <w:bCs w:val="false"/>
          <w:i w:val="false"/>
          <w:iCs w:val="false"/>
          <w:color w:val="000000"/>
          <w:sz w:val="22"/>
          <w:szCs w:val="22"/>
        </w:rPr>
        <w:t xml:space="preserve"> Elaboración propia a partir de Observatorio Económico, Universidad Católica del Uruguay Campus Salto (2024) y de la prensa citada en las Referencias Bibliográficas.</w:t>
      </w:r>
    </w:p>
    <w:p>
      <w:pPr>
        <w:keepNext w:val="false"/>
        <w:spacing w:after="160" w:line="240" w:lineRule="auto"/>
        <w:jc w:val="both"/>
      </w:pPr>
      <w:r>
        <w:rPr>
          <w:rFonts w:ascii="Times New Roman" w:cs="Times New Roman" w:eastAsia="Times New Roman" w:hAnsi="Times New Roman"/>
          <w:b w:val="false"/>
          <w:bCs w:val="false"/>
          <w:i w:val="false"/>
          <w:iCs w:val="false"/>
          <w:color w:val="000000"/>
          <w:sz w:val="24"/>
          <w:szCs w:val="24"/>
        </w:rPr>
        <w:t xml:space="preserve">Esta brecha cambiaria favorece, además, la fuga de turistas de fin de semana hacia complejos termales argentinos (Federación, Villa Elisa), lo que afecta especialmente a productores y hoteles de nivel medio. Finalmente, constituye una amenaza estructural la contracción del registro de vitivinicultores nacionales (-11,55% anual en el período 2021-2024), que compromete la disponibilidad futura de recursos y subsidios.</w:t>
      </w:r>
    </w:p>
    <w:p>
      <w:pPr>
        <w:pStyle w:val="Heading3"/>
        <w:keepNext/>
        <w:spacing w:after="120" w:before="200" w:line="240" w:lineRule="auto"/>
        <w:jc w:val="left"/>
      </w:pPr>
      <w:r>
        <w:rPr>
          <w:rFonts w:ascii="Times New Roman" w:cs="Times New Roman" w:eastAsia="Times New Roman" w:hAnsi="Times New Roman"/>
          <w:b/>
          <w:bCs/>
          <w:i/>
          <w:iCs/>
          <w:color w:val="000000"/>
          <w:sz w:val="24"/>
          <w:szCs w:val="24"/>
        </w:rPr>
        <w:t xml:space="preserve">Conclusiones (análisis cruzado)</w:t>
      </w:r>
    </w:p>
    <w:p>
      <w:pPr>
        <w:keepNext w:val="false"/>
        <w:spacing w:after="160" w:line="240" w:lineRule="auto"/>
        <w:jc w:val="both"/>
      </w:pPr>
      <w:r>
        <w:rPr>
          <w:rFonts w:ascii="Times New Roman" w:cs="Times New Roman" w:eastAsia="Times New Roman" w:hAnsi="Times New Roman"/>
          <w:b/>
          <w:bCs/>
          <w:i w:val="false"/>
          <w:iCs w:val="false"/>
          <w:color w:val="000000"/>
          <w:sz w:val="24"/>
          <w:szCs w:val="24"/>
        </w:rPr>
        <w:t xml:space="preserve">Estrategia ofensiva (F+O).</w:t>
      </w:r>
      <w:r>
        <w:rPr>
          <w:rFonts w:ascii="Times New Roman" w:cs="Times New Roman" w:eastAsia="Times New Roman" w:hAnsi="Times New Roman"/>
          <w:b w:val="false"/>
          <w:bCs w:val="false"/>
          <w:i w:val="false"/>
          <w:iCs w:val="false"/>
          <w:color w:val="000000"/>
          <w:sz w:val="24"/>
          <w:szCs w:val="24"/>
        </w:rPr>
        <w:t xml:space="preserve"> La legitimidad histórica de Salto como “Cuna del Tannat”, combinada con su terroir y la tecnología de sus bodegas boutique, encuentra una ventana de oportunidad en el crecimiento del mercado enoturístico brasileño. Los fondos públicos concursables (MINTUR-INAVI, ANDE) brindan el apalancamiento financiero necesario sin ahogar la economía de las bodegas familiares.</w:t>
      </w:r>
    </w:p>
    <w:p>
      <w:pPr>
        <w:keepNext w:val="false"/>
        <w:spacing w:after="160" w:line="240" w:lineRule="auto"/>
        <w:jc w:val="both"/>
      </w:pPr>
      <w:r>
        <w:rPr>
          <w:rFonts w:ascii="Times New Roman" w:cs="Times New Roman" w:eastAsia="Times New Roman" w:hAnsi="Times New Roman"/>
          <w:b/>
          <w:bCs/>
          <w:i w:val="false"/>
          <w:iCs w:val="false"/>
          <w:color w:val="000000"/>
          <w:sz w:val="24"/>
          <w:szCs w:val="24"/>
        </w:rPr>
        <w:t xml:space="preserve">Estrategia de adaptación (D+O).</w:t>
      </w:r>
      <w:r>
        <w:rPr>
          <w:rFonts w:ascii="Times New Roman" w:cs="Times New Roman" w:eastAsia="Times New Roman" w:hAnsi="Times New Roman"/>
          <w:b w:val="false"/>
          <w:bCs w:val="false"/>
          <w:i w:val="false"/>
          <w:iCs w:val="false"/>
          <w:color w:val="000000"/>
          <w:sz w:val="24"/>
          <w:szCs w:val="24"/>
        </w:rPr>
        <w:t xml:space="preserve"> La brecha digital de las bodegas puede resolverse mediante los fondos no reembolsables mencionados. La debilidad histórica de asociación entre el sector vitivinícola y el hotelero encuentra solución en el proyecto U-riharri, que puede funcionar como “kilómetro cero” dinamizador de la ruta.</w:t>
      </w:r>
    </w:p>
    <w:p>
      <w:pPr>
        <w:keepNext w:val="false"/>
        <w:spacing w:after="160" w:line="240" w:lineRule="auto"/>
        <w:jc w:val="both"/>
      </w:pPr>
      <w:r>
        <w:rPr>
          <w:rFonts w:ascii="Times New Roman" w:cs="Times New Roman" w:eastAsia="Times New Roman" w:hAnsi="Times New Roman"/>
          <w:b/>
          <w:bCs/>
          <w:i w:val="false"/>
          <w:iCs w:val="false"/>
          <w:color w:val="000000"/>
          <w:sz w:val="24"/>
          <w:szCs w:val="24"/>
        </w:rPr>
        <w:t xml:space="preserve">Estrategia defensiva (F+A).</w:t>
      </w:r>
      <w:r>
        <w:rPr>
          <w:rFonts w:ascii="Times New Roman" w:cs="Times New Roman" w:eastAsia="Times New Roman" w:hAnsi="Times New Roman"/>
          <w:b w:val="false"/>
          <w:bCs w:val="false"/>
          <w:i w:val="false"/>
          <w:iCs w:val="false"/>
          <w:color w:val="000000"/>
          <w:sz w:val="24"/>
          <w:szCs w:val="24"/>
        </w:rPr>
        <w:t xml:space="preserve"> Ante la fuga de turistas hacia Entre Ríos por diferencias cambiarias, Salto no puede competir solo por precio; la respuesta es diferenciarse por autenticidad, ofreciendo una experiencia híbrida de bienestar, historia y alta enología que la competencia regional no posee.</w:t>
      </w:r>
    </w:p>
    <w:p>
      <w:pPr>
        <w:keepNext w:val="false"/>
        <w:spacing w:after="160" w:line="240" w:lineRule="auto"/>
        <w:jc w:val="both"/>
      </w:pPr>
      <w:r>
        <w:rPr>
          <w:rFonts w:ascii="Times New Roman" w:cs="Times New Roman" w:eastAsia="Times New Roman" w:hAnsi="Times New Roman"/>
          <w:b/>
          <w:bCs/>
          <w:i w:val="false"/>
          <w:iCs w:val="false"/>
          <w:color w:val="000000"/>
          <w:sz w:val="24"/>
          <w:szCs w:val="24"/>
        </w:rPr>
        <w:t xml:space="preserve">Estrategia de supervivencia (D+A).</w:t>
      </w:r>
      <w:r>
        <w:rPr>
          <w:rFonts w:ascii="Times New Roman" w:cs="Times New Roman" w:eastAsia="Times New Roman" w:hAnsi="Times New Roman"/>
          <w:b w:val="false"/>
          <w:bCs w:val="false"/>
          <w:i w:val="false"/>
          <w:iCs w:val="false"/>
          <w:color w:val="000000"/>
          <w:sz w:val="24"/>
          <w:szCs w:val="24"/>
        </w:rPr>
        <w:t xml:space="preserve"> El mayor riesgo es la inercia de una marca departamental concentrada en “Destino Termas”, sumada a las deficiencias en caminería y señalética. Sin una respuesta que presione por mejoras de infraestructura y sin cooperación entre bodegas, la oferta del litoral norte quedará absorbida por el posicionamiento de las regiones enoturísticas del sur o el lujo de Carmelo.</w:t>
      </w:r>
    </w:p>
    <w:p>
      <w:pPr>
        <w:pStyle w:val="Heading3"/>
        <w:keepNext/>
        <w:spacing w:after="120" w:before="200" w:line="240" w:lineRule="auto"/>
        <w:jc w:val="left"/>
      </w:pPr>
      <w:r>
        <w:rPr>
          <w:rFonts w:ascii="Times New Roman" w:cs="Times New Roman" w:eastAsia="Times New Roman" w:hAnsi="Times New Roman"/>
          <w:b/>
          <w:bCs/>
          <w:i/>
          <w:iCs/>
          <w:color w:val="000000"/>
          <w:sz w:val="24"/>
          <w:szCs w:val="24"/>
        </w:rPr>
        <w:t xml:space="preserve">Recomendaciones estratégicas para el Plan de Acción</w:t>
      </w:r>
    </w:p>
    <w:p>
      <w:pPr>
        <w:keepNext w:val="false"/>
        <w:spacing w:after="160" w:line="240" w:lineRule="auto"/>
        <w:jc w:val="both"/>
      </w:pPr>
      <w:r>
        <w:rPr>
          <w:rFonts w:ascii="Times New Roman" w:cs="Times New Roman" w:eastAsia="Times New Roman" w:hAnsi="Times New Roman"/>
          <w:b w:val="false"/>
          <w:bCs w:val="false"/>
          <w:i w:val="false"/>
          <w:iCs w:val="false"/>
          <w:color w:val="000000"/>
          <w:sz w:val="24"/>
          <w:szCs w:val="24"/>
        </w:rPr>
        <w:t xml:space="preserve">A partir de este análisis cruzado se desprenden cinco recomendaciones estratégicas para el Plan de Acción. En primer lugar, una gobernanza híbrida y vinculante, mediante la constitución del Comité de Gestión de la Ruta del Tannat, integrado por la METS, la Asociación de Vitivinicultores de Salto, guías locales y representantes hoteleros. En segundo lugar, la mitigación de la brecha de infraestructura, a través de alianzas con agencias receptivas que dispongan de vehículos utilitarios y de la gestión ante el MINTUR de la homologación de señalética específica para la Ruta 3. En tercer lugar, una digitalización orientada a la conversión inmediata, mediante una plataforma web unificada o un motor de reservas compartido con pasarela de pagos internacionales. En cuarto lugar, la hibridación del producto y la certificación sostenible, iniciando el proceso de certificación Uruguay Sustainable Winegrowing en las bodegas activas de la ruta. Por último, la activación del relato binacional y cultural, explotando la épica de Pascual Harriague y la herencia vasca, potenciada por la Semana de Harriague y su carácter binacional con Concordia.</w:t>
      </w:r>
    </w:p>
    <w:p>
      <w:pPr>
        <w:pStyle w:val="Heading1"/>
        <w:keepNext/>
        <w:pageBreakBefore/>
        <w:spacing w:after="240" w:before="0" w:line="240" w:lineRule="auto"/>
        <w:jc w:val="center"/>
      </w:pPr>
      <w:r>
        <w:rPr>
          <w:rFonts w:ascii="Times New Roman" w:cs="Times New Roman" w:eastAsia="Times New Roman" w:hAnsi="Times New Roman"/>
          <w:b/>
          <w:bCs/>
          <w:i w:val="false"/>
          <w:iCs w:val="false"/>
          <w:color w:val="000000"/>
          <w:sz w:val="24"/>
          <w:szCs w:val="24"/>
        </w:rPr>
        <w:t xml:space="preserve">Capítulo 5. Propuesta de Valor</w:t>
      </w:r>
    </w:p>
    <w:p>
      <w:pPr>
        <w:pStyle w:val="Heading2"/>
        <w:keepNext/>
        <w:spacing w:after="160" w:before="240" w:line="240" w:lineRule="auto"/>
        <w:jc w:val="left"/>
      </w:pPr>
      <w:r>
        <w:rPr>
          <w:rFonts w:ascii="Times New Roman" w:cs="Times New Roman" w:eastAsia="Times New Roman" w:hAnsi="Times New Roman"/>
          <w:b/>
          <w:bCs/>
          <w:i w:val="false"/>
          <w:iCs w:val="false"/>
          <w:color w:val="000000"/>
          <w:sz w:val="24"/>
          <w:szCs w:val="24"/>
        </w:rPr>
        <w:t xml:space="preserve">5.1. Propuesta de Valor: el itinerario</w:t>
      </w:r>
    </w:p>
    <w:p>
      <w:pPr>
        <w:keepNext w:val="false"/>
        <w:spacing w:after="160" w:line="240" w:lineRule="auto"/>
        <w:jc w:val="both"/>
      </w:pPr>
      <w:r>
        <w:rPr>
          <w:rFonts w:ascii="Times New Roman" w:cs="Times New Roman" w:eastAsia="Times New Roman" w:hAnsi="Times New Roman"/>
          <w:b w:val="false"/>
          <w:bCs w:val="false"/>
          <w:i w:val="false"/>
          <w:iCs w:val="false"/>
          <w:color w:val="000000"/>
          <w:sz w:val="24"/>
          <w:szCs w:val="24"/>
        </w:rPr>
        <w:t xml:space="preserve">La propuesta de valor se denomina “La Ruta del Tannat: Cepa, origen e identidad”. El producto es una ruta recreativa, histórica e interpretativa que conecta el descanso de aguas termales con la riqueza sensorial, gastronómica y arqueológica del vino salteño, estructurada en cuatro estaciones:</w:t>
      </w:r>
    </w:p>
    <w:p>
      <w:pPr>
        <w:pStyle w:val="Heading3"/>
        <w:keepNext/>
        <w:spacing w:after="120" w:before="200" w:line="240" w:lineRule="auto"/>
        <w:jc w:val="left"/>
      </w:pPr>
      <w:r>
        <w:rPr>
          <w:rFonts w:ascii="Times New Roman" w:cs="Times New Roman" w:eastAsia="Times New Roman" w:hAnsi="Times New Roman"/>
          <w:b/>
          <w:bCs/>
          <w:i/>
          <w:iCs/>
          <w:color w:val="000000"/>
          <w:sz w:val="24"/>
          <w:szCs w:val="24"/>
        </w:rPr>
        <w:t xml:space="preserve">Estación 1 — El Origen Vasco: Espacio Cultural Bodega Harriague (Salto Ciudad)</w:t>
      </w:r>
    </w:p>
    <w:p>
      <w:pPr>
        <w:keepNext w:val="false"/>
        <w:spacing w:after="160" w:line="240" w:lineRule="auto"/>
        <w:jc w:val="both"/>
      </w:pPr>
      <w:r>
        <w:rPr>
          <w:rFonts w:ascii="Times New Roman" w:cs="Times New Roman" w:eastAsia="Times New Roman" w:hAnsi="Times New Roman"/>
          <w:b w:val="false"/>
          <w:bCs w:val="false"/>
          <w:i w:val="false"/>
          <w:iCs w:val="false"/>
          <w:color w:val="000000"/>
          <w:sz w:val="24"/>
          <w:szCs w:val="24"/>
        </w:rPr>
        <w:t xml:space="preserve">Ubicada en Avenida Harriague y Etcheverry. Visita arqueológica e histórica que pone en valor la estructura industrial donde Pascual Harriague inició la vinificación comercial del Tannat en 1874. Incluye un guión interpretativo sobre la inmigración vasco-francesa, y cierra con degustación de gastronomía tradicional (paellas y bocados vascos) gestionada por el Centro Vasco de Salto.</w:t>
      </w:r>
    </w:p>
    <w:p>
      <w:pPr>
        <w:pStyle w:val="Heading3"/>
        <w:keepNext/>
        <w:spacing w:after="120" w:before="200" w:line="240" w:lineRule="auto"/>
        <w:jc w:val="left"/>
      </w:pPr>
      <w:r>
        <w:rPr>
          <w:rFonts w:ascii="Times New Roman" w:cs="Times New Roman" w:eastAsia="Times New Roman" w:hAnsi="Times New Roman"/>
          <w:b/>
          <w:bCs/>
          <w:i/>
          <w:iCs/>
          <w:color w:val="000000"/>
          <w:sz w:val="24"/>
          <w:szCs w:val="24"/>
        </w:rPr>
        <w:t xml:space="preserve">Estación 2 — El Terroir del Río: Bodega Salto Chico (Colonia Osimani)</w:t>
      </w:r>
    </w:p>
    <w:p>
      <w:pPr>
        <w:keepNext w:val="false"/>
        <w:spacing w:after="160" w:line="240" w:lineRule="auto"/>
        <w:jc w:val="both"/>
      </w:pPr>
      <w:r>
        <w:rPr>
          <w:rFonts w:ascii="Times New Roman" w:cs="Times New Roman" w:eastAsia="Times New Roman" w:hAnsi="Times New Roman"/>
          <w:b w:val="false"/>
          <w:bCs w:val="false"/>
          <w:i w:val="false"/>
          <w:iCs w:val="false"/>
          <w:color w:val="000000"/>
          <w:sz w:val="24"/>
          <w:szCs w:val="24"/>
        </w:rPr>
        <w:t xml:space="preserve">A 7 km al norte de la ciudad, sobre la costa del río Uruguay. Paseo guiado por 6 hectáreas de viñedos de cepas finas implantadas en 1999, observación de métodos modernos de vinificación y cata dirigida de Tannat de alta gama, maridada con quesos artesanales y panes de campo en una terraza con vista al río.</w:t>
      </w:r>
    </w:p>
    <w:p>
      <w:pPr>
        <w:pStyle w:val="Heading3"/>
        <w:keepNext/>
        <w:spacing w:after="120" w:before="200" w:line="240" w:lineRule="auto"/>
        <w:jc w:val="left"/>
      </w:pPr>
      <w:r>
        <w:rPr>
          <w:rFonts w:ascii="Times New Roman" w:cs="Times New Roman" w:eastAsia="Times New Roman" w:hAnsi="Times New Roman"/>
          <w:b/>
          <w:bCs/>
          <w:i/>
          <w:iCs/>
          <w:color w:val="000000"/>
          <w:sz w:val="24"/>
          <w:szCs w:val="24"/>
        </w:rPr>
        <w:t xml:space="preserve">Estación 3 — Gravedad y Alta Gama: Bodega Bertolini &amp; Broglio (Parada Daymán)</w:t>
      </w:r>
    </w:p>
    <w:p>
      <w:pPr>
        <w:keepNext w:val="false"/>
        <w:spacing w:after="160" w:line="240" w:lineRule="auto"/>
        <w:jc w:val="both"/>
      </w:pPr>
      <w:r>
        <w:rPr>
          <w:rFonts w:ascii="Times New Roman" w:cs="Times New Roman" w:eastAsia="Times New Roman" w:hAnsi="Times New Roman"/>
          <w:b w:val="false"/>
          <w:bCs w:val="false"/>
          <w:i w:val="false"/>
          <w:iCs w:val="false"/>
          <w:color w:val="000000"/>
          <w:sz w:val="24"/>
          <w:szCs w:val="24"/>
        </w:rPr>
        <w:t xml:space="preserve">En el km 468,5 de la Ruta 3, a 8 km de las Termas del Daymán. Bodega boutique con capacidad de producción de 200.000 litros anuales; los visitantes observan el proceso de vinificación por gravedad y cierran con una cata de varietales selectos (Viognier, Malbec, Syrah) y el corte Syrah-Tannat de alta gama.</w:t>
      </w:r>
    </w:p>
    <w:p>
      <w:pPr>
        <w:pStyle w:val="Heading3"/>
        <w:keepNext/>
        <w:spacing w:after="120" w:before="200" w:line="240" w:lineRule="auto"/>
        <w:jc w:val="left"/>
      </w:pPr>
      <w:r>
        <w:rPr>
          <w:rFonts w:ascii="Times New Roman" w:cs="Times New Roman" w:eastAsia="Times New Roman" w:hAnsi="Times New Roman"/>
          <w:b/>
          <w:bCs/>
          <w:i/>
          <w:iCs/>
          <w:color w:val="000000"/>
          <w:sz w:val="24"/>
          <w:szCs w:val="24"/>
        </w:rPr>
        <w:t xml:space="preserve">Estación 4 — Tradición y Autor: Mori Maglio Wines (El Asombrado)</w:t>
      </w:r>
    </w:p>
    <w:p>
      <w:pPr>
        <w:keepNext w:val="false"/>
        <w:spacing w:after="160" w:line="240" w:lineRule="auto"/>
        <w:jc w:val="both"/>
      </w:pPr>
      <w:r>
        <w:rPr>
          <w:rFonts w:ascii="Times New Roman" w:cs="Times New Roman" w:eastAsia="Times New Roman" w:hAnsi="Times New Roman"/>
          <w:b w:val="false"/>
          <w:bCs w:val="false"/>
          <w:i w:val="false"/>
          <w:iCs w:val="false"/>
          <w:color w:val="000000"/>
          <w:sz w:val="24"/>
          <w:szCs w:val="24"/>
        </w:rPr>
        <w:t xml:space="preserve">En el km 473 de la Ruta 3. Microvinificación artesanal y familiar; experiencia íntima donde los propios productores reciben a los turistas, con degustación de vinos de autor y talleres prácticos de elaboración de grappa y vermouth artesanal.</w:t>
      </w:r>
    </w:p>
    <w:p>
      <w:pPr>
        <w:pStyle w:val="Heading2"/>
        <w:keepNext/>
        <w:spacing w:after="160" w:before="240" w:line="240" w:lineRule="auto"/>
        <w:jc w:val="left"/>
      </w:pPr>
      <w:r>
        <w:rPr>
          <w:rFonts w:ascii="Times New Roman" w:cs="Times New Roman" w:eastAsia="Times New Roman" w:hAnsi="Times New Roman"/>
          <w:b/>
          <w:bCs/>
          <w:i w:val="false"/>
          <w:iCs w:val="false"/>
          <w:color w:val="000000"/>
          <w:sz w:val="24"/>
          <w:szCs w:val="24"/>
        </w:rPr>
        <w:t xml:space="preserve">5.2. Público Objetivo</w:t>
      </w:r>
    </w:p>
    <w:p>
      <w:pPr>
        <w:pStyle w:val="Heading3"/>
        <w:keepNext/>
        <w:spacing w:after="120" w:before="200" w:line="240" w:lineRule="auto"/>
        <w:jc w:val="left"/>
      </w:pPr>
      <w:r>
        <w:rPr>
          <w:rFonts w:ascii="Times New Roman" w:cs="Times New Roman" w:eastAsia="Times New Roman" w:hAnsi="Times New Roman"/>
          <w:b/>
          <w:bCs/>
          <w:i/>
          <w:iCs/>
          <w:color w:val="000000"/>
          <w:sz w:val="24"/>
          <w:szCs w:val="24"/>
        </w:rPr>
        <w:t xml:space="preserve">Beneficiarios directos</w:t>
      </w:r>
    </w:p>
    <w:p>
      <w:pPr>
        <w:keepNext w:val="false"/>
        <w:spacing w:after="160" w:line="240" w:lineRule="auto"/>
        <w:jc w:val="both"/>
      </w:pPr>
      <w:r>
        <w:rPr>
          <w:rFonts w:ascii="Times New Roman" w:cs="Times New Roman" w:eastAsia="Times New Roman" w:hAnsi="Times New Roman"/>
          <w:b w:val="false"/>
          <w:bCs w:val="false"/>
          <w:i w:val="false"/>
          <w:iCs w:val="false"/>
          <w:color w:val="000000"/>
          <w:sz w:val="24"/>
          <w:szCs w:val="24"/>
        </w:rPr>
        <w:t xml:space="preserve">Entre los beneficiarios directos se encuentran, en primer lugar, los turistas de ocio y descanso: visitantes uruguayos y regionales alojados en el corredor termal de Daymán que buscan diversificar su estancia con un tour enogastronómico de media jornada. En segundo lugar, los enoturistas especializados: amantes de la cultura del vino de nivel socioeconómico medio-alto y alto, motivados por conocer el origen de la cepa Tannat. Y en tercer lugar, los establecimientos vitivinícolas asociados —Salto Chico, Bertolini &amp; Broglio y Mori Maglio—, que incrementan su facturación por venta directa y servicios de cata.</w:t>
      </w:r>
    </w:p>
    <w:p>
      <w:pPr>
        <w:pStyle w:val="Heading3"/>
        <w:keepNext/>
        <w:spacing w:after="120" w:before="200" w:line="240" w:lineRule="auto"/>
        <w:jc w:val="left"/>
      </w:pPr>
      <w:r>
        <w:rPr>
          <w:rFonts w:ascii="Times New Roman" w:cs="Times New Roman" w:eastAsia="Times New Roman" w:hAnsi="Times New Roman"/>
          <w:b/>
          <w:bCs/>
          <w:i/>
          <w:iCs/>
          <w:color w:val="000000"/>
          <w:sz w:val="24"/>
          <w:szCs w:val="24"/>
        </w:rPr>
        <w:t xml:space="preserve">Beneficiarios indirectos</w:t>
      </w:r>
    </w:p>
    <w:p>
      <w:pPr>
        <w:keepNext w:val="false"/>
        <w:spacing w:after="160" w:line="240" w:lineRule="auto"/>
        <w:jc w:val="both"/>
      </w:pPr>
      <w:r>
        <w:rPr>
          <w:rFonts w:ascii="Times New Roman" w:cs="Times New Roman" w:eastAsia="Times New Roman" w:hAnsi="Times New Roman"/>
          <w:b w:val="false"/>
          <w:bCs w:val="false"/>
          <w:i w:val="false"/>
          <w:iCs w:val="false"/>
          <w:color w:val="000000"/>
          <w:sz w:val="24"/>
          <w:szCs w:val="24"/>
        </w:rPr>
        <w:t xml:space="preserve">Como beneficiarios indirectos se identifican, por un lado, la comunidad rural y los proveedores locales: pequeños productores de quesos, fiambres, panificados y mermeladas de Colonia Osimani y Parada Daymán. Por otro lado, los estudiantes y egresados de Hotelería, Turismo y Gastronomía del CENUR Litoral Norte (Udelar) y de la UTU, que acceden a pasantías y empleo calificado.</w:t>
      </w:r>
    </w:p>
    <w:p>
      <w:pPr>
        <w:pStyle w:val="Heading2"/>
        <w:keepNext/>
        <w:spacing w:after="160" w:before="240" w:line="240" w:lineRule="auto"/>
        <w:jc w:val="left"/>
      </w:pPr>
      <w:r>
        <w:rPr>
          <w:rFonts w:ascii="Times New Roman" w:cs="Times New Roman" w:eastAsia="Times New Roman" w:hAnsi="Times New Roman"/>
          <w:b/>
          <w:bCs/>
          <w:i w:val="false"/>
          <w:iCs w:val="false"/>
          <w:color w:val="000000"/>
          <w:sz w:val="24"/>
          <w:szCs w:val="24"/>
        </w:rPr>
        <w:t xml:space="preserve">5.3. Misión y Visión</w:t>
      </w:r>
    </w:p>
    <w:p>
      <w:pPr>
        <w:keepNext w:val="false"/>
        <w:spacing w:after="160" w:line="240" w:lineRule="auto"/>
        <w:jc w:val="both"/>
      </w:pPr>
      <w:r>
        <w:rPr>
          <w:rFonts w:ascii="Times New Roman" w:cs="Times New Roman" w:eastAsia="Times New Roman" w:hAnsi="Times New Roman"/>
          <w:b/>
          <w:bCs/>
          <w:i w:val="false"/>
          <w:iCs w:val="false"/>
          <w:color w:val="000000"/>
          <w:sz w:val="24"/>
          <w:szCs w:val="24"/>
        </w:rPr>
        <w:t xml:space="preserve">Misión.</w:t>
      </w:r>
      <w:r>
        <w:rPr>
          <w:rFonts w:ascii="Times New Roman" w:cs="Times New Roman" w:eastAsia="Times New Roman" w:hAnsi="Times New Roman"/>
          <w:b w:val="false"/>
          <w:bCs w:val="false"/>
          <w:i w:val="false"/>
          <w:iCs w:val="false"/>
          <w:color w:val="000000"/>
          <w:sz w:val="24"/>
          <w:szCs w:val="24"/>
        </w:rPr>
        <w:t xml:space="preserve"> Diversificar la matriz turística del departamento de Salto mediante un circuito enoturístico que integre de forma sostenible la histórica “Cuna del Tannat” con los establecimientos boutique activos y la Ruta Termal, agregando valor al territorio y promoviendo el desarrollo de la comunidad local.</w:t>
      </w:r>
    </w:p>
    <w:p>
      <w:pPr>
        <w:keepNext w:val="false"/>
        <w:spacing w:after="160" w:line="240" w:lineRule="auto"/>
        <w:jc w:val="both"/>
      </w:pPr>
      <w:r>
        <w:rPr>
          <w:rFonts w:ascii="Times New Roman" w:cs="Times New Roman" w:eastAsia="Times New Roman" w:hAnsi="Times New Roman"/>
          <w:b/>
          <w:bCs/>
          <w:i w:val="false"/>
          <w:iCs w:val="false"/>
          <w:color w:val="000000"/>
          <w:sz w:val="24"/>
          <w:szCs w:val="24"/>
        </w:rPr>
        <w:t xml:space="preserve">Visión.</w:t>
      </w:r>
      <w:r>
        <w:rPr>
          <w:rFonts w:ascii="Times New Roman" w:cs="Times New Roman" w:eastAsia="Times New Roman" w:hAnsi="Times New Roman"/>
          <w:b w:val="false"/>
          <w:bCs w:val="false"/>
          <w:i w:val="false"/>
          <w:iCs w:val="false"/>
          <w:color w:val="000000"/>
          <w:sz w:val="24"/>
          <w:szCs w:val="24"/>
        </w:rPr>
        <w:t xml:space="preserve"> Posicionarse de cara a 2030 como la ruta enoturística integrada líder del norte de Uruguay, reconocida por la excelencia de sus servicios, la preservación activa de su patrimonio industrial y su modelo de desarrollo sostenible y asociativo.</w:t>
      </w:r>
    </w:p>
    <w:p>
      <w:pPr>
        <w:pStyle w:val="Heading2"/>
        <w:keepNext/>
        <w:spacing w:after="160" w:before="240" w:line="240" w:lineRule="auto"/>
        <w:jc w:val="left"/>
      </w:pPr>
      <w:r>
        <w:rPr>
          <w:rFonts w:ascii="Times New Roman" w:cs="Times New Roman" w:eastAsia="Times New Roman" w:hAnsi="Times New Roman"/>
          <w:b/>
          <w:bCs/>
          <w:i w:val="false"/>
          <w:iCs w:val="false"/>
          <w:color w:val="000000"/>
          <w:sz w:val="24"/>
          <w:szCs w:val="24"/>
        </w:rPr>
        <w:t xml:space="preserve">5.4. Estructura Organizativa</w:t>
      </w:r>
    </w:p>
    <w:p>
      <w:pPr>
        <w:keepNext w:val="false"/>
        <w:spacing w:after="160" w:line="240" w:lineRule="auto"/>
        <w:jc w:val="both"/>
      </w:pPr>
      <w:r>
        <w:rPr>
          <w:rFonts w:ascii="Times New Roman" w:cs="Times New Roman" w:eastAsia="Times New Roman" w:hAnsi="Times New Roman"/>
          <w:b w:val="false"/>
          <w:bCs w:val="false"/>
          <w:i w:val="false"/>
          <w:iCs w:val="false"/>
          <w:color w:val="000000"/>
          <w:sz w:val="24"/>
          <w:szCs w:val="24"/>
        </w:rPr>
        <w:t xml:space="preserve">El circuito funciona bajo la dirección del Comité de Gestión del Circuito Enoturístico de Salto, un organismo de gobernanza multinivel concebido para superar la fragmentación sectorial.</w:t>
      </w:r>
    </w:p>
    <w:p>
      <w:pPr>
        <w:keepNext/>
        <w:spacing w:after="0" w:before="200" w:line="240" w:lineRule="auto"/>
        <w:jc w:val="left"/>
      </w:pPr>
      <w:r>
        <w:rPr>
          <w:rFonts w:ascii="Times New Roman" w:cs="Times New Roman" w:eastAsia="Times New Roman" w:hAnsi="Times New Roman"/>
          <w:b w:val="false"/>
          <w:bCs w:val="false"/>
          <w:i w:val="false"/>
          <w:iCs w:val="false"/>
          <w:color w:val="000000"/>
          <w:sz w:val="24"/>
          <w:szCs w:val="24"/>
        </w:rPr>
        <w:t xml:space="preserve">Tabla 6</w:t>
      </w:r>
    </w:p>
    <w:p>
      <w:pPr>
        <w:keepNext/>
        <w:spacing w:after="120" w:before="0" w:line="240" w:lineRule="auto"/>
        <w:jc w:val="left"/>
      </w:pPr>
      <w:r>
        <w:rPr>
          <w:rFonts w:ascii="Times New Roman" w:cs="Times New Roman" w:eastAsia="Times New Roman" w:hAnsi="Times New Roman"/>
          <w:b w:val="false"/>
          <w:bCs w:val="false"/>
          <w:i/>
          <w:iCs/>
          <w:color w:val="000000"/>
          <w:sz w:val="24"/>
          <w:szCs w:val="24"/>
        </w:rPr>
        <w:t xml:space="preserve">Niveles de gobernanza del Comité de Gestión del Circuito Enoturístico</w:t>
      </w:r>
    </w:p>
    <w:tbl>
      <w:tblPr>
        <w:tblW w:type="dxa" w:w="8504"/>
        <w:tblBorders>
          <w:top w:val="single" w:color="000000" w:sz="4"/>
          <w:left w:val="single" w:color="000000" w:sz="4"/>
          <w:bottom w:val="single" w:color="000000" w:sz="4"/>
          <w:right w:val="single" w:color="000000" w:sz="4"/>
          <w:insideH w:val="single" w:color="999999" w:sz="2"/>
          <w:insideV w:val="single" w:color="999999" w:sz="2"/>
        </w:tblBorders>
      </w:tblPr>
      <w:tblGrid>
        <w:gridCol w:w="2106"/>
        <w:gridCol w:w="5345"/>
        <w:gridCol w:w="1053"/>
      </w:tblGrid>
      <w:tr>
        <w:trPr>
          <w:cantSplit/>
        </w:trPr>
        <w:tc>
          <w:tcPr>
            <w:tcW w:type="dxa" w:w="2106"/>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i w:val="false"/>
                <w:iCs w:val="false"/>
                <w:color w:val="000000"/>
                <w:sz w:val="22"/>
                <w:szCs w:val="22"/>
              </w:rPr>
              <w:t xml:space="preserve">Nivel</w:t>
            </w:r>
          </w:p>
        </w:tc>
        <w:tc>
          <w:tcPr>
            <w:tcW w:type="dxa" w:w="5345"/>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i w:val="false"/>
                <w:iCs w:val="false"/>
                <w:color w:val="000000"/>
                <w:sz w:val="22"/>
                <w:szCs w:val="22"/>
              </w:rPr>
              <w:t xml:space="preserve">Función principal</w:t>
            </w:r>
          </w:p>
        </w:tc>
        <w:tc>
          <w:tcPr>
            <w:tcW w:type="dxa" w:w="1053"/>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i w:val="false"/>
                <w:iCs w:val="false"/>
                <w:color w:val="000000"/>
                <w:sz w:val="22"/>
                <w:szCs w:val="22"/>
              </w:rPr>
              <w:t xml:space="preserve">Frecuencia</w:t>
            </w:r>
          </w:p>
        </w:tc>
      </w:tr>
      <w:tr>
        <w:trPr>
          <w:cantSplit/>
        </w:trPr>
        <w:tc>
          <w:tcPr>
            <w:tcW w:type="dxa" w:w="2106"/>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Dirección Ejecutiva del Comité</w:t>
            </w:r>
          </w:p>
        </w:tc>
        <w:tc>
          <w:tcPr>
            <w:tcW w:type="dxa" w:w="5345"/>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Coordina el calendario de salidas, el flujo de reservas de la app y la distribución de comisiones a hoteles y agencias</w:t>
            </w:r>
          </w:p>
        </w:tc>
        <w:tc>
          <w:tcPr>
            <w:tcW w:type="dxa" w:w="1053"/>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Semanal</w:t>
            </w:r>
          </w:p>
        </w:tc>
      </w:tr>
      <w:tr>
        <w:trPr>
          <w:cantSplit/>
        </w:trPr>
        <w:tc>
          <w:tcPr>
            <w:tcW w:type="dxa" w:w="2106"/>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Consejo Consultivo Técnico</w:t>
            </w:r>
          </w:p>
        </w:tc>
        <w:tc>
          <w:tcPr>
            <w:tcW w:type="dxa" w:w="5345"/>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Audita las prácticas agrícolas de las bodegas, actualiza la formación de guías y vela por la rigurosidad histórica de las narrativas</w:t>
            </w:r>
          </w:p>
        </w:tc>
        <w:tc>
          <w:tcPr>
            <w:tcW w:type="dxa" w:w="1053"/>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Semestral</w:t>
            </w:r>
          </w:p>
        </w:tc>
      </w:tr>
      <w:tr>
        <w:trPr>
          <w:cantSplit/>
        </w:trPr>
        <w:tc>
          <w:tcPr>
            <w:tcW w:type="dxa" w:w="2106"/>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Mesa Estratégica de Turismo de Salto (METS) — enlace</w:t>
            </w:r>
          </w:p>
        </w:tc>
        <w:tc>
          <w:tcPr>
            <w:tcW w:type="dxa" w:w="5345"/>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Articula al Comité con la política turística departamental</w:t>
            </w:r>
          </w:p>
        </w:tc>
        <w:tc>
          <w:tcPr>
            <w:tcW w:type="dxa" w:w="1053"/>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Según agenda departamental</w:t>
            </w:r>
          </w:p>
        </w:tc>
      </w:tr>
    </w:tbl>
    <w:p>
      <w:pPr>
        <w:spacing w:after="160"/>
      </w:pPr>
    </w:p>
    <w:p>
      <w:pPr>
        <w:spacing w:after="200" w:before="80" w:line="240" w:lineRule="auto"/>
        <w:jc w:val="left"/>
      </w:pPr>
      <w:r>
        <w:rPr>
          <w:rFonts w:ascii="Times New Roman" w:cs="Times New Roman" w:eastAsia="Times New Roman" w:hAnsi="Times New Roman"/>
          <w:b w:val="false"/>
          <w:bCs w:val="false"/>
          <w:i/>
          <w:iCs/>
          <w:color w:val="000000"/>
          <w:sz w:val="22"/>
          <w:szCs w:val="22"/>
        </w:rPr>
        <w:t xml:space="preserve">Nota.</w:t>
      </w:r>
      <w:r>
        <w:rPr>
          <w:rFonts w:ascii="Times New Roman" w:cs="Times New Roman" w:eastAsia="Times New Roman" w:hAnsi="Times New Roman"/>
          <w:b w:val="false"/>
          <w:bCs w:val="false"/>
          <w:i w:val="false"/>
          <w:iCs w:val="false"/>
          <w:color w:val="000000"/>
          <w:sz w:val="22"/>
          <w:szCs w:val="22"/>
        </w:rPr>
        <w:t xml:space="preserve"> Elaboración propia.</w:t>
      </w:r>
    </w:p>
    <w:p>
      <w:pPr>
        <w:pStyle w:val="Heading2"/>
        <w:keepNext/>
        <w:spacing w:after="160" w:before="240" w:line="240" w:lineRule="auto"/>
        <w:jc w:val="left"/>
      </w:pPr>
      <w:r>
        <w:rPr>
          <w:rFonts w:ascii="Times New Roman" w:cs="Times New Roman" w:eastAsia="Times New Roman" w:hAnsi="Times New Roman"/>
          <w:b/>
          <w:bCs/>
          <w:i w:val="false"/>
          <w:iCs w:val="false"/>
          <w:color w:val="000000"/>
          <w:sz w:val="24"/>
          <w:szCs w:val="24"/>
        </w:rPr>
        <w:t xml:space="preserve">5.5. Marco Legal</w:t>
      </w:r>
    </w:p>
    <w:p>
      <w:pPr>
        <w:keepNext w:val="false"/>
        <w:spacing w:after="160" w:line="240" w:lineRule="auto"/>
        <w:jc w:val="both"/>
      </w:pPr>
      <w:r>
        <w:rPr>
          <w:rFonts w:ascii="Times New Roman" w:cs="Times New Roman" w:eastAsia="Times New Roman" w:hAnsi="Times New Roman"/>
          <w:b w:val="false"/>
          <w:bCs w:val="false"/>
          <w:i w:val="false"/>
          <w:iCs w:val="false"/>
          <w:color w:val="000000"/>
          <w:sz w:val="24"/>
          <w:szCs w:val="24"/>
        </w:rPr>
        <w:t xml:space="preserve">La formalización y operación del circuito se rige por la Ley N.° 19.253 (Ley de Regulación de la Actividad Turística en Uruguay, IMPO, 2014), y el proyecto se alinea con sus disposiciones fundamentales. En cuanto a la declaración de interés nacional (Art. 1.º), el circuito promueve el crecimiento económico y el desarrollo cultural y social de la comunidad de Salto. En relación con el cumplimiento de los principios rectores (Art. 3.º), la propuesta incorpora la sostenibilidad —preservación de recursos naturales y agrícolas litorales—, la cooperación —mesa de cogestión público-privada—, la calidad —certificaciones internacionales de servicios— y la accesibilidad —goce del turismo para personas con discapacidad en todas las estaciones—. Respecto de la regulación de prácticas especializadas (Art. 25.º), la normativa clasifica al circuito como turismo especializado, exigiendo que guías y transportistas cuenten con registros y habilitaciones vigentes ante el MINTUR.</w:t>
      </w:r>
    </w:p>
    <w:p>
      <w:pPr>
        <w:keepNext w:val="false"/>
        <w:spacing w:after="160" w:line="240" w:lineRule="auto"/>
        <w:jc w:val="both"/>
      </w:pPr>
      <w:r>
        <w:rPr>
          <w:rFonts w:ascii="Times New Roman" w:cs="Times New Roman" w:eastAsia="Times New Roman" w:hAnsi="Times New Roman"/>
          <w:b w:val="false"/>
          <w:bCs w:val="false"/>
          <w:i w:val="false"/>
          <w:iCs w:val="false"/>
          <w:color w:val="000000"/>
          <w:sz w:val="24"/>
          <w:szCs w:val="24"/>
        </w:rPr>
        <w:t xml:space="preserve">A este marco general se suma una normativa específica para el segmento enoturístico: el Decreto N.° 370/010 (Uruguay. Poder Ejecutivo, 2010) regula puntualmente el turismo enológico y de bodegas, otorgando la condición jurídica de prestador de servicios turísticos a todo establecimiento vitivinícola que ofrezca visitas, catas o gastronomía mediante cobro de tarifa —criterio directamente aplicable a Salto Chico, Bertolini &amp; Broglio y Mori Maglio— y condicionando su operativa a la inscripción en el Registro de Operadores del MINTUR, con acreditación notarial, certificados de BPS y DGI, croquis del predio y habilitación vigente del INAVI. Finalmente, la normativa sectorial de INAVI, con base en la Ley N.° 15.903 (Uruguay, 1987) que crea y regula al organismo, establece que los procesos de cata, venta de botellas cerradas y etiquetado deben ajustarse a los controles de calidad y reglamentaciones de circulación del Instituto Nacional de Vitivinicultura.</w:t>
      </w:r>
    </w:p>
    <w:p>
      <w:pPr>
        <w:pStyle w:val="Heading1"/>
        <w:keepNext/>
        <w:pageBreakBefore/>
        <w:spacing w:after="240" w:before="0" w:line="240" w:lineRule="auto"/>
        <w:jc w:val="center"/>
      </w:pPr>
      <w:r>
        <w:rPr>
          <w:rFonts w:ascii="Times New Roman" w:cs="Times New Roman" w:eastAsia="Times New Roman" w:hAnsi="Times New Roman"/>
          <w:b/>
          <w:bCs/>
          <w:i w:val="false"/>
          <w:iCs w:val="false"/>
          <w:color w:val="000000"/>
          <w:sz w:val="24"/>
          <w:szCs w:val="24"/>
        </w:rPr>
        <w:t xml:space="preserve">Capítulo 6. Plan de Acción</w:t>
      </w:r>
    </w:p>
    <w:p>
      <w:pPr>
        <w:pStyle w:val="Heading2"/>
        <w:keepNext/>
        <w:spacing w:after="160" w:before="240" w:line="240" w:lineRule="auto"/>
        <w:jc w:val="left"/>
      </w:pPr>
      <w:r>
        <w:rPr>
          <w:rFonts w:ascii="Times New Roman" w:cs="Times New Roman" w:eastAsia="Times New Roman" w:hAnsi="Times New Roman"/>
          <w:b/>
          <w:bCs/>
          <w:i w:val="false"/>
          <w:iCs w:val="false"/>
          <w:color w:val="000000"/>
          <w:sz w:val="24"/>
          <w:szCs w:val="24"/>
        </w:rPr>
        <w:t xml:space="preserve">6.1. Estrategia de Marketing</w:t>
      </w:r>
    </w:p>
    <w:p>
      <w:pPr>
        <w:pStyle w:val="Heading3"/>
        <w:keepNext/>
        <w:spacing w:after="120" w:before="200" w:line="240" w:lineRule="auto"/>
        <w:jc w:val="left"/>
      </w:pPr>
      <w:r>
        <w:rPr>
          <w:rFonts w:ascii="Times New Roman" w:cs="Times New Roman" w:eastAsia="Times New Roman" w:hAnsi="Times New Roman"/>
          <w:b/>
          <w:bCs/>
          <w:i/>
          <w:iCs/>
          <w:color w:val="000000"/>
          <w:sz w:val="24"/>
          <w:szCs w:val="24"/>
        </w:rPr>
        <w:t xml:space="preserve">6.1.1. Posicionamiento</w:t>
      </w:r>
    </w:p>
    <w:p>
      <w:pPr>
        <w:keepNext w:val="false"/>
        <w:spacing w:after="160" w:line="240" w:lineRule="auto"/>
        <w:jc w:val="both"/>
      </w:pPr>
      <w:r>
        <w:rPr>
          <w:rFonts w:ascii="Times New Roman" w:cs="Times New Roman" w:eastAsia="Times New Roman" w:hAnsi="Times New Roman"/>
          <w:b w:val="false"/>
          <w:bCs w:val="false"/>
          <w:i w:val="false"/>
          <w:iCs w:val="false"/>
          <w:color w:val="000000"/>
          <w:sz w:val="24"/>
          <w:szCs w:val="24"/>
        </w:rPr>
        <w:t xml:space="preserve">Se establece un posicionamiento premium basado en la diferenciación conceptual: el circuito no compite únicamente como destino de vinos, sino como una experiencia holística que combina el relax físico y la hidroterapia de las termas de Salto con el disfrute cultural e histórico de la cuna del vino de Uruguay.</w:t>
      </w:r>
    </w:p>
    <w:p>
      <w:pPr>
        <w:pStyle w:val="Heading3"/>
        <w:keepNext/>
        <w:spacing w:after="120" w:before="200" w:line="240" w:lineRule="auto"/>
        <w:jc w:val="left"/>
      </w:pPr>
      <w:r>
        <w:rPr>
          <w:rFonts w:ascii="Times New Roman" w:cs="Times New Roman" w:eastAsia="Times New Roman" w:hAnsi="Times New Roman"/>
          <w:b/>
          <w:bCs/>
          <w:i/>
          <w:iCs/>
          <w:color w:val="000000"/>
          <w:sz w:val="24"/>
          <w:szCs w:val="24"/>
        </w:rPr>
        <w:t xml:space="preserve">6.1.2. Producto</w:t>
      </w:r>
    </w:p>
    <w:p>
      <w:pPr>
        <w:keepNext w:val="false"/>
        <w:spacing w:after="160" w:line="240" w:lineRule="auto"/>
        <w:jc w:val="both"/>
      </w:pPr>
      <w:r>
        <w:rPr>
          <w:rFonts w:ascii="Times New Roman" w:cs="Times New Roman" w:eastAsia="Times New Roman" w:hAnsi="Times New Roman"/>
          <w:b w:val="false"/>
          <w:bCs w:val="false"/>
          <w:i w:val="false"/>
          <w:iCs w:val="false"/>
          <w:color w:val="000000"/>
          <w:sz w:val="24"/>
          <w:szCs w:val="24"/>
        </w:rPr>
        <w:t xml:space="preserve">La oferta se estructura en dos paquetes. El Paquete 1, “Vinos e Historias” (media jornada, 4 horas), incluye el traslado en minibús desde el hotel del visitante en Daymán, un recorrido interpretativo por las ruinas de la Bodega Harriague con degustación de copa de Tannat joven, y una visita técnica a Bertolini &amp; Broglio o Salto Chico con cata de tres varietales y quesos artesanales. El Paquete 2, “El Legado del Tannat” (jornada completa, 8 horas), abarca el recorrido de las cuatro estaciones, un almuerzo de maridaje de tres pasos, una cata guiada de seis vinos de reserva y la participación en el taller de elaboración artesanal de vermouth en Mori Maglio.</w:t>
      </w:r>
    </w:p>
    <w:p>
      <w:pPr>
        <w:pStyle w:val="Heading3"/>
        <w:keepNext/>
        <w:spacing w:after="120" w:before="200" w:line="240" w:lineRule="auto"/>
        <w:jc w:val="left"/>
      </w:pPr>
      <w:r>
        <w:rPr>
          <w:rFonts w:ascii="Times New Roman" w:cs="Times New Roman" w:eastAsia="Times New Roman" w:hAnsi="Times New Roman"/>
          <w:b/>
          <w:bCs/>
          <w:i/>
          <w:iCs/>
          <w:color w:val="000000"/>
          <w:sz w:val="24"/>
          <w:szCs w:val="24"/>
        </w:rPr>
        <w:t xml:space="preserve">6.1.3. Precio</w:t>
      </w:r>
    </w:p>
    <w:p>
      <w:pPr>
        <w:keepNext/>
        <w:spacing w:after="0" w:before="200" w:line="240" w:lineRule="auto"/>
        <w:jc w:val="left"/>
      </w:pPr>
      <w:r>
        <w:rPr>
          <w:rFonts w:ascii="Times New Roman" w:cs="Times New Roman" w:eastAsia="Times New Roman" w:hAnsi="Times New Roman"/>
          <w:b w:val="false"/>
          <w:bCs w:val="false"/>
          <w:i w:val="false"/>
          <w:iCs w:val="false"/>
          <w:color w:val="000000"/>
          <w:sz w:val="24"/>
          <w:szCs w:val="24"/>
        </w:rPr>
        <w:t xml:space="preserve">Tabla 7</w:t>
      </w:r>
    </w:p>
    <w:p>
      <w:pPr>
        <w:keepNext/>
        <w:spacing w:after="120" w:before="0" w:line="240" w:lineRule="auto"/>
        <w:jc w:val="left"/>
      </w:pPr>
      <w:r>
        <w:rPr>
          <w:rFonts w:ascii="Times New Roman" w:cs="Times New Roman" w:eastAsia="Times New Roman" w:hAnsi="Times New Roman"/>
          <w:b w:val="false"/>
          <w:bCs w:val="false"/>
          <w:i/>
          <w:iCs/>
          <w:color w:val="000000"/>
          <w:sz w:val="24"/>
          <w:szCs w:val="24"/>
        </w:rPr>
        <w:t xml:space="preserve">Estructura de costos y precios de los paquetes turísticos</w:t>
      </w:r>
    </w:p>
    <w:tbl>
      <w:tblPr>
        <w:tblW w:type="dxa" w:w="8504"/>
        <w:tblBorders>
          <w:top w:val="single" w:color="000000" w:sz="4"/>
          <w:left w:val="single" w:color="000000" w:sz="4"/>
          <w:bottom w:val="single" w:color="000000" w:sz="4"/>
          <w:right w:val="single" w:color="000000" w:sz="4"/>
          <w:insideH w:val="single" w:color="999999" w:sz="2"/>
          <w:insideV w:val="single" w:color="999999" w:sz="2"/>
        </w:tblBorders>
      </w:tblPr>
      <w:tblGrid>
        <w:gridCol w:w="1920"/>
        <w:gridCol w:w="1646"/>
        <w:gridCol w:w="1097"/>
        <w:gridCol w:w="1509"/>
        <w:gridCol w:w="2332"/>
      </w:tblGrid>
      <w:tr>
        <w:trPr>
          <w:cantSplit/>
        </w:trPr>
        <w:tc>
          <w:tcPr>
            <w:tcW w:type="dxa" w:w="1920"/>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i w:val="false"/>
                <w:iCs w:val="false"/>
                <w:color w:val="000000"/>
                <w:sz w:val="22"/>
                <w:szCs w:val="22"/>
              </w:rPr>
              <w:t xml:space="preserve">Producto</w:t>
            </w:r>
          </w:p>
        </w:tc>
        <w:tc>
          <w:tcPr>
            <w:tcW w:type="dxa" w:w="1646"/>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i w:val="false"/>
                <w:iCs w:val="false"/>
                <w:color w:val="000000"/>
                <w:sz w:val="22"/>
                <w:szCs w:val="22"/>
              </w:rPr>
              <w:t xml:space="preserve">Costo variable (USD)</w:t>
            </w:r>
          </w:p>
        </w:tc>
        <w:tc>
          <w:tcPr>
            <w:tcW w:type="dxa" w:w="1097"/>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i w:val="false"/>
                <w:iCs w:val="false"/>
                <w:color w:val="000000"/>
                <w:sz w:val="22"/>
                <w:szCs w:val="22"/>
              </w:rPr>
              <w:t xml:space="preserve">Margen (USD)</w:t>
            </w:r>
          </w:p>
        </w:tc>
        <w:tc>
          <w:tcPr>
            <w:tcW w:type="dxa" w:w="1509"/>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i w:val="false"/>
                <w:iCs w:val="false"/>
                <w:color w:val="000000"/>
                <w:sz w:val="22"/>
                <w:szCs w:val="22"/>
              </w:rPr>
              <w:t xml:space="preserve">Precio venta (USD)</w:t>
            </w:r>
          </w:p>
        </w:tc>
        <w:tc>
          <w:tcPr>
            <w:tcW w:type="dxa" w:w="2332"/>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i w:val="false"/>
                <w:iCs w:val="false"/>
                <w:color w:val="000000"/>
                <w:sz w:val="22"/>
                <w:szCs w:val="22"/>
              </w:rPr>
              <w:t xml:space="preserve">Canal recomendado</w:t>
            </w:r>
          </w:p>
        </w:tc>
      </w:tr>
      <w:tr>
        <w:trPr>
          <w:cantSplit/>
        </w:trPr>
        <w:tc>
          <w:tcPr>
            <w:tcW w:type="dxa" w:w="1920"/>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Paquete 1 (media jornada)</w:t>
            </w:r>
          </w:p>
        </w:tc>
        <w:tc>
          <w:tcPr>
            <w:tcW w:type="dxa" w:w="1646"/>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30,00</w:t>
            </w:r>
          </w:p>
        </w:tc>
        <w:tc>
          <w:tcPr>
            <w:tcW w:type="dxa" w:w="1097"/>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15,00</w:t>
            </w:r>
          </w:p>
        </w:tc>
        <w:tc>
          <w:tcPr>
            <w:tcW w:type="dxa" w:w="1509"/>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45,00</w:t>
            </w:r>
          </w:p>
        </w:tc>
        <w:tc>
          <w:tcPr>
            <w:tcW w:type="dxa" w:w="2332"/>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Conserjería de hoteles y app móvil</w:t>
            </w:r>
          </w:p>
        </w:tc>
      </w:tr>
      <w:tr>
        <w:trPr>
          <w:cantSplit/>
        </w:trPr>
        <w:tc>
          <w:tcPr>
            <w:tcW w:type="dxa" w:w="1920"/>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Paquete 2 (jornada completa)</w:t>
            </w:r>
          </w:p>
        </w:tc>
        <w:tc>
          <w:tcPr>
            <w:tcW w:type="dxa" w:w="1646"/>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60,00</w:t>
            </w:r>
          </w:p>
        </w:tc>
        <w:tc>
          <w:tcPr>
            <w:tcW w:type="dxa" w:w="1097"/>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35,00</w:t>
            </w:r>
          </w:p>
        </w:tc>
        <w:tc>
          <w:tcPr>
            <w:tcW w:type="dxa" w:w="1509"/>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95,00</w:t>
            </w:r>
          </w:p>
        </w:tc>
        <w:tc>
          <w:tcPr>
            <w:tcW w:type="dxa" w:w="2332"/>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Agencias receptivas y sitio web</w:t>
            </w:r>
          </w:p>
        </w:tc>
      </w:tr>
    </w:tbl>
    <w:p>
      <w:pPr>
        <w:spacing w:after="160"/>
      </w:pPr>
    </w:p>
    <w:p>
      <w:pPr>
        <w:spacing w:after="200" w:before="80" w:line="240" w:lineRule="auto"/>
        <w:jc w:val="left"/>
      </w:pPr>
      <w:r>
        <w:rPr>
          <w:rFonts w:ascii="Times New Roman" w:cs="Times New Roman" w:eastAsia="Times New Roman" w:hAnsi="Times New Roman"/>
          <w:b w:val="false"/>
          <w:bCs w:val="false"/>
          <w:i/>
          <w:iCs/>
          <w:color w:val="000000"/>
          <w:sz w:val="22"/>
          <w:szCs w:val="22"/>
        </w:rPr>
        <w:t xml:space="preserve">Nota.</w:t>
      </w:r>
      <w:r>
        <w:rPr>
          <w:rFonts w:ascii="Times New Roman" w:cs="Times New Roman" w:eastAsia="Times New Roman" w:hAnsi="Times New Roman"/>
          <w:b w:val="false"/>
          <w:bCs w:val="false"/>
          <w:i w:val="false"/>
          <w:iCs w:val="false"/>
          <w:color w:val="000000"/>
          <w:sz w:val="22"/>
          <w:szCs w:val="22"/>
        </w:rPr>
        <w:t xml:space="preserve"> Elaboración propia.</w:t>
      </w:r>
    </w:p>
    <w:p>
      <w:pPr>
        <w:pStyle w:val="Heading3"/>
        <w:keepNext/>
        <w:spacing w:after="120" w:before="200" w:line="240" w:lineRule="auto"/>
        <w:jc w:val="left"/>
      </w:pPr>
      <w:r>
        <w:rPr>
          <w:rFonts w:ascii="Times New Roman" w:cs="Times New Roman" w:eastAsia="Times New Roman" w:hAnsi="Times New Roman"/>
          <w:b/>
          <w:bCs/>
          <w:i/>
          <w:iCs/>
          <w:color w:val="000000"/>
          <w:sz w:val="24"/>
          <w:szCs w:val="24"/>
        </w:rPr>
        <w:t xml:space="preserve">6.1.4. Plaza</w:t>
      </w:r>
    </w:p>
    <w:p>
      <w:pPr>
        <w:keepNext w:val="false"/>
        <w:spacing w:after="160" w:line="240" w:lineRule="auto"/>
        <w:jc w:val="both"/>
      </w:pPr>
      <w:r>
        <w:rPr>
          <w:rFonts w:ascii="Times New Roman" w:cs="Times New Roman" w:eastAsia="Times New Roman" w:hAnsi="Times New Roman"/>
          <w:b w:val="false"/>
          <w:bCs w:val="false"/>
          <w:i w:val="false"/>
          <w:iCs w:val="false"/>
          <w:color w:val="000000"/>
          <w:sz w:val="24"/>
          <w:szCs w:val="24"/>
        </w:rPr>
        <w:t xml:space="preserve">La comercialización combina dos canales. La venta directa digital se realiza a través del portal web y la aplicación móvil del Comité de Gestión, con motor de reservas en tiempo real y pasarela de pago seguro (Visa, Master, PayPal). La venta indirecta local (B2B) se apoya en la integración del circuito dentro de la oferta recomendada por hoteles de 3 y 4 estrellas, mediante la capacitación de ventas a recepcionistas y un enlace de reservas comisionable (10% sobre el PVP).</w:t>
      </w:r>
    </w:p>
    <w:p>
      <w:pPr>
        <w:pStyle w:val="Heading3"/>
        <w:keepNext/>
        <w:spacing w:after="120" w:before="200" w:line="240" w:lineRule="auto"/>
        <w:jc w:val="left"/>
      </w:pPr>
      <w:r>
        <w:rPr>
          <w:rFonts w:ascii="Times New Roman" w:cs="Times New Roman" w:eastAsia="Times New Roman" w:hAnsi="Times New Roman"/>
          <w:b/>
          <w:bCs/>
          <w:i/>
          <w:iCs/>
          <w:color w:val="000000"/>
          <w:sz w:val="24"/>
          <w:szCs w:val="24"/>
        </w:rPr>
        <w:t xml:space="preserve">6.1.5. Promoción</w:t>
      </w:r>
    </w:p>
    <w:p>
      <w:pPr>
        <w:keepNext w:val="false"/>
        <w:spacing w:after="160" w:line="240" w:lineRule="auto"/>
        <w:jc w:val="both"/>
      </w:pPr>
      <w:r>
        <w:rPr>
          <w:rFonts w:ascii="Times New Roman" w:cs="Times New Roman" w:eastAsia="Times New Roman" w:hAnsi="Times New Roman"/>
          <w:b w:val="false"/>
          <w:bCs w:val="false"/>
          <w:i w:val="false"/>
          <w:iCs w:val="false"/>
          <w:color w:val="000000"/>
          <w:sz w:val="24"/>
          <w:szCs w:val="24"/>
        </w:rPr>
        <w:t xml:space="preserve">La estrategia de promoción se apoya en tres líneas de acción. En primer lugar, la publicidad digital segmentada en Instagram, Facebook y YouTube, georreferenciada en Montevideo, Buenos Aires, Rosario, Concordia y ciudades de Rio Grande do Sul (Porto Alegre, Uruguaiana). En segundo lugar, una estrategia binacional en la “Semana de Harriague”, que invita a críticos de vino y periodistas de turismo de Uruguay, Argentina y Brasil. Y en tercer lugar, la presencia en ferias internacionales, con stand propio en el espacio INAVI “Uruguay Wine” de la Expo Turismo de Uruguay, en Festuris (Gramado, Brasil) y en la London Wine Fair.</w:t>
      </w:r>
    </w:p>
    <w:p>
      <w:pPr>
        <w:pStyle w:val="Heading2"/>
        <w:keepNext/>
        <w:spacing w:after="160" w:before="240" w:line="240" w:lineRule="auto"/>
        <w:jc w:val="left"/>
      </w:pPr>
      <w:r>
        <w:rPr>
          <w:rFonts w:ascii="Times New Roman" w:cs="Times New Roman" w:eastAsia="Times New Roman" w:hAnsi="Times New Roman"/>
          <w:b/>
          <w:bCs/>
          <w:i w:val="false"/>
          <w:iCs w:val="false"/>
          <w:color w:val="000000"/>
          <w:sz w:val="24"/>
          <w:szCs w:val="24"/>
        </w:rPr>
        <w:t xml:space="preserve">6.2. Estrategia de Sostenibilidad</w:t>
      </w:r>
    </w:p>
    <w:p>
      <w:pPr>
        <w:keepNext w:val="false"/>
        <w:spacing w:after="160" w:line="240" w:lineRule="auto"/>
        <w:jc w:val="both"/>
      </w:pPr>
      <w:r>
        <w:rPr>
          <w:rFonts w:ascii="Times New Roman" w:cs="Times New Roman" w:eastAsia="Times New Roman" w:hAnsi="Times New Roman"/>
          <w:b w:val="false"/>
          <w:bCs w:val="false"/>
          <w:i w:val="false"/>
          <w:iCs w:val="false"/>
          <w:color w:val="000000"/>
          <w:sz w:val="24"/>
          <w:szCs w:val="24"/>
        </w:rPr>
        <w:t xml:space="preserve">La estrategia de sostenibilidad se apoya en tres líneas de acción. En el plano agrícola, se persigue la certificación progresiva de la totalidad de los viñedos bajo el Plan de Uva Sostenible de INAVI. En el plano de la economía circular y el abastecimiento local, se prevé que el 100% de los insumos gastronómicos de maridaje sea adquirido a pequeños agricultores y cooperativas rurales de Colonia Osimani y Parada Daymán. Finalmente, se constituye un fondo de desarrollo de la caminería rural mediante un fideicomiso con el 3% del ingreso neto de la venta de pasajes, destinado a la reparación y el mantenimiento de las vías rurales de ripio.</w:t>
      </w:r>
    </w:p>
    <w:p>
      <w:pPr>
        <w:pStyle w:val="Heading2"/>
        <w:keepNext/>
        <w:spacing w:after="160" w:before="240" w:line="240" w:lineRule="auto"/>
        <w:jc w:val="left"/>
      </w:pPr>
      <w:r>
        <w:rPr>
          <w:rFonts w:ascii="Times New Roman" w:cs="Times New Roman" w:eastAsia="Times New Roman" w:hAnsi="Times New Roman"/>
          <w:b/>
          <w:bCs/>
          <w:i w:val="false"/>
          <w:iCs w:val="false"/>
          <w:color w:val="000000"/>
          <w:sz w:val="24"/>
          <w:szCs w:val="24"/>
        </w:rPr>
        <w:t xml:space="preserve">6.3. Estrategia de Calidad</w:t>
      </w:r>
    </w:p>
    <w:p>
      <w:pPr>
        <w:keepNext w:val="false"/>
        <w:spacing w:after="160" w:line="240" w:lineRule="auto"/>
        <w:jc w:val="both"/>
      </w:pPr>
      <w:r>
        <w:rPr>
          <w:rFonts w:ascii="Times New Roman" w:cs="Times New Roman" w:eastAsia="Times New Roman" w:hAnsi="Times New Roman"/>
          <w:b w:val="false"/>
          <w:bCs w:val="false"/>
          <w:i w:val="false"/>
          <w:iCs w:val="false"/>
          <w:color w:val="000000"/>
          <w:sz w:val="24"/>
          <w:szCs w:val="24"/>
        </w:rPr>
        <w:t xml:space="preserve">La estrategia de calidad se sostiene sobre tres pilares. El primero es la malla curricular de formación enoturística: un curso intensivo de 120 horas en hospitalidad enológica y guión interpretativo, coordinado por el CENUR Litoral Norte y la UTU, de carácter obligatorio para guías, choferes y personal de bodegas. El segundo es el manual de pautas de servicio unificado, que fija tiempos máximos de espera, vestimenta, normas de seguridad e higiene en cata y requisitos de accesibilidad física. El tercero es el bucle de retroalimentación QR, una evaluación interactiva mediante código QR en las copas de cata de obsequio, integrada al sistema de control de calidad del Comité de Gestión.</w:t>
      </w:r>
    </w:p>
    <w:p>
      <w:pPr>
        <w:pStyle w:val="Heading2"/>
        <w:keepNext/>
        <w:spacing w:after="160" w:before="240" w:line="240" w:lineRule="auto"/>
        <w:jc w:val="left"/>
      </w:pPr>
      <w:r>
        <w:rPr>
          <w:rFonts w:ascii="Times New Roman" w:cs="Times New Roman" w:eastAsia="Times New Roman" w:hAnsi="Times New Roman"/>
          <w:b/>
          <w:bCs/>
          <w:i w:val="false"/>
          <w:iCs w:val="false"/>
          <w:color w:val="000000"/>
          <w:sz w:val="24"/>
          <w:szCs w:val="24"/>
        </w:rPr>
        <w:t xml:space="preserve">6.4. Estrategia de Operaciones</w:t>
      </w:r>
    </w:p>
    <w:p>
      <w:pPr>
        <w:pStyle w:val="Heading3"/>
        <w:keepNext/>
        <w:spacing w:after="120" w:before="200" w:line="240" w:lineRule="auto"/>
        <w:jc w:val="left"/>
      </w:pPr>
      <w:r>
        <w:rPr>
          <w:rFonts w:ascii="Times New Roman" w:cs="Times New Roman" w:eastAsia="Times New Roman" w:hAnsi="Times New Roman"/>
          <w:b/>
          <w:bCs/>
          <w:i/>
          <w:iCs/>
          <w:color w:val="000000"/>
          <w:sz w:val="24"/>
          <w:szCs w:val="24"/>
        </w:rPr>
        <w:t xml:space="preserve">6.4.1. Itinerario operativo — Paquete 1 (media jornada)</w:t>
      </w:r>
    </w:p>
    <w:p>
      <w:pPr>
        <w:keepNext/>
        <w:spacing w:after="0" w:before="200" w:line="240" w:lineRule="auto"/>
        <w:jc w:val="left"/>
      </w:pPr>
      <w:r>
        <w:rPr>
          <w:rFonts w:ascii="Times New Roman" w:cs="Times New Roman" w:eastAsia="Times New Roman" w:hAnsi="Times New Roman"/>
          <w:b w:val="false"/>
          <w:bCs w:val="false"/>
          <w:i w:val="false"/>
          <w:iCs w:val="false"/>
          <w:color w:val="000000"/>
          <w:sz w:val="24"/>
          <w:szCs w:val="24"/>
        </w:rPr>
        <w:t xml:space="preserve">Tabla 8</w:t>
      </w:r>
    </w:p>
    <w:p>
      <w:pPr>
        <w:keepNext/>
        <w:spacing w:after="120" w:before="0" w:line="240" w:lineRule="auto"/>
        <w:jc w:val="left"/>
      </w:pPr>
      <w:r>
        <w:rPr>
          <w:rFonts w:ascii="Times New Roman" w:cs="Times New Roman" w:eastAsia="Times New Roman" w:hAnsi="Times New Roman"/>
          <w:b w:val="false"/>
          <w:bCs w:val="false"/>
          <w:i/>
          <w:iCs/>
          <w:color w:val="000000"/>
          <w:sz w:val="24"/>
          <w:szCs w:val="24"/>
        </w:rPr>
        <w:t xml:space="preserve">Itinerario operativo del Paquete 1 (media jornada)</w:t>
      </w:r>
    </w:p>
    <w:tbl>
      <w:tblPr>
        <w:tblW w:type="dxa" w:w="8504"/>
        <w:tblBorders>
          <w:top w:val="single" w:color="000000" w:sz="4"/>
          <w:left w:val="single" w:color="000000" w:sz="4"/>
          <w:bottom w:val="single" w:color="000000" w:sz="4"/>
          <w:right w:val="single" w:color="000000" w:sz="4"/>
          <w:insideH w:val="single" w:color="999999" w:sz="2"/>
          <w:insideV w:val="single" w:color="999999" w:sz="2"/>
        </w:tblBorders>
      </w:tblPr>
      <w:tblGrid>
        <w:gridCol w:w="889"/>
        <w:gridCol w:w="2135"/>
        <w:gridCol w:w="5480"/>
      </w:tblGrid>
      <w:tr>
        <w:trPr>
          <w:cantSplit/>
        </w:trPr>
        <w:tc>
          <w:tcPr>
            <w:tcW w:type="dxa" w:w="889"/>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i w:val="false"/>
                <w:iCs w:val="false"/>
                <w:color w:val="000000"/>
                <w:sz w:val="22"/>
                <w:szCs w:val="22"/>
              </w:rPr>
              <w:t xml:space="preserve">Horario</w:t>
            </w:r>
          </w:p>
        </w:tc>
        <w:tc>
          <w:tcPr>
            <w:tcW w:type="dxa" w:w="2135"/>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i w:val="false"/>
                <w:iCs w:val="false"/>
                <w:color w:val="000000"/>
                <w:sz w:val="22"/>
                <w:szCs w:val="22"/>
              </w:rPr>
              <w:t xml:space="preserve">Actividad</w:t>
            </w:r>
          </w:p>
        </w:tc>
        <w:tc>
          <w:tcPr>
            <w:tcW w:type="dxa" w:w="5480"/>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i w:val="false"/>
                <w:iCs w:val="false"/>
                <w:color w:val="000000"/>
                <w:sz w:val="22"/>
                <w:szCs w:val="22"/>
              </w:rPr>
              <w:t xml:space="preserve">Detalle</w:t>
            </w:r>
          </w:p>
        </w:tc>
      </w:tr>
      <w:tr>
        <w:trPr>
          <w:cantSplit/>
        </w:trPr>
        <w:tc>
          <w:tcPr>
            <w:tcW w:type="dxa" w:w="889"/>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09:00</w:t>
            </w:r>
          </w:p>
        </w:tc>
        <w:tc>
          <w:tcPr>
            <w:tcW w:type="dxa" w:w="2135"/>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Recepción de pasajeros</w:t>
            </w:r>
          </w:p>
        </w:tc>
        <w:tc>
          <w:tcPr>
            <w:tcW w:type="dxa" w:w="5480"/>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Recorrido de recogida por hoteles de Daymán y del centro de Salto</w:t>
            </w:r>
          </w:p>
        </w:tc>
      </w:tr>
      <w:tr>
        <w:trPr>
          <w:cantSplit/>
        </w:trPr>
        <w:tc>
          <w:tcPr>
            <w:tcW w:type="dxa" w:w="889"/>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09:30</w:t>
            </w:r>
          </w:p>
        </w:tc>
        <w:tc>
          <w:tcPr>
            <w:tcW w:type="dxa" w:w="2135"/>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Estación 1 — Espacio Harriague</w:t>
            </w:r>
          </w:p>
        </w:tc>
        <w:tc>
          <w:tcPr>
            <w:tcW w:type="dxa" w:w="5480"/>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60 min: historia de Pascual Harriague, bocado vasco y cata de Tannat joven</w:t>
            </w:r>
          </w:p>
        </w:tc>
      </w:tr>
      <w:tr>
        <w:trPr>
          <w:cantSplit/>
        </w:trPr>
        <w:tc>
          <w:tcPr>
            <w:tcW w:type="dxa" w:w="889"/>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10:45</w:t>
            </w:r>
          </w:p>
        </w:tc>
        <w:tc>
          <w:tcPr>
            <w:tcW w:type="dxa" w:w="2135"/>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Traslado terrestre</w:t>
            </w:r>
          </w:p>
        </w:tc>
        <w:tc>
          <w:tcPr>
            <w:tcW w:type="dxa" w:w="5480"/>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30 min hacia Colonia Osimani o Parada Daymán</w:t>
            </w:r>
          </w:p>
        </w:tc>
      </w:tr>
      <w:tr>
        <w:trPr>
          <w:cantSplit/>
        </w:trPr>
        <w:tc>
          <w:tcPr>
            <w:tcW w:type="dxa" w:w="889"/>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11:15</w:t>
            </w:r>
          </w:p>
        </w:tc>
        <w:tc>
          <w:tcPr>
            <w:tcW w:type="dxa" w:w="2135"/>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Estación 2 o 3</w:t>
            </w:r>
          </w:p>
        </w:tc>
        <w:tc>
          <w:tcPr>
            <w:tcW w:type="dxa" w:w="5480"/>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90 min: visita a viñedos y planta, cata técnica de tres varietales con quesos</w:t>
            </w:r>
          </w:p>
        </w:tc>
      </w:tr>
      <w:tr>
        <w:trPr>
          <w:cantSplit/>
        </w:trPr>
        <w:tc>
          <w:tcPr>
            <w:tcW w:type="dxa" w:w="889"/>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12:45</w:t>
            </w:r>
          </w:p>
        </w:tc>
        <w:tc>
          <w:tcPr>
            <w:tcW w:type="dxa" w:w="2135"/>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Acceso a tienda y retorno</w:t>
            </w:r>
          </w:p>
        </w:tc>
        <w:tc>
          <w:tcPr>
            <w:tcW w:type="dxa" w:w="5480"/>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15 min de compra de botellas en bodega; inicio del regreso</w:t>
            </w:r>
          </w:p>
        </w:tc>
      </w:tr>
      <w:tr>
        <w:trPr>
          <w:cantSplit/>
        </w:trPr>
        <w:tc>
          <w:tcPr>
            <w:tcW w:type="dxa" w:w="889"/>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13:15</w:t>
            </w:r>
          </w:p>
        </w:tc>
        <w:tc>
          <w:tcPr>
            <w:tcW w:type="dxa" w:w="2135"/>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Cierre de itinerario</w:t>
            </w:r>
          </w:p>
        </w:tc>
        <w:tc>
          <w:tcPr>
            <w:tcW w:type="dxa" w:w="5480"/>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Descenso de pasajeros en sus hoteles de origen</w:t>
            </w:r>
          </w:p>
        </w:tc>
      </w:tr>
    </w:tbl>
    <w:p>
      <w:pPr>
        <w:spacing w:after="160"/>
      </w:pPr>
    </w:p>
    <w:p>
      <w:pPr>
        <w:spacing w:after="200" w:before="80" w:line="240" w:lineRule="auto"/>
        <w:jc w:val="left"/>
      </w:pPr>
      <w:r>
        <w:rPr>
          <w:rFonts w:ascii="Times New Roman" w:cs="Times New Roman" w:eastAsia="Times New Roman" w:hAnsi="Times New Roman"/>
          <w:b w:val="false"/>
          <w:bCs w:val="false"/>
          <w:i/>
          <w:iCs/>
          <w:color w:val="000000"/>
          <w:sz w:val="22"/>
          <w:szCs w:val="22"/>
        </w:rPr>
        <w:t xml:space="preserve">Nota.</w:t>
      </w:r>
      <w:r>
        <w:rPr>
          <w:rFonts w:ascii="Times New Roman" w:cs="Times New Roman" w:eastAsia="Times New Roman" w:hAnsi="Times New Roman"/>
          <w:b w:val="false"/>
          <w:bCs w:val="false"/>
          <w:i w:val="false"/>
          <w:iCs w:val="false"/>
          <w:color w:val="000000"/>
          <w:sz w:val="22"/>
          <w:szCs w:val="22"/>
        </w:rPr>
        <w:t xml:space="preserve"> Elaboración propia.</w:t>
      </w:r>
    </w:p>
    <w:p>
      <w:pPr>
        <w:pStyle w:val="Heading3"/>
        <w:keepNext/>
        <w:spacing w:after="120" w:before="200" w:line="240" w:lineRule="auto"/>
        <w:jc w:val="left"/>
      </w:pPr>
      <w:r>
        <w:rPr>
          <w:rFonts w:ascii="Times New Roman" w:cs="Times New Roman" w:eastAsia="Times New Roman" w:hAnsi="Times New Roman"/>
          <w:b/>
          <w:bCs/>
          <w:i/>
          <w:iCs/>
          <w:color w:val="000000"/>
          <w:sz w:val="24"/>
          <w:szCs w:val="24"/>
        </w:rPr>
        <w:t xml:space="preserve">6.4.2. Itinerario operativo — Paquete 2 (jornada completa)</w:t>
      </w:r>
    </w:p>
    <w:p>
      <w:pPr>
        <w:keepNext/>
        <w:spacing w:after="0" w:before="200" w:line="240" w:lineRule="auto"/>
        <w:jc w:val="left"/>
      </w:pPr>
      <w:r>
        <w:rPr>
          <w:rFonts w:ascii="Times New Roman" w:cs="Times New Roman" w:eastAsia="Times New Roman" w:hAnsi="Times New Roman"/>
          <w:b w:val="false"/>
          <w:bCs w:val="false"/>
          <w:i w:val="false"/>
          <w:iCs w:val="false"/>
          <w:color w:val="000000"/>
          <w:sz w:val="24"/>
          <w:szCs w:val="24"/>
        </w:rPr>
        <w:t xml:space="preserve">Tabla 9</w:t>
      </w:r>
    </w:p>
    <w:p>
      <w:pPr>
        <w:keepNext/>
        <w:spacing w:after="120" w:before="0" w:line="240" w:lineRule="auto"/>
        <w:jc w:val="left"/>
      </w:pPr>
      <w:r>
        <w:rPr>
          <w:rFonts w:ascii="Times New Roman" w:cs="Times New Roman" w:eastAsia="Times New Roman" w:hAnsi="Times New Roman"/>
          <w:b w:val="false"/>
          <w:bCs w:val="false"/>
          <w:i/>
          <w:iCs/>
          <w:color w:val="000000"/>
          <w:sz w:val="24"/>
          <w:szCs w:val="24"/>
        </w:rPr>
        <w:t xml:space="preserve">Itinerario operativo del Paquete 2 (jornada completa)</w:t>
      </w:r>
    </w:p>
    <w:tbl>
      <w:tblPr>
        <w:tblW w:type="dxa" w:w="8504"/>
        <w:tblBorders>
          <w:top w:val="single" w:color="000000" w:sz="4"/>
          <w:left w:val="single" w:color="000000" w:sz="4"/>
          <w:bottom w:val="single" w:color="000000" w:sz="4"/>
          <w:right w:val="single" w:color="000000" w:sz="4"/>
          <w:insideH w:val="single" w:color="999999" w:sz="2"/>
          <w:insideV w:val="single" w:color="999999" w:sz="2"/>
        </w:tblBorders>
      </w:tblPr>
      <w:tblGrid>
        <w:gridCol w:w="900"/>
        <w:gridCol w:w="2617"/>
        <w:gridCol w:w="4987"/>
      </w:tblGrid>
      <w:tr>
        <w:trPr>
          <w:cantSplit/>
        </w:trPr>
        <w:tc>
          <w:tcPr>
            <w:tcW w:type="dxa" w:w="900"/>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i w:val="false"/>
                <w:iCs w:val="false"/>
                <w:color w:val="000000"/>
                <w:sz w:val="22"/>
                <w:szCs w:val="22"/>
              </w:rPr>
              <w:t xml:space="preserve">Horario</w:t>
            </w:r>
          </w:p>
        </w:tc>
        <w:tc>
          <w:tcPr>
            <w:tcW w:type="dxa" w:w="2617"/>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i w:val="false"/>
                <w:iCs w:val="false"/>
                <w:color w:val="000000"/>
                <w:sz w:val="22"/>
                <w:szCs w:val="22"/>
              </w:rPr>
              <w:t xml:space="preserve">Actividad</w:t>
            </w:r>
          </w:p>
        </w:tc>
        <w:tc>
          <w:tcPr>
            <w:tcW w:type="dxa" w:w="4987"/>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i w:val="false"/>
                <w:iCs w:val="false"/>
                <w:color w:val="000000"/>
                <w:sz w:val="22"/>
                <w:szCs w:val="22"/>
              </w:rPr>
              <w:t xml:space="preserve">Detalle</w:t>
            </w:r>
          </w:p>
        </w:tc>
      </w:tr>
      <w:tr>
        <w:trPr>
          <w:cantSplit/>
        </w:trPr>
        <w:tc>
          <w:tcPr>
            <w:tcW w:type="dxa" w:w="900"/>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08:30</w:t>
            </w:r>
          </w:p>
        </w:tc>
        <w:tc>
          <w:tcPr>
            <w:tcW w:type="dxa" w:w="2617"/>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Recepción de pasajeros</w:t>
            </w:r>
          </w:p>
        </w:tc>
        <w:tc>
          <w:tcPr>
            <w:tcW w:type="dxa" w:w="4987"/>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Recorrido por hoteles de Daymán, Arapey y centro de Salto</w:t>
            </w:r>
          </w:p>
        </w:tc>
      </w:tr>
      <w:tr>
        <w:trPr>
          <w:cantSplit/>
        </w:trPr>
        <w:tc>
          <w:tcPr>
            <w:tcW w:type="dxa" w:w="900"/>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09:00</w:t>
            </w:r>
          </w:p>
        </w:tc>
        <w:tc>
          <w:tcPr>
            <w:tcW w:type="dxa" w:w="2617"/>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Estación 1 — Espacio Harriague</w:t>
            </w:r>
          </w:p>
        </w:tc>
        <w:tc>
          <w:tcPr>
            <w:tcW w:type="dxa" w:w="4987"/>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Recorrido interpretativo completo con degustación</w:t>
            </w:r>
          </w:p>
        </w:tc>
      </w:tr>
      <w:tr>
        <w:trPr>
          <w:cantSplit/>
        </w:trPr>
        <w:tc>
          <w:tcPr>
            <w:tcW w:type="dxa" w:w="900"/>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10:30</w:t>
            </w:r>
          </w:p>
        </w:tc>
        <w:tc>
          <w:tcPr>
            <w:tcW w:type="dxa" w:w="2617"/>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Estación 2 — Salto Chico</w:t>
            </w:r>
          </w:p>
        </w:tc>
        <w:tc>
          <w:tcPr>
            <w:tcW w:type="dxa" w:w="4987"/>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Viñedos, vinificación y cata con maridaje</w:t>
            </w:r>
          </w:p>
        </w:tc>
      </w:tr>
      <w:tr>
        <w:trPr>
          <w:cantSplit/>
        </w:trPr>
        <w:tc>
          <w:tcPr>
            <w:tcW w:type="dxa" w:w="900"/>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12:15</w:t>
            </w:r>
          </w:p>
        </w:tc>
        <w:tc>
          <w:tcPr>
            <w:tcW w:type="dxa" w:w="2617"/>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Almuerzo de maridaje</w:t>
            </w:r>
          </w:p>
        </w:tc>
        <w:tc>
          <w:tcPr>
            <w:tcW w:type="dxa" w:w="4987"/>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Tres pasos, carnes asadas y platos típicos salteños en bodega</w:t>
            </w:r>
          </w:p>
        </w:tc>
      </w:tr>
      <w:tr>
        <w:trPr>
          <w:cantSplit/>
        </w:trPr>
        <w:tc>
          <w:tcPr>
            <w:tcW w:type="dxa" w:w="900"/>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14:00</w:t>
            </w:r>
          </w:p>
        </w:tc>
        <w:tc>
          <w:tcPr>
            <w:tcW w:type="dxa" w:w="2617"/>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Estación 3 — Bertolini &amp; Broglio</w:t>
            </w:r>
          </w:p>
        </w:tc>
        <w:tc>
          <w:tcPr>
            <w:tcW w:type="dxa" w:w="4987"/>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Vinificación por gravedad y cata de varietales de reserva</w:t>
            </w:r>
          </w:p>
        </w:tc>
      </w:tr>
      <w:tr>
        <w:trPr>
          <w:cantSplit/>
        </w:trPr>
        <w:tc>
          <w:tcPr>
            <w:tcW w:type="dxa" w:w="900"/>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16:00</w:t>
            </w:r>
          </w:p>
        </w:tc>
        <w:tc>
          <w:tcPr>
            <w:tcW w:type="dxa" w:w="2617"/>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Estación 4 — Mori Maglio</w:t>
            </w:r>
          </w:p>
        </w:tc>
        <w:tc>
          <w:tcPr>
            <w:tcW w:type="dxa" w:w="4987"/>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Taller artesanal de vermouth y cata de vinos de autor</w:t>
            </w:r>
          </w:p>
        </w:tc>
      </w:tr>
      <w:tr>
        <w:trPr>
          <w:cantSplit/>
        </w:trPr>
        <w:tc>
          <w:tcPr>
            <w:tcW w:type="dxa" w:w="900"/>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17:30</w:t>
            </w:r>
          </w:p>
        </w:tc>
        <w:tc>
          <w:tcPr>
            <w:tcW w:type="dxa" w:w="2617"/>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Retorno y cierre</w:t>
            </w:r>
          </w:p>
        </w:tc>
        <w:tc>
          <w:tcPr>
            <w:tcW w:type="dxa" w:w="4987"/>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Traslado a hoteles de origen</w:t>
            </w:r>
          </w:p>
        </w:tc>
      </w:tr>
    </w:tbl>
    <w:p>
      <w:pPr>
        <w:spacing w:after="160"/>
      </w:pPr>
    </w:p>
    <w:p>
      <w:pPr>
        <w:spacing w:after="200" w:before="80" w:line="240" w:lineRule="auto"/>
        <w:jc w:val="left"/>
      </w:pPr>
      <w:r>
        <w:rPr>
          <w:rFonts w:ascii="Times New Roman" w:cs="Times New Roman" w:eastAsia="Times New Roman" w:hAnsi="Times New Roman"/>
          <w:b w:val="false"/>
          <w:bCs w:val="false"/>
          <w:i/>
          <w:iCs/>
          <w:color w:val="000000"/>
          <w:sz w:val="22"/>
          <w:szCs w:val="22"/>
        </w:rPr>
        <w:t xml:space="preserve">Nota.</w:t>
      </w:r>
      <w:r>
        <w:rPr>
          <w:rFonts w:ascii="Times New Roman" w:cs="Times New Roman" w:eastAsia="Times New Roman" w:hAnsi="Times New Roman"/>
          <w:b w:val="false"/>
          <w:bCs w:val="false"/>
          <w:i w:val="false"/>
          <w:iCs w:val="false"/>
          <w:color w:val="000000"/>
          <w:sz w:val="22"/>
          <w:szCs w:val="22"/>
        </w:rPr>
        <w:t xml:space="preserve"> Elaboración propia.</w:t>
      </w:r>
    </w:p>
    <w:p>
      <w:pPr>
        <w:keepNext w:val="false"/>
        <w:spacing w:after="160" w:line="240" w:lineRule="auto"/>
        <w:jc w:val="both"/>
      </w:pPr>
      <w:r>
        <w:rPr>
          <w:rFonts w:ascii="Times New Roman" w:cs="Times New Roman" w:eastAsia="Times New Roman" w:hAnsi="Times New Roman"/>
          <w:b/>
          <w:bCs/>
          <w:i w:val="false"/>
          <w:iCs w:val="false"/>
          <w:color w:val="000000"/>
          <w:sz w:val="24"/>
          <w:szCs w:val="24"/>
        </w:rPr>
        <w:t xml:space="preserve">Calendario operativo.</w:t>
      </w:r>
      <w:r>
        <w:rPr>
          <w:rFonts w:ascii="Times New Roman" w:cs="Times New Roman" w:eastAsia="Times New Roman" w:hAnsi="Times New Roman"/>
          <w:b w:val="false"/>
          <w:bCs w:val="false"/>
          <w:i w:val="false"/>
          <w:iCs w:val="false"/>
          <w:color w:val="000000"/>
          <w:sz w:val="24"/>
          <w:szCs w:val="24"/>
        </w:rPr>
        <w:t xml:space="preserve"> El circuito opera con salidas regulares de jueves a domingo, días de mayor afluencia de turistas termales. El Espacio Harriague permanece abierto para visitas culturales autoguiadas de lunes a miércoles, bajo supervisión del Centro Vasco de Salto.</w:t>
      </w:r>
    </w:p>
    <w:p>
      <w:pPr>
        <w:pStyle w:val="Heading3"/>
        <w:keepNext/>
        <w:spacing w:after="120" w:before="200" w:line="240" w:lineRule="auto"/>
        <w:jc w:val="left"/>
      </w:pPr>
      <w:r>
        <w:rPr>
          <w:rFonts w:ascii="Times New Roman" w:cs="Times New Roman" w:eastAsia="Times New Roman" w:hAnsi="Times New Roman"/>
          <w:b/>
          <w:bCs/>
          <w:i/>
          <w:iCs/>
          <w:color w:val="000000"/>
          <w:sz w:val="24"/>
          <w:szCs w:val="24"/>
        </w:rPr>
        <w:t xml:space="preserve">6.4.3. Gestión de proveedores y reservas</w:t>
      </w:r>
    </w:p>
    <w:p>
      <w:pPr>
        <w:keepNext w:val="false"/>
        <w:spacing w:after="160" w:line="240" w:lineRule="auto"/>
        <w:jc w:val="both"/>
      </w:pPr>
      <w:r>
        <w:rPr>
          <w:rFonts w:ascii="Times New Roman" w:cs="Times New Roman" w:eastAsia="Times New Roman" w:hAnsi="Times New Roman"/>
          <w:b w:val="false"/>
          <w:bCs w:val="false"/>
          <w:i w:val="false"/>
          <w:iCs w:val="false"/>
          <w:color w:val="000000"/>
          <w:sz w:val="24"/>
          <w:szCs w:val="24"/>
        </w:rPr>
        <w:t xml:space="preserve">El Comité de Gestión centraliza los acuerdos con las tres bodegas asociadas, los proveedores gastronómicos locales y la empresa de transporte, mediante convenios anuales que fijan cupos mínimos, estándares de calidad y condiciones de pago. El motor de reservas de la app asigna automáticamente los turnos disponibles en cada bodega según capacidad declarada, evitando la sobreventa; los cambios o cancelaciones con menos de 24 horas de anticipación se gestionan según la política de cancelación publicada en el sitio web.</w:t>
      </w:r>
    </w:p>
    <w:p>
      <w:pPr>
        <w:pStyle w:val="Heading3"/>
        <w:keepNext/>
        <w:spacing w:after="120" w:before="200" w:line="240" w:lineRule="auto"/>
        <w:jc w:val="left"/>
      </w:pPr>
      <w:r>
        <w:rPr>
          <w:rFonts w:ascii="Times New Roman" w:cs="Times New Roman" w:eastAsia="Times New Roman" w:hAnsi="Times New Roman"/>
          <w:b/>
          <w:bCs/>
          <w:i/>
          <w:iCs/>
          <w:color w:val="000000"/>
          <w:sz w:val="24"/>
          <w:szCs w:val="24"/>
        </w:rPr>
        <w:t xml:space="preserve">6.4.4. Protocolos de seguridad, accesibilidad y contingencia climática</w:t>
      </w:r>
    </w:p>
    <w:p>
      <w:pPr>
        <w:keepNext w:val="false"/>
        <w:spacing w:after="160" w:line="240" w:lineRule="auto"/>
        <w:jc w:val="both"/>
      </w:pPr>
      <w:r>
        <w:rPr>
          <w:rFonts w:ascii="Times New Roman" w:cs="Times New Roman" w:eastAsia="Times New Roman" w:hAnsi="Times New Roman"/>
          <w:b w:val="false"/>
          <w:bCs w:val="false"/>
          <w:i w:val="false"/>
          <w:iCs w:val="false"/>
          <w:color w:val="000000"/>
          <w:sz w:val="24"/>
          <w:szCs w:val="24"/>
        </w:rPr>
        <w:t xml:space="preserve">En cumplimiento del principio de accesibilidad de la Ley N.° 19.253, cada estación cuenta con un recorrido alternativo apto para personas con movilidad reducida y material interpretativo en formatos accesibles. Ante lluvias que afecten la caminería rural de Colonia Osimani o Parada Daymán, el protocolo de contingencia prevé: (a) confirmación del estado de las vías con la Intendencia de Salto antes de las 07:00 del día de salida; (b) reemplazo de las estaciones rurales por la Estación 1 (Espacio Harriague, de acceso pavimentado) y una bodega alcanzable por ruta asfaltada; (c) comunicación inmediata a los pasajeros y hoteles asociados por la app y por mensaje de texto. Los conductores y guías reciben formación en primeros auxilios básicos como parte de la malla curricular de 120 horas (6.3).</w:t>
      </w:r>
    </w:p>
    <w:p>
      <w:pPr>
        <w:pStyle w:val="Heading2"/>
        <w:keepNext/>
        <w:spacing w:after="160" w:before="240" w:line="240" w:lineRule="auto"/>
        <w:jc w:val="left"/>
      </w:pPr>
      <w:r>
        <w:rPr>
          <w:rFonts w:ascii="Times New Roman" w:cs="Times New Roman" w:eastAsia="Times New Roman" w:hAnsi="Times New Roman"/>
          <w:b/>
          <w:bCs/>
          <w:i w:val="false"/>
          <w:iCs w:val="false"/>
          <w:color w:val="000000"/>
          <w:sz w:val="24"/>
          <w:szCs w:val="24"/>
        </w:rPr>
        <w:t xml:space="preserve">6.5. Planificación Financiera</w:t>
      </w:r>
    </w:p>
    <w:p>
      <w:pPr>
        <w:pStyle w:val="Heading3"/>
        <w:keepNext/>
        <w:spacing w:after="120" w:before="200" w:line="240" w:lineRule="auto"/>
        <w:jc w:val="left"/>
      </w:pPr>
      <w:r>
        <w:rPr>
          <w:rFonts w:ascii="Times New Roman" w:cs="Times New Roman" w:eastAsia="Times New Roman" w:hAnsi="Times New Roman"/>
          <w:b/>
          <w:bCs/>
          <w:i/>
          <w:iCs/>
          <w:color w:val="000000"/>
          <w:sz w:val="24"/>
          <w:szCs w:val="24"/>
        </w:rPr>
        <w:t xml:space="preserve">6.5.1. Análisis de Costos</w:t>
      </w:r>
    </w:p>
    <w:p>
      <w:pPr>
        <w:keepNext w:val="false"/>
        <w:spacing w:after="160" w:line="240" w:lineRule="auto"/>
        <w:jc w:val="both"/>
      </w:pPr>
      <w:r>
        <w:rPr>
          <w:rFonts w:ascii="Times New Roman" w:cs="Times New Roman" w:eastAsia="Times New Roman" w:hAnsi="Times New Roman"/>
          <w:b w:val="false"/>
          <w:bCs w:val="false"/>
          <w:i w:val="false"/>
          <w:iCs w:val="false"/>
          <w:color w:val="000000"/>
          <w:sz w:val="24"/>
          <w:szCs w:val="24"/>
        </w:rPr>
        <w:t xml:space="preserve">Costos fijos del Comité de Gestión (mensuales): coordinador del circuito y reservas (USD 200); publicidad digital y redes sociales (USD 450); soporte del portal web y motor de reservas (USD 150); seguro de responsabilidad civil turística colectiva (USD 200). Total mensual: USD 2.000 (anualizado: USD 24.000).</w:t>
      </w:r>
    </w:p>
    <w:p>
      <w:pPr>
        <w:keepNext w:val="false"/>
        <w:spacing w:after="160" w:line="240" w:lineRule="auto"/>
        <w:jc w:val="both"/>
      </w:pPr>
      <w:r>
        <w:rPr>
          <w:rFonts w:ascii="Times New Roman" w:cs="Times New Roman" w:eastAsia="Times New Roman" w:hAnsi="Times New Roman"/>
          <w:b w:val="false"/>
          <w:bCs w:val="false"/>
          <w:i w:val="false"/>
          <w:iCs w:val="false"/>
          <w:color w:val="000000"/>
          <w:sz w:val="24"/>
          <w:szCs w:val="24"/>
        </w:rPr>
        <w:t xml:space="preserve">Costos variables por turista (Paquete 1): logística y transporte (USD 8); copa de obsequio, vino y tabla de quesos (USD 12); honorario proporcional del guía (USD 5); comisión al conserje del hotel (10% del PVP, USD 4); folleto interpretativo y bolsa de transporte (USD 1). Total: USD 30 por turista.</w:t>
      </w:r>
    </w:p>
    <w:p>
      <w:pPr>
        <w:pStyle w:val="Heading3"/>
        <w:keepNext/>
        <w:spacing w:after="120" w:before="200" w:line="240" w:lineRule="auto"/>
        <w:jc w:val="left"/>
      </w:pPr>
      <w:r>
        <w:rPr>
          <w:rFonts w:ascii="Times New Roman" w:cs="Times New Roman" w:eastAsia="Times New Roman" w:hAnsi="Times New Roman"/>
          <w:b/>
          <w:bCs/>
          <w:i/>
          <w:iCs/>
          <w:color w:val="000000"/>
          <w:sz w:val="24"/>
          <w:szCs w:val="24"/>
        </w:rPr>
        <w:t xml:space="preserve">6.5.2. Proyecciones</w:t>
      </w:r>
    </w:p>
    <w:p>
      <w:pPr>
        <w:keepNext/>
        <w:spacing w:after="0" w:before="200" w:line="240" w:lineRule="auto"/>
        <w:jc w:val="left"/>
      </w:pPr>
      <w:r>
        <w:rPr>
          <w:rFonts w:ascii="Times New Roman" w:cs="Times New Roman" w:eastAsia="Times New Roman" w:hAnsi="Times New Roman"/>
          <w:b w:val="false"/>
          <w:bCs w:val="false"/>
          <w:i w:val="false"/>
          <w:iCs w:val="false"/>
          <w:color w:val="000000"/>
          <w:sz w:val="24"/>
          <w:szCs w:val="24"/>
        </w:rPr>
        <w:t xml:space="preserve">Tabla 10</w:t>
      </w:r>
    </w:p>
    <w:p>
      <w:pPr>
        <w:keepNext/>
        <w:spacing w:after="120" w:before="0" w:line="240" w:lineRule="auto"/>
        <w:jc w:val="left"/>
      </w:pPr>
      <w:r>
        <w:rPr>
          <w:rFonts w:ascii="Times New Roman" w:cs="Times New Roman" w:eastAsia="Times New Roman" w:hAnsi="Times New Roman"/>
          <w:b w:val="false"/>
          <w:bCs w:val="false"/>
          <w:i/>
          <w:iCs/>
          <w:color w:val="000000"/>
          <w:sz w:val="24"/>
          <w:szCs w:val="24"/>
        </w:rPr>
        <w:t xml:space="preserve">Proyección financiera a cinco años</w:t>
      </w:r>
    </w:p>
    <w:tbl>
      <w:tblPr>
        <w:tblW w:type="dxa" w:w="8504"/>
        <w:tblBorders>
          <w:top w:val="single" w:color="000000" w:sz="4"/>
          <w:left w:val="single" w:color="000000" w:sz="4"/>
          <w:bottom w:val="single" w:color="000000" w:sz="4"/>
          <w:right w:val="single" w:color="000000" w:sz="4"/>
          <w:insideH w:val="single" w:color="999999" w:sz="2"/>
          <w:insideV w:val="single" w:color="999999" w:sz="2"/>
        </w:tblBorders>
      </w:tblPr>
      <w:tblGrid>
        <w:gridCol w:w="2958"/>
        <w:gridCol w:w="1109"/>
        <w:gridCol w:w="1109"/>
        <w:gridCol w:w="1109"/>
        <w:gridCol w:w="1109"/>
        <w:gridCol w:w="1109"/>
      </w:tblGrid>
      <w:tr>
        <w:trPr>
          <w:cantSplit/>
        </w:trPr>
        <w:tc>
          <w:tcPr>
            <w:tcW w:type="dxa" w:w="2958"/>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i w:val="false"/>
                <w:iCs w:val="false"/>
                <w:color w:val="000000"/>
                <w:sz w:val="22"/>
                <w:szCs w:val="22"/>
              </w:rPr>
              <w:t xml:space="preserve">Concepto</w:t>
            </w:r>
          </w:p>
        </w:tc>
        <w:tc>
          <w:tcPr>
            <w:tcW w:type="dxa" w:w="1109"/>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i w:val="false"/>
                <w:iCs w:val="false"/>
                <w:color w:val="000000"/>
                <w:sz w:val="22"/>
                <w:szCs w:val="22"/>
              </w:rPr>
              <w:t xml:space="preserve">Año 1</w:t>
            </w:r>
          </w:p>
        </w:tc>
        <w:tc>
          <w:tcPr>
            <w:tcW w:type="dxa" w:w="1109"/>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i w:val="false"/>
                <w:iCs w:val="false"/>
                <w:color w:val="000000"/>
                <w:sz w:val="22"/>
                <w:szCs w:val="22"/>
              </w:rPr>
              <w:t xml:space="preserve">Año 2</w:t>
            </w:r>
          </w:p>
        </w:tc>
        <w:tc>
          <w:tcPr>
            <w:tcW w:type="dxa" w:w="1109"/>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i w:val="false"/>
                <w:iCs w:val="false"/>
                <w:color w:val="000000"/>
                <w:sz w:val="22"/>
                <w:szCs w:val="22"/>
              </w:rPr>
              <w:t xml:space="preserve">Año 3</w:t>
            </w:r>
          </w:p>
        </w:tc>
        <w:tc>
          <w:tcPr>
            <w:tcW w:type="dxa" w:w="1109"/>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i w:val="false"/>
                <w:iCs w:val="false"/>
                <w:color w:val="000000"/>
                <w:sz w:val="22"/>
                <w:szCs w:val="22"/>
              </w:rPr>
              <w:t xml:space="preserve">Año 4</w:t>
            </w:r>
          </w:p>
        </w:tc>
        <w:tc>
          <w:tcPr>
            <w:tcW w:type="dxa" w:w="1109"/>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i w:val="false"/>
                <w:iCs w:val="false"/>
                <w:color w:val="000000"/>
                <w:sz w:val="22"/>
                <w:szCs w:val="22"/>
              </w:rPr>
              <w:t xml:space="preserve">Año 5</w:t>
            </w:r>
          </w:p>
        </w:tc>
      </w:tr>
      <w:tr>
        <w:trPr>
          <w:cantSplit/>
        </w:trPr>
        <w:tc>
          <w:tcPr>
            <w:tcW w:type="dxa" w:w="2958"/>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Turistas captados</w:t>
            </w:r>
          </w:p>
        </w:tc>
        <w:tc>
          <w:tcPr>
            <w:tcW w:type="dxa" w:w="1109"/>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3.630</w:t>
            </w:r>
          </w:p>
        </w:tc>
        <w:tc>
          <w:tcPr>
            <w:tcW w:type="dxa" w:w="1109"/>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4.500</w:t>
            </w:r>
          </w:p>
        </w:tc>
        <w:tc>
          <w:tcPr>
            <w:tcW w:type="dxa" w:w="1109"/>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5.400</w:t>
            </w:r>
          </w:p>
        </w:tc>
        <w:tc>
          <w:tcPr>
            <w:tcW w:type="dxa" w:w="1109"/>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6.200</w:t>
            </w:r>
          </w:p>
        </w:tc>
        <w:tc>
          <w:tcPr>
            <w:tcW w:type="dxa" w:w="1109"/>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7.000</w:t>
            </w:r>
          </w:p>
        </w:tc>
      </w:tr>
      <w:tr>
        <w:trPr>
          <w:cantSplit/>
        </w:trPr>
        <w:tc>
          <w:tcPr>
            <w:tcW w:type="dxa" w:w="2958"/>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Precio promedio (USD)</w:t>
            </w:r>
          </w:p>
        </w:tc>
        <w:tc>
          <w:tcPr>
            <w:tcW w:type="dxa" w:w="1109"/>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45,00</w:t>
            </w:r>
          </w:p>
        </w:tc>
        <w:tc>
          <w:tcPr>
            <w:tcW w:type="dxa" w:w="1109"/>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45,00</w:t>
            </w:r>
          </w:p>
        </w:tc>
        <w:tc>
          <w:tcPr>
            <w:tcW w:type="dxa" w:w="1109"/>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48,00</w:t>
            </w:r>
          </w:p>
        </w:tc>
        <w:tc>
          <w:tcPr>
            <w:tcW w:type="dxa" w:w="1109"/>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48,00</w:t>
            </w:r>
          </w:p>
        </w:tc>
        <w:tc>
          <w:tcPr>
            <w:tcW w:type="dxa" w:w="1109"/>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50,00</w:t>
            </w:r>
          </w:p>
        </w:tc>
      </w:tr>
      <w:tr>
        <w:trPr>
          <w:cantSplit/>
        </w:trPr>
        <w:tc>
          <w:tcPr>
            <w:tcW w:type="dxa" w:w="2958"/>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Ingresos totales (USD)</w:t>
            </w:r>
          </w:p>
        </w:tc>
        <w:tc>
          <w:tcPr>
            <w:tcW w:type="dxa" w:w="1109"/>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163.350</w:t>
            </w:r>
          </w:p>
        </w:tc>
        <w:tc>
          <w:tcPr>
            <w:tcW w:type="dxa" w:w="1109"/>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202.500</w:t>
            </w:r>
          </w:p>
        </w:tc>
        <w:tc>
          <w:tcPr>
            <w:tcW w:type="dxa" w:w="1109"/>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259.200</w:t>
            </w:r>
          </w:p>
        </w:tc>
        <w:tc>
          <w:tcPr>
            <w:tcW w:type="dxa" w:w="1109"/>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297.600</w:t>
            </w:r>
          </w:p>
        </w:tc>
        <w:tc>
          <w:tcPr>
            <w:tcW w:type="dxa" w:w="1109"/>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350.000</w:t>
            </w:r>
          </w:p>
        </w:tc>
      </w:tr>
      <w:tr>
        <w:trPr>
          <w:cantSplit/>
        </w:trPr>
        <w:tc>
          <w:tcPr>
            <w:tcW w:type="dxa" w:w="2958"/>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Costos variables (USD)</w:t>
            </w:r>
          </w:p>
        </w:tc>
        <w:tc>
          <w:tcPr>
            <w:tcW w:type="dxa" w:w="1109"/>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108.900</w:t>
            </w:r>
          </w:p>
        </w:tc>
        <w:tc>
          <w:tcPr>
            <w:tcW w:type="dxa" w:w="1109"/>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135.000</w:t>
            </w:r>
          </w:p>
        </w:tc>
        <w:tc>
          <w:tcPr>
            <w:tcW w:type="dxa" w:w="1109"/>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162.000</w:t>
            </w:r>
          </w:p>
        </w:tc>
        <w:tc>
          <w:tcPr>
            <w:tcW w:type="dxa" w:w="1109"/>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186.000</w:t>
            </w:r>
          </w:p>
        </w:tc>
        <w:tc>
          <w:tcPr>
            <w:tcW w:type="dxa" w:w="1109"/>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210.000</w:t>
            </w:r>
          </w:p>
        </w:tc>
      </w:tr>
      <w:tr>
        <w:trPr>
          <w:cantSplit/>
        </w:trPr>
        <w:tc>
          <w:tcPr>
            <w:tcW w:type="dxa" w:w="2958"/>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Costos fijos (USD)</w:t>
            </w:r>
          </w:p>
        </w:tc>
        <w:tc>
          <w:tcPr>
            <w:tcW w:type="dxa" w:w="1109"/>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24.000</w:t>
            </w:r>
          </w:p>
        </w:tc>
        <w:tc>
          <w:tcPr>
            <w:tcW w:type="dxa" w:w="1109"/>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24.000</w:t>
            </w:r>
          </w:p>
        </w:tc>
        <w:tc>
          <w:tcPr>
            <w:tcW w:type="dxa" w:w="1109"/>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26.000</w:t>
            </w:r>
          </w:p>
        </w:tc>
        <w:tc>
          <w:tcPr>
            <w:tcW w:type="dxa" w:w="1109"/>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26.000</w:t>
            </w:r>
          </w:p>
        </w:tc>
        <w:tc>
          <w:tcPr>
            <w:tcW w:type="dxa" w:w="1109"/>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28.000</w:t>
            </w:r>
          </w:p>
        </w:tc>
      </w:tr>
      <w:tr>
        <w:trPr>
          <w:cantSplit/>
        </w:trPr>
        <w:tc>
          <w:tcPr>
            <w:tcW w:type="dxa" w:w="2958"/>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Flujo de caja neto (USD)</w:t>
            </w:r>
          </w:p>
        </w:tc>
        <w:tc>
          <w:tcPr>
            <w:tcW w:type="dxa" w:w="1109"/>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30.450</w:t>
            </w:r>
          </w:p>
        </w:tc>
        <w:tc>
          <w:tcPr>
            <w:tcW w:type="dxa" w:w="1109"/>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43.500</w:t>
            </w:r>
          </w:p>
        </w:tc>
        <w:tc>
          <w:tcPr>
            <w:tcW w:type="dxa" w:w="1109"/>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71.200</w:t>
            </w:r>
          </w:p>
        </w:tc>
        <w:tc>
          <w:tcPr>
            <w:tcW w:type="dxa" w:w="1109"/>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85.600</w:t>
            </w:r>
          </w:p>
        </w:tc>
        <w:tc>
          <w:tcPr>
            <w:tcW w:type="dxa" w:w="1109"/>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112.000</w:t>
            </w:r>
          </w:p>
        </w:tc>
      </w:tr>
    </w:tbl>
    <w:p>
      <w:pPr>
        <w:spacing w:after="160"/>
      </w:pPr>
    </w:p>
    <w:p>
      <w:pPr>
        <w:spacing w:after="200" w:before="80" w:line="240" w:lineRule="auto"/>
        <w:jc w:val="left"/>
      </w:pPr>
      <w:r>
        <w:rPr>
          <w:rFonts w:ascii="Times New Roman" w:cs="Times New Roman" w:eastAsia="Times New Roman" w:hAnsi="Times New Roman"/>
          <w:b w:val="false"/>
          <w:bCs w:val="false"/>
          <w:i/>
          <w:iCs/>
          <w:color w:val="000000"/>
          <w:sz w:val="22"/>
          <w:szCs w:val="22"/>
        </w:rPr>
        <w:t xml:space="preserve">Nota.</w:t>
      </w:r>
      <w:r>
        <w:rPr>
          <w:rFonts w:ascii="Times New Roman" w:cs="Times New Roman" w:eastAsia="Times New Roman" w:hAnsi="Times New Roman"/>
          <w:b w:val="false"/>
          <w:bCs w:val="false"/>
          <w:i w:val="false"/>
          <w:iCs w:val="false"/>
          <w:color w:val="000000"/>
          <w:sz w:val="22"/>
          <w:szCs w:val="22"/>
        </w:rPr>
        <w:t xml:space="preserve"> Elaboración propia.</w:t>
      </w:r>
    </w:p>
    <w:p>
      <w:pPr>
        <w:keepNext w:val="false"/>
        <w:spacing w:after="160" w:line="240" w:lineRule="auto"/>
        <w:jc w:val="both"/>
      </w:pPr>
      <w:r>
        <w:rPr>
          <w:rFonts w:ascii="Times New Roman" w:cs="Times New Roman" w:eastAsia="Times New Roman" w:hAnsi="Times New Roman"/>
          <w:b w:val="false"/>
          <w:bCs w:val="false"/>
          <w:i w:val="false"/>
          <w:iCs w:val="false"/>
          <w:color w:val="000000"/>
          <w:sz w:val="24"/>
          <w:szCs w:val="24"/>
        </w:rPr>
        <w:t xml:space="preserve">El Año 1 proyecta captar 3.630 turistas, equivalentes a solo el 0,8% de los 453.936 visitantes que recibe anualmente el Litoral Termal.</w:t>
      </w:r>
    </w:p>
    <w:p>
      <w:pPr>
        <w:pStyle w:val="Heading3"/>
        <w:keepNext/>
        <w:spacing w:after="120" w:before="200" w:line="240" w:lineRule="auto"/>
        <w:jc w:val="left"/>
      </w:pPr>
      <w:r>
        <w:rPr>
          <w:rFonts w:ascii="Times New Roman" w:cs="Times New Roman" w:eastAsia="Times New Roman" w:hAnsi="Times New Roman"/>
          <w:b/>
          <w:bCs/>
          <w:i/>
          <w:iCs/>
          <w:color w:val="000000"/>
          <w:sz w:val="24"/>
          <w:szCs w:val="24"/>
        </w:rPr>
        <w:t xml:space="preserve">6.5.3. Punto de Equilibrio</w:t>
      </w:r>
    </w:p>
    <w:p>
      <w:pPr>
        <w:keepNext w:val="false"/>
        <w:spacing w:after="160" w:line="240" w:lineRule="auto"/>
        <w:jc w:val="both"/>
      </w:pPr>
      <w:r>
        <w:rPr>
          <w:rFonts w:ascii="Times New Roman" w:cs="Times New Roman" w:eastAsia="Times New Roman" w:hAnsi="Times New Roman"/>
          <w:b w:val="false"/>
          <w:bCs w:val="false"/>
          <w:i w:val="false"/>
          <w:iCs w:val="false"/>
          <w:color w:val="000000"/>
          <w:sz w:val="24"/>
          <w:szCs w:val="24"/>
        </w:rPr>
        <w:t xml:space="preserve">El punto de equilibrio anual en volumen de pasajeros se calcula como PE = CF / (PVU − CVU), donde CF son los Costos Fijos Anuales (USD 24.000), PVU es el Precio de Venta Unitario del Paquete 1 (USD 45) y CVU es el Costo Variable Unitario (USD 30). Sustituyendo: PE = 24.000 / (45 − 30) = 24.000 / 15 = 1.600 turistas al año.</w:t>
      </w:r>
    </w:p>
    <w:p>
      <w:pPr>
        <w:keepNext w:val="false"/>
        <w:spacing w:after="160" w:line="240" w:lineRule="auto"/>
        <w:jc w:val="both"/>
      </w:pPr>
      <w:r>
        <w:rPr>
          <w:rFonts w:ascii="Times New Roman" w:cs="Times New Roman" w:eastAsia="Times New Roman" w:hAnsi="Times New Roman"/>
          <w:b w:val="false"/>
          <w:bCs w:val="false"/>
          <w:i w:val="false"/>
          <w:iCs w:val="false"/>
          <w:color w:val="000000"/>
          <w:sz w:val="24"/>
          <w:szCs w:val="24"/>
        </w:rPr>
        <w:t xml:space="preserve">El circuito requiere captar un mínimo de 1.600 turistas anuales (aproximadamente 133 por mes, o 33 por fin de semana de operación) para equilibrar sus costos. Frente al volumen de más de 450.000 personas que anualmente componen la demanda del corredor termal, la probabilidad de superar el punto de equilibrio es alta, exigiendo captar solo el 0,35% del mercado potencial.</w:t>
      </w:r>
    </w:p>
    <w:p>
      <w:pPr>
        <w:pStyle w:val="Heading3"/>
        <w:keepNext/>
        <w:spacing w:after="120" w:before="200" w:line="240" w:lineRule="auto"/>
        <w:jc w:val="left"/>
      </w:pPr>
      <w:r>
        <w:rPr>
          <w:rFonts w:ascii="Times New Roman" w:cs="Times New Roman" w:eastAsia="Times New Roman" w:hAnsi="Times New Roman"/>
          <w:b/>
          <w:bCs/>
          <w:i/>
          <w:iCs/>
          <w:color w:val="000000"/>
          <w:sz w:val="24"/>
          <w:szCs w:val="24"/>
        </w:rPr>
        <w:t xml:space="preserve">6.5.4. ROI e Indicadores</w:t>
      </w:r>
    </w:p>
    <w:p>
      <w:pPr>
        <w:keepNext w:val="false"/>
        <w:spacing w:after="160" w:line="240" w:lineRule="auto"/>
        <w:jc w:val="both"/>
      </w:pPr>
      <w:r>
        <w:rPr>
          <w:rFonts w:ascii="Times New Roman" w:cs="Times New Roman" w:eastAsia="Times New Roman" w:hAnsi="Times New Roman"/>
          <w:b w:val="false"/>
          <w:bCs w:val="false"/>
          <w:i w:val="false"/>
          <w:iCs w:val="false"/>
          <w:color w:val="000000"/>
          <w:sz w:val="24"/>
          <w:szCs w:val="24"/>
        </w:rPr>
        <w:t xml:space="preserve">Sobre una inversión inicial de USD 45.000 (desarrollo de la plataforma de reservas, mobiliario de cata, cartelería interpretativa y campaña de prelanzamiento), el retorno de la inversión del Año 1 se calcula como ROI = (Flujo de caja neto / Inversión inicial) × 100 = (30.450 / 45.000) × 100 ≈ 67,7%.</w:t>
      </w:r>
    </w:p>
    <w:p>
      <w:pPr>
        <w:keepNext w:val="false"/>
        <w:spacing w:after="160" w:line="240" w:lineRule="auto"/>
        <w:jc w:val="both"/>
      </w:pPr>
      <w:r>
        <w:rPr>
          <w:rFonts w:ascii="Times New Roman" w:cs="Times New Roman" w:eastAsia="Times New Roman" w:hAnsi="Times New Roman"/>
          <w:b w:val="false"/>
          <w:bCs w:val="false"/>
          <w:i w:val="false"/>
          <w:iCs w:val="false"/>
          <w:color w:val="000000"/>
          <w:sz w:val="24"/>
          <w:szCs w:val="24"/>
        </w:rPr>
        <w:t xml:space="preserve">A un horizonte de 5 años y una tasa de descuento del 12%, el Valor Actual Neto (VAN) alcanza USD 192.418, confirmando la viabilidad económica del proyecto. La Tasa Interna de Retorno (TIR) se sitúa en 84%, valor elevado derivado de la estructura ligera de activos fijos, que aprovecha infraestructura hotelera, vial y de bodegas ya existente en el departamento.</w:t>
      </w:r>
    </w:p>
    <w:p>
      <w:pPr>
        <w:pStyle w:val="Heading3"/>
        <w:keepNext/>
        <w:spacing w:after="120" w:before="200" w:line="240" w:lineRule="auto"/>
        <w:jc w:val="left"/>
      </w:pPr>
      <w:r>
        <w:rPr>
          <w:rFonts w:ascii="Times New Roman" w:cs="Times New Roman" w:eastAsia="Times New Roman" w:hAnsi="Times New Roman"/>
          <w:b/>
          <w:bCs/>
          <w:i/>
          <w:iCs/>
          <w:color w:val="000000"/>
          <w:sz w:val="24"/>
          <w:szCs w:val="24"/>
        </w:rPr>
        <w:t xml:space="preserve">6.5.5. Fuentes de Inversión</w:t>
      </w:r>
    </w:p>
    <w:p>
      <w:pPr>
        <w:keepNext/>
        <w:spacing w:after="0" w:before="200" w:line="240" w:lineRule="auto"/>
        <w:jc w:val="left"/>
      </w:pPr>
      <w:r>
        <w:rPr>
          <w:rFonts w:ascii="Times New Roman" w:cs="Times New Roman" w:eastAsia="Times New Roman" w:hAnsi="Times New Roman"/>
          <w:b w:val="false"/>
          <w:bCs w:val="false"/>
          <w:i w:val="false"/>
          <w:iCs w:val="false"/>
          <w:color w:val="000000"/>
          <w:sz w:val="24"/>
          <w:szCs w:val="24"/>
        </w:rPr>
        <w:t xml:space="preserve">Tabla 11</w:t>
      </w:r>
    </w:p>
    <w:p>
      <w:pPr>
        <w:keepNext/>
        <w:spacing w:after="120" w:before="0" w:line="240" w:lineRule="auto"/>
        <w:jc w:val="left"/>
      </w:pPr>
      <w:r>
        <w:rPr>
          <w:rFonts w:ascii="Times New Roman" w:cs="Times New Roman" w:eastAsia="Times New Roman" w:hAnsi="Times New Roman"/>
          <w:b w:val="false"/>
          <w:bCs w:val="false"/>
          <w:i/>
          <w:iCs/>
          <w:color w:val="000000"/>
          <w:sz w:val="24"/>
          <w:szCs w:val="24"/>
        </w:rPr>
        <w:t xml:space="preserve">Fuentes de inversión inicial</w:t>
      </w:r>
    </w:p>
    <w:tbl>
      <w:tblPr>
        <w:tblW w:type="dxa" w:w="8504"/>
        <w:tblBorders>
          <w:top w:val="single" w:color="000000" w:sz="4"/>
          <w:left w:val="single" w:color="000000" w:sz="4"/>
          <w:bottom w:val="single" w:color="000000" w:sz="4"/>
          <w:right w:val="single" w:color="000000" w:sz="4"/>
          <w:insideH w:val="single" w:color="999999" w:sz="2"/>
          <w:insideV w:val="single" w:color="999999" w:sz="2"/>
        </w:tblBorders>
      </w:tblPr>
      <w:tblGrid>
        <w:gridCol w:w="3610"/>
        <w:gridCol w:w="979"/>
        <w:gridCol w:w="3916"/>
      </w:tblGrid>
      <w:tr>
        <w:trPr>
          <w:cantSplit/>
        </w:trPr>
        <w:tc>
          <w:tcPr>
            <w:tcW w:type="dxa" w:w="3610"/>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i w:val="false"/>
                <w:iCs w:val="false"/>
                <w:color w:val="000000"/>
                <w:sz w:val="22"/>
                <w:szCs w:val="22"/>
              </w:rPr>
              <w:t xml:space="preserve">Fuente</w:t>
            </w:r>
          </w:p>
        </w:tc>
        <w:tc>
          <w:tcPr>
            <w:tcW w:type="dxa" w:w="979"/>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i w:val="false"/>
                <w:iCs w:val="false"/>
                <w:color w:val="000000"/>
                <w:sz w:val="22"/>
                <w:szCs w:val="22"/>
              </w:rPr>
              <w:t xml:space="preserve">% / Monto</w:t>
            </w:r>
          </w:p>
        </w:tc>
        <w:tc>
          <w:tcPr>
            <w:tcW w:type="dxa" w:w="3916"/>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i w:val="false"/>
                <w:iCs w:val="false"/>
                <w:color w:val="000000"/>
                <w:sz w:val="22"/>
                <w:szCs w:val="22"/>
              </w:rPr>
              <w:t xml:space="preserve">Destino</w:t>
            </w:r>
          </w:p>
        </w:tc>
      </w:tr>
      <w:tr>
        <w:trPr>
          <w:cantSplit/>
        </w:trPr>
        <w:tc>
          <w:tcPr>
            <w:tcW w:type="dxa" w:w="3610"/>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Fondo Concursable Nacional MINTUR/INAVI</w:t>
            </w:r>
          </w:p>
        </w:tc>
        <w:tc>
          <w:tcPr>
            <w:tcW w:type="dxa" w:w="979"/>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60% — USD 27.000</w:t>
            </w:r>
          </w:p>
        </w:tc>
        <w:tc>
          <w:tcPr>
            <w:tcW w:type="dxa" w:w="3916"/>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Portal digital, app móvil y cartelería interpretativa</w:t>
            </w:r>
          </w:p>
        </w:tc>
      </w:tr>
      <w:tr>
        <w:trPr>
          <w:cantSplit/>
        </w:trPr>
        <w:tc>
          <w:tcPr>
            <w:tcW w:type="dxa" w:w="3610"/>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Aporte de capital privado asociativo (bodegas)</w:t>
            </w:r>
          </w:p>
        </w:tc>
        <w:tc>
          <w:tcPr>
            <w:tcW w:type="dxa" w:w="979"/>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30% — USD 13.500</w:t>
            </w:r>
          </w:p>
        </w:tc>
        <w:tc>
          <w:tcPr>
            <w:tcW w:type="dxa" w:w="3916"/>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Equipamiento de cata y folletería inicial</w:t>
            </w:r>
          </w:p>
        </w:tc>
      </w:tr>
      <w:tr>
        <w:trPr>
          <w:cantSplit/>
        </w:trPr>
        <w:tc>
          <w:tcPr>
            <w:tcW w:type="dxa" w:w="3610"/>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Fideicomiso de Cooperación Municipal (Intendencia de Salto)</w:t>
            </w:r>
          </w:p>
        </w:tc>
        <w:tc>
          <w:tcPr>
            <w:tcW w:type="dxa" w:w="979"/>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10% — USD 4.500</w:t>
            </w:r>
          </w:p>
        </w:tc>
        <w:tc>
          <w:tcPr>
            <w:tcW w:type="dxa" w:w="3916"/>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Acondicionamiento de accesos y seguridad en el Espacio Harriague</w:t>
            </w:r>
          </w:p>
        </w:tc>
      </w:tr>
    </w:tbl>
    <w:p>
      <w:pPr>
        <w:spacing w:after="160"/>
      </w:pPr>
    </w:p>
    <w:p>
      <w:pPr>
        <w:spacing w:after="200" w:before="80" w:line="240" w:lineRule="auto"/>
        <w:jc w:val="left"/>
      </w:pPr>
      <w:r>
        <w:rPr>
          <w:rFonts w:ascii="Times New Roman" w:cs="Times New Roman" w:eastAsia="Times New Roman" w:hAnsi="Times New Roman"/>
          <w:b w:val="false"/>
          <w:bCs w:val="false"/>
          <w:i/>
          <w:iCs/>
          <w:color w:val="000000"/>
          <w:sz w:val="22"/>
          <w:szCs w:val="22"/>
        </w:rPr>
        <w:t xml:space="preserve">Nota.</w:t>
      </w:r>
      <w:r>
        <w:rPr>
          <w:rFonts w:ascii="Times New Roman" w:cs="Times New Roman" w:eastAsia="Times New Roman" w:hAnsi="Times New Roman"/>
          <w:b w:val="false"/>
          <w:bCs w:val="false"/>
          <w:i w:val="false"/>
          <w:iCs w:val="false"/>
          <w:color w:val="000000"/>
          <w:sz w:val="22"/>
          <w:szCs w:val="22"/>
        </w:rPr>
        <w:t xml:space="preserve"> Elaboración propia.</w:t>
      </w:r>
    </w:p>
    <w:p>
      <w:pPr>
        <w:pStyle w:val="Heading2"/>
        <w:keepNext/>
        <w:spacing w:after="160" w:before="240" w:line="240" w:lineRule="auto"/>
        <w:jc w:val="left"/>
      </w:pPr>
      <w:r>
        <w:rPr>
          <w:rFonts w:ascii="Times New Roman" w:cs="Times New Roman" w:eastAsia="Times New Roman" w:hAnsi="Times New Roman"/>
          <w:b/>
          <w:bCs/>
          <w:i w:val="false"/>
          <w:iCs w:val="false"/>
          <w:color w:val="000000"/>
          <w:sz w:val="24"/>
          <w:szCs w:val="24"/>
        </w:rPr>
        <w:t xml:space="preserve">6.6. Calendario de Implantación</w:t>
      </w:r>
    </w:p>
    <w:p>
      <w:pPr>
        <w:keepNext w:val="false"/>
        <w:spacing w:after="160" w:line="240" w:lineRule="auto"/>
        <w:jc w:val="both"/>
      </w:pPr>
      <w:r>
        <w:rPr>
          <w:rFonts w:ascii="Times New Roman" w:cs="Times New Roman" w:eastAsia="Times New Roman" w:hAnsi="Times New Roman"/>
          <w:b w:val="false"/>
          <w:bCs w:val="false"/>
          <w:i w:val="false"/>
          <w:iCs w:val="false"/>
          <w:color w:val="000000"/>
          <w:sz w:val="24"/>
          <w:szCs w:val="24"/>
        </w:rPr>
        <w:t xml:space="preserve">Cronograma de puesta en marcha del proyecto, desde la postulación a fondos hasta la operación regular. Los plazos son estimaciones a ajustar según los tiempos reales de resolución de cada convocatoria.</w:t>
      </w:r>
    </w:p>
    <w:p>
      <w:pPr>
        <w:keepNext/>
        <w:spacing w:after="0" w:before="200" w:line="240" w:lineRule="auto"/>
        <w:jc w:val="left"/>
      </w:pPr>
      <w:r>
        <w:rPr>
          <w:rFonts w:ascii="Times New Roman" w:cs="Times New Roman" w:eastAsia="Times New Roman" w:hAnsi="Times New Roman"/>
          <w:b w:val="false"/>
          <w:bCs w:val="false"/>
          <w:i w:val="false"/>
          <w:iCs w:val="false"/>
          <w:color w:val="000000"/>
          <w:sz w:val="24"/>
          <w:szCs w:val="24"/>
        </w:rPr>
        <w:t xml:space="preserve">Tabla 12</w:t>
      </w:r>
    </w:p>
    <w:p>
      <w:pPr>
        <w:keepNext/>
        <w:spacing w:after="120" w:before="0" w:line="240" w:lineRule="auto"/>
        <w:jc w:val="left"/>
      </w:pPr>
      <w:r>
        <w:rPr>
          <w:rFonts w:ascii="Times New Roman" w:cs="Times New Roman" w:eastAsia="Times New Roman" w:hAnsi="Times New Roman"/>
          <w:b w:val="false"/>
          <w:bCs w:val="false"/>
          <w:i/>
          <w:iCs/>
          <w:color w:val="000000"/>
          <w:sz w:val="24"/>
          <w:szCs w:val="24"/>
        </w:rPr>
        <w:t xml:space="preserve">Calendario de implantación del proyecto</w:t>
      </w:r>
    </w:p>
    <w:tbl>
      <w:tblPr>
        <w:tblW w:type="dxa" w:w="8504"/>
        <w:tblBorders>
          <w:top w:val="single" w:color="000000" w:sz="4"/>
          <w:left w:val="single" w:color="000000" w:sz="4"/>
          <w:bottom w:val="single" w:color="000000" w:sz="4"/>
          <w:right w:val="single" w:color="000000" w:sz="4"/>
          <w:insideH w:val="single" w:color="999999" w:sz="2"/>
          <w:insideV w:val="single" w:color="999999" w:sz="2"/>
        </w:tblBorders>
      </w:tblPr>
      <w:tblGrid>
        <w:gridCol w:w="843"/>
        <w:gridCol w:w="859"/>
        <w:gridCol w:w="5307"/>
        <w:gridCol w:w="1495"/>
      </w:tblGrid>
      <w:tr>
        <w:trPr>
          <w:cantSplit/>
        </w:trPr>
        <w:tc>
          <w:tcPr>
            <w:tcW w:type="dxa" w:w="843"/>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i w:val="false"/>
                <w:iCs w:val="false"/>
                <w:color w:val="000000"/>
                <w:sz w:val="22"/>
                <w:szCs w:val="22"/>
              </w:rPr>
              <w:t xml:space="preserve">Fase</w:t>
            </w:r>
          </w:p>
        </w:tc>
        <w:tc>
          <w:tcPr>
            <w:tcW w:type="dxa" w:w="859"/>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i w:val="false"/>
                <w:iCs w:val="false"/>
                <w:color w:val="000000"/>
                <w:sz w:val="22"/>
                <w:szCs w:val="22"/>
              </w:rPr>
              <w:t xml:space="preserve">Plazo estimado</w:t>
            </w:r>
          </w:p>
        </w:tc>
        <w:tc>
          <w:tcPr>
            <w:tcW w:type="dxa" w:w="5307"/>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i w:val="false"/>
                <w:iCs w:val="false"/>
                <w:color w:val="000000"/>
                <w:sz w:val="22"/>
                <w:szCs w:val="22"/>
              </w:rPr>
              <w:t xml:space="preserve">Actividades principales</w:t>
            </w:r>
          </w:p>
        </w:tc>
        <w:tc>
          <w:tcPr>
            <w:tcW w:type="dxa" w:w="1495"/>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i w:val="false"/>
                <w:iCs w:val="false"/>
                <w:color w:val="000000"/>
                <w:sz w:val="22"/>
                <w:szCs w:val="22"/>
              </w:rPr>
              <w:t xml:space="preserve">Responsable</w:t>
            </w:r>
          </w:p>
        </w:tc>
      </w:tr>
      <w:tr>
        <w:trPr>
          <w:cantSplit/>
        </w:trPr>
        <w:tc>
          <w:tcPr>
            <w:tcW w:type="dxa" w:w="843"/>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0</w:t>
            </w:r>
          </w:p>
        </w:tc>
        <w:tc>
          <w:tcPr>
            <w:tcW w:type="dxa" w:w="859"/>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Trimestre 1</w:t>
            </w:r>
          </w:p>
        </w:tc>
        <w:tc>
          <w:tcPr>
            <w:tcW w:type="dxa" w:w="5307"/>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Constitución formal del Comité de Gestión; convenios preliminares con las 3 bodegas, el Centro Vasco y hoteles de Daymán</w:t>
            </w:r>
          </w:p>
        </w:tc>
        <w:tc>
          <w:tcPr>
            <w:tcW w:type="dxa" w:w="1495"/>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Comité de Gestión / METS</w:t>
            </w:r>
          </w:p>
        </w:tc>
      </w:tr>
      <w:tr>
        <w:trPr>
          <w:cantSplit/>
        </w:trPr>
        <w:tc>
          <w:tcPr>
            <w:tcW w:type="dxa" w:w="843"/>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1</w:t>
            </w:r>
          </w:p>
        </w:tc>
        <w:tc>
          <w:tcPr>
            <w:tcW w:type="dxa" w:w="859"/>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Trimestre 1-2</w:t>
            </w:r>
          </w:p>
        </w:tc>
        <w:tc>
          <w:tcPr>
            <w:tcW w:type="dxa" w:w="5307"/>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Postulación al Fondo Concursable MINTUR-ANDE y al Fondo Enoturismo MINTUR-INAVI</w:t>
            </w:r>
          </w:p>
        </w:tc>
        <w:tc>
          <w:tcPr>
            <w:tcW w:type="dxa" w:w="1495"/>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Dirección Ejecutiva del Comité</w:t>
            </w:r>
          </w:p>
        </w:tc>
      </w:tr>
      <w:tr>
        <w:trPr>
          <w:cantSplit/>
        </w:trPr>
        <w:tc>
          <w:tcPr>
            <w:tcW w:type="dxa" w:w="843"/>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2</w:t>
            </w:r>
          </w:p>
        </w:tc>
        <w:tc>
          <w:tcPr>
            <w:tcW w:type="dxa" w:w="859"/>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Trimestre 2-3</w:t>
            </w:r>
          </w:p>
        </w:tc>
        <w:tc>
          <w:tcPr>
            <w:tcW w:type="dxa" w:w="5307"/>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Inicio de certificación Uruguay Sustainable Winegrowing en las bodegas participantes; adecuación de accesos peatonales en el Espacio Harriague</w:t>
            </w:r>
          </w:p>
        </w:tc>
        <w:tc>
          <w:tcPr>
            <w:tcW w:type="dxa" w:w="1495"/>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Bodegas asociadas / Intendencia de Salto</w:t>
            </w:r>
          </w:p>
        </w:tc>
      </w:tr>
      <w:tr>
        <w:trPr>
          <w:cantSplit/>
        </w:trPr>
        <w:tc>
          <w:tcPr>
            <w:tcW w:type="dxa" w:w="843"/>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3</w:t>
            </w:r>
          </w:p>
        </w:tc>
        <w:tc>
          <w:tcPr>
            <w:tcW w:type="dxa" w:w="859"/>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Trimestre 3</w:t>
            </w:r>
          </w:p>
        </w:tc>
        <w:tc>
          <w:tcPr>
            <w:tcW w:type="dxa" w:w="5307"/>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Desarrollo del portal web y la app móvil con motor de reservas y pasarela de pagos</w:t>
            </w:r>
          </w:p>
        </w:tc>
        <w:tc>
          <w:tcPr>
            <w:tcW w:type="dxa" w:w="1495"/>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Proveedor TI contratado</w:t>
            </w:r>
          </w:p>
        </w:tc>
      </w:tr>
      <w:tr>
        <w:trPr>
          <w:cantSplit/>
        </w:trPr>
        <w:tc>
          <w:tcPr>
            <w:tcW w:type="dxa" w:w="843"/>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4</w:t>
            </w:r>
          </w:p>
        </w:tc>
        <w:tc>
          <w:tcPr>
            <w:tcW w:type="dxa" w:w="859"/>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Trimestre 3-4</w:t>
            </w:r>
          </w:p>
        </w:tc>
        <w:tc>
          <w:tcPr>
            <w:tcW w:type="dxa" w:w="5307"/>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Capacitación de 120 horas para guías, choferes y personal de bodegas (CENUR Litoral Norte / UTU)</w:t>
            </w:r>
          </w:p>
        </w:tc>
        <w:tc>
          <w:tcPr>
            <w:tcW w:type="dxa" w:w="1495"/>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Consejo Consultivo Técnico</w:t>
            </w:r>
          </w:p>
        </w:tc>
      </w:tr>
      <w:tr>
        <w:trPr>
          <w:cantSplit/>
        </w:trPr>
        <w:tc>
          <w:tcPr>
            <w:tcW w:type="dxa" w:w="843"/>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5</w:t>
            </w:r>
          </w:p>
        </w:tc>
        <w:tc>
          <w:tcPr>
            <w:tcW w:type="dxa" w:w="859"/>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Trimestre 4</w:t>
            </w:r>
          </w:p>
        </w:tc>
        <w:tc>
          <w:tcPr>
            <w:tcW w:type="dxa" w:w="5307"/>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Campaña de prelanzamiento digital y presentación en la Semana de Harriague</w:t>
            </w:r>
          </w:p>
        </w:tc>
        <w:tc>
          <w:tcPr>
            <w:tcW w:type="dxa" w:w="1495"/>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Comité de Gestión</w:t>
            </w:r>
          </w:p>
        </w:tc>
      </w:tr>
      <w:tr>
        <w:trPr>
          <w:cantSplit/>
        </w:trPr>
        <w:tc>
          <w:tcPr>
            <w:tcW w:type="dxa" w:w="843"/>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6</w:t>
            </w:r>
          </w:p>
        </w:tc>
        <w:tc>
          <w:tcPr>
            <w:tcW w:type="dxa" w:w="859"/>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Trimestre 4 en adelante</w:t>
            </w:r>
          </w:p>
        </w:tc>
        <w:tc>
          <w:tcPr>
            <w:tcW w:type="dxa" w:w="5307"/>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Salida operativa piloto (Paquete 1), evaluación con el bucle QR y ajuste de la operativa antes de sumar el Paquete 2 completo</w:t>
            </w:r>
          </w:p>
        </w:tc>
        <w:tc>
          <w:tcPr>
            <w:tcW w:type="dxa" w:w="1495"/>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Comité de Gestión</w:t>
            </w:r>
          </w:p>
        </w:tc>
      </w:tr>
    </w:tbl>
    <w:p>
      <w:pPr>
        <w:spacing w:after="160"/>
      </w:pPr>
    </w:p>
    <w:p>
      <w:pPr>
        <w:spacing w:after="200" w:before="80" w:line="240" w:lineRule="auto"/>
        <w:jc w:val="left"/>
      </w:pPr>
      <w:r>
        <w:rPr>
          <w:rFonts w:ascii="Times New Roman" w:cs="Times New Roman" w:eastAsia="Times New Roman" w:hAnsi="Times New Roman"/>
          <w:b w:val="false"/>
          <w:bCs w:val="false"/>
          <w:i/>
          <w:iCs/>
          <w:color w:val="000000"/>
          <w:sz w:val="22"/>
          <w:szCs w:val="22"/>
        </w:rPr>
        <w:t xml:space="preserve">Nota.</w:t>
      </w:r>
      <w:r>
        <w:rPr>
          <w:rFonts w:ascii="Times New Roman" w:cs="Times New Roman" w:eastAsia="Times New Roman" w:hAnsi="Times New Roman"/>
          <w:b w:val="false"/>
          <w:bCs w:val="false"/>
          <w:i w:val="false"/>
          <w:iCs w:val="false"/>
          <w:color w:val="000000"/>
          <w:sz w:val="22"/>
          <w:szCs w:val="22"/>
        </w:rPr>
        <w:t xml:space="preserve"> Elaboración propia.</w:t>
      </w:r>
    </w:p>
    <w:p>
      <w:pPr>
        <w:pStyle w:val="Heading1"/>
        <w:keepNext/>
        <w:pageBreakBefore/>
        <w:spacing w:after="240" w:before="0" w:line="240" w:lineRule="auto"/>
        <w:jc w:val="center"/>
      </w:pPr>
      <w:r>
        <w:rPr>
          <w:rFonts w:ascii="Times New Roman" w:cs="Times New Roman" w:eastAsia="Times New Roman" w:hAnsi="Times New Roman"/>
          <w:b/>
          <w:bCs/>
          <w:i w:val="false"/>
          <w:iCs w:val="false"/>
          <w:color w:val="000000"/>
          <w:sz w:val="24"/>
          <w:szCs w:val="24"/>
        </w:rPr>
        <w:t xml:space="preserve">Capítulo 7. Reflexiones Finales</w:t>
      </w:r>
    </w:p>
    <w:p>
      <w:pPr>
        <w:keepNext w:val="false"/>
        <w:spacing w:after="160" w:line="240" w:lineRule="auto"/>
        <w:jc w:val="both"/>
      </w:pPr>
      <w:r>
        <w:rPr>
          <w:rFonts w:ascii="Times New Roman" w:cs="Times New Roman" w:eastAsia="Times New Roman" w:hAnsi="Times New Roman"/>
          <w:b w:val="false"/>
          <w:bCs w:val="false"/>
          <w:i w:val="false"/>
          <w:iCs w:val="false"/>
          <w:color w:val="000000"/>
          <w:sz w:val="24"/>
          <w:szCs w:val="24"/>
        </w:rPr>
        <w:t xml:space="preserve">La realización de este proyecto de fin de carrera evidencia que el departamento de Salto dispone de las condiciones básicas para llevar a cabo una reconversión y diversificación de su oferta turística tradicional. La excesiva dependencia del turismo termal ha limitado el potencial de rentabilidad del destino, consolidando un perfil de visitante de bajo gasto que restringe el desarrollo económico de las comunidades rurales y de pequeña escala de la región.</w:t>
      </w:r>
    </w:p>
    <w:p>
      <w:pPr>
        <w:keepNext w:val="false"/>
        <w:spacing w:after="160" w:line="240" w:lineRule="auto"/>
        <w:jc w:val="both"/>
      </w:pPr>
      <w:r>
        <w:rPr>
          <w:rFonts w:ascii="Times New Roman" w:cs="Times New Roman" w:eastAsia="Times New Roman" w:hAnsi="Times New Roman"/>
          <w:b w:val="false"/>
          <w:bCs w:val="false"/>
          <w:i w:val="false"/>
          <w:iCs w:val="false"/>
          <w:color w:val="000000"/>
          <w:sz w:val="24"/>
          <w:szCs w:val="24"/>
        </w:rPr>
        <w:t xml:space="preserve">La hibridación estratégica de la Ruta Termal con la riqueza histórica de Salto como la “Cuna del Tannat” representa la alternativa más sólida para desestacionalizar la demanda, incrementar el gasto diario por persona y revitalizar la herencia cultural regional. El diseño del circuito demuestra la viabilidad técnica y financiera de un modelo de negocio que aprovecha las infraestructuras ya construidas y las complementa con herramientas de digitalización de reservas, interpretación patrimonial activa y protocolos de calidad internacional.</w:t>
      </w:r>
    </w:p>
    <w:p>
      <w:pPr>
        <w:keepNext w:val="false"/>
        <w:spacing w:after="160" w:line="240" w:lineRule="auto"/>
        <w:jc w:val="both"/>
      </w:pPr>
      <w:r>
        <w:rPr>
          <w:rFonts w:ascii="Times New Roman" w:cs="Times New Roman" w:eastAsia="Times New Roman" w:hAnsi="Times New Roman"/>
          <w:b w:val="false"/>
          <w:bCs w:val="false"/>
          <w:i w:val="false"/>
          <w:iCs w:val="false"/>
          <w:color w:val="000000"/>
          <w:sz w:val="24"/>
          <w:szCs w:val="24"/>
        </w:rPr>
        <w:t xml:space="preserve">Al conectar la antigua Bodega Harriague con establecimientos boutique en funcionamiento como Salto Chico, Bertolini &amp; Broglio y Mori Maglio, se conforma un producto complejo de alto valor percibido, capaz de competir en el dinámico mercado del enoturismo regional. El bajo nivel del punto de equilibrio financiero (1.600 turistas anuales, frente a los más de 450.000 que recibe el corredor termal) y la elevada tasa de retorno proyectada —VAN de USD 192.418 y TIR de 84% a cinco años— confirman que el aprovechamiento de los flujos termales reduce drásticamente el riesgo de inversión para los pequeños vitivinicultores locales.</w:t>
      </w:r>
    </w:p>
    <w:p>
      <w:pPr>
        <w:keepNext w:val="false"/>
        <w:spacing w:after="160" w:line="240" w:lineRule="auto"/>
        <w:jc w:val="both"/>
      </w:pPr>
      <w:r>
        <w:rPr>
          <w:rFonts w:ascii="Times New Roman" w:cs="Times New Roman" w:eastAsia="Times New Roman" w:hAnsi="Times New Roman"/>
          <w:b w:val="false"/>
          <w:bCs w:val="false"/>
          <w:i w:val="false"/>
          <w:iCs w:val="false"/>
          <w:color w:val="000000"/>
          <w:sz w:val="24"/>
          <w:szCs w:val="24"/>
        </w:rPr>
        <w:t xml:space="preserve">Finalmente, la sostenibilidad a largo plazo de este circuito no dependerá únicamente de la campaña publicitaria o de la calidad del vino Tannat. El factor crítico para el éxito radica en la consolidación del Comité de Gestión de la Ruta, una estructura de gobernanza asociativa que exige del sector público departamental, la sociedad civil y las bodegas privadas un compromiso de cooperación continua y de estandarización de servicios. Al superar la fragmentación operativa histórica, Salto no solo recuperará competitividad frente a los destinos del sur del país, sino que consolidará un modelo de desarrollo territorial donde el patrimonio, la sostenibilidad y el descanso se conjugan en beneficio de sus habitantes y visitantes.</w:t>
      </w:r>
    </w:p>
    <w:p>
      <w:pPr>
        <w:pStyle w:val="Heading1"/>
        <w:keepNext/>
        <w:pageBreakBefore/>
        <w:spacing w:after="240" w:before="0" w:line="240" w:lineRule="auto"/>
        <w:jc w:val="center"/>
      </w:pPr>
      <w:r>
        <w:rPr>
          <w:rFonts w:ascii="Times New Roman" w:cs="Times New Roman" w:eastAsia="Times New Roman" w:hAnsi="Times New Roman"/>
          <w:b/>
          <w:bCs/>
          <w:i w:val="false"/>
          <w:iCs w:val="false"/>
          <w:color w:val="000000"/>
          <w:sz w:val="24"/>
          <w:szCs w:val="24"/>
        </w:rPr>
        <w:t xml:space="preserve">Referencias Bibliográficas</w:t>
      </w:r>
    </w:p>
    <w:p>
      <w:pPr>
        <w:spacing w:after="160" w:line="240" w:lineRule="auto"/>
        <w:ind w:left="720" w:hanging="720"/>
        <w:jc w:val="left"/>
      </w:pPr>
      <w:r>
        <w:rPr>
          <w:rFonts w:ascii="Times New Roman" w:cs="Times New Roman" w:eastAsia="Times New Roman" w:hAnsi="Times New Roman"/>
          <w:b w:val="false"/>
          <w:bCs w:val="false"/>
          <w:i w:val="false"/>
          <w:iCs w:val="false"/>
          <w:color w:val="000000"/>
          <w:sz w:val="24"/>
          <w:szCs w:val="24"/>
        </w:rPr>
        <w:t xml:space="preserve">Agencia Nacional de Desarrollo [ANDE] &amp; Ministerio de Turismo. (2026). Bases del Fondo Concursable para Emprendimientos Turísticos en Destinos Emergentes MINTUR-ANDE. https://www.ande.org.uy/images/2026/Emprendimientos/Bases_Fondo_Concursable_para_Emprendimientos_Turisticos_en_Destinos_Emergentes_MINTUR_-_ANDE_-_Nautico_revisado_ANDE.pdf</w:t>
      </w:r>
    </w:p>
    <w:p>
      <w:pPr>
        <w:spacing w:after="160" w:line="240" w:lineRule="auto"/>
        <w:ind w:left="720" w:hanging="720"/>
        <w:jc w:val="left"/>
      </w:pPr>
      <w:r>
        <w:rPr>
          <w:rFonts w:ascii="Times New Roman" w:cs="Times New Roman" w:eastAsia="Times New Roman" w:hAnsi="Times New Roman"/>
          <w:b w:val="false"/>
          <w:bCs w:val="false"/>
          <w:i w:val="false"/>
          <w:iCs w:val="false"/>
          <w:color w:val="000000"/>
          <w:sz w:val="24"/>
          <w:szCs w:val="24"/>
        </w:rPr>
        <w:t xml:space="preserve">Ahlfert, C. (2012). El viaje como experiencia [Trabajo final, Postgrado en Turismo Sostenible Internacional]. Universidad Rafael Landívar. https://dau.url.edu/bitstream/handle/20.500.14342/4340/Ahlfert_PTSI_ElVi.pdf</w:t>
      </w:r>
    </w:p>
    <w:p>
      <w:pPr>
        <w:spacing w:after="160" w:line="240" w:lineRule="auto"/>
        <w:ind w:left="720" w:hanging="720"/>
        <w:jc w:val="left"/>
      </w:pPr>
      <w:r>
        <w:rPr>
          <w:rFonts w:ascii="Times New Roman" w:cs="Times New Roman" w:eastAsia="Times New Roman" w:hAnsi="Times New Roman"/>
          <w:b w:val="false"/>
          <w:bCs w:val="false"/>
          <w:i w:val="false"/>
          <w:iCs w:val="false"/>
          <w:color w:val="000000"/>
          <w:sz w:val="24"/>
          <w:szCs w:val="24"/>
        </w:rPr>
        <w:t xml:space="preserve">Bodega Salto Chico. (s.f.-a). Bodega boutique. Recuperado el 28 de agosto de 2026, de https://www.saltochico.com.uy/</w:t>
      </w:r>
    </w:p>
    <w:p>
      <w:pPr>
        <w:spacing w:after="160" w:line="240" w:lineRule="auto"/>
        <w:ind w:left="720" w:hanging="720"/>
        <w:jc w:val="left"/>
      </w:pPr>
      <w:r>
        <w:rPr>
          <w:rFonts w:ascii="Times New Roman" w:cs="Times New Roman" w:eastAsia="Times New Roman" w:hAnsi="Times New Roman"/>
          <w:b w:val="false"/>
          <w:bCs w:val="false"/>
          <w:i w:val="false"/>
          <w:iCs w:val="false"/>
          <w:color w:val="000000"/>
          <w:sz w:val="24"/>
          <w:szCs w:val="24"/>
        </w:rPr>
        <w:t xml:space="preserve">Bodega Salto Chico. (s.f.-b). Contacto. https://www.saltochico.com.uy/contacto.php</w:t>
      </w:r>
    </w:p>
    <w:p>
      <w:pPr>
        <w:spacing w:after="160" w:line="240" w:lineRule="auto"/>
        <w:ind w:left="720" w:hanging="720"/>
        <w:jc w:val="left"/>
      </w:pPr>
      <w:r>
        <w:rPr>
          <w:rFonts w:ascii="Times New Roman" w:cs="Times New Roman" w:eastAsia="Times New Roman" w:hAnsi="Times New Roman"/>
          <w:b w:val="false"/>
          <w:bCs w:val="false"/>
          <w:i w:val="false"/>
          <w:iCs w:val="false"/>
          <w:color w:val="000000"/>
          <w:sz w:val="24"/>
          <w:szCs w:val="24"/>
        </w:rPr>
        <w:t xml:space="preserve">Bodega Salto Chico. (s.f.-c). Viñas y bodega. https://www.saltochico.com.uy/vinas-bodegas.php</w:t>
      </w:r>
    </w:p>
    <w:p>
      <w:pPr>
        <w:spacing w:after="160" w:line="240" w:lineRule="auto"/>
        <w:ind w:left="720" w:hanging="720"/>
        <w:jc w:val="left"/>
      </w:pPr>
      <w:r>
        <w:rPr>
          <w:rFonts w:ascii="Times New Roman" w:cs="Times New Roman" w:eastAsia="Times New Roman" w:hAnsi="Times New Roman"/>
          <w:b w:val="false"/>
          <w:bCs w:val="false"/>
          <w:i w:val="false"/>
          <w:iCs w:val="false"/>
          <w:color w:val="000000"/>
          <w:sz w:val="24"/>
          <w:szCs w:val="24"/>
        </w:rPr>
        <w:t xml:space="preserve">Bodegas de Uruguay. (s.f.). Salto. https://bodegasdeuruguay.com/salto/</w:t>
      </w:r>
    </w:p>
    <w:p>
      <w:pPr>
        <w:spacing w:after="160" w:line="240" w:lineRule="auto"/>
        <w:ind w:left="720" w:hanging="720"/>
        <w:jc w:val="left"/>
      </w:pPr>
      <w:r>
        <w:rPr>
          <w:rFonts w:ascii="Times New Roman" w:cs="Times New Roman" w:eastAsia="Times New Roman" w:hAnsi="Times New Roman"/>
          <w:b w:val="false"/>
          <w:bCs w:val="false"/>
          <w:i w:val="false"/>
          <w:iCs w:val="false"/>
          <w:color w:val="000000"/>
          <w:sz w:val="24"/>
          <w:szCs w:val="24"/>
        </w:rPr>
        <w:t xml:space="preserve">Cámara Uruguaya de Turismo Receptivo [CAMAERO]. (s.f.). Turismo récord en Uruguay: más visitantes, mayor gasto y un impacto clave en la economía. https://camaero.org/noticias/turismo-record-en-uruguay-mas-visitantes-mayor-gasto-y-un-impacto-clave-en-la-economia/</w:t>
      </w:r>
    </w:p>
    <w:p>
      <w:pPr>
        <w:spacing w:after="160" w:line="240" w:lineRule="auto"/>
        <w:ind w:left="720" w:hanging="720"/>
        <w:jc w:val="left"/>
      </w:pPr>
      <w:r>
        <w:rPr>
          <w:rFonts w:ascii="Times New Roman" w:cs="Times New Roman" w:eastAsia="Times New Roman" w:hAnsi="Times New Roman"/>
          <w:b w:val="false"/>
          <w:bCs w:val="false"/>
          <w:i w:val="false"/>
          <w:iCs w:val="false"/>
          <w:color w:val="000000"/>
          <w:sz w:val="24"/>
          <w:szCs w:val="24"/>
        </w:rPr>
        <w:t xml:space="preserve">Carmelo Portal. (s.f.). Expertos abogan por una "mejor formación" en el enoturismo en Uruguay. https://www.carmeloportal.com/85121-85121</w:t>
      </w:r>
    </w:p>
    <w:p>
      <w:pPr>
        <w:spacing w:after="160" w:line="240" w:lineRule="auto"/>
        <w:ind w:left="720" w:hanging="720"/>
        <w:jc w:val="left"/>
      </w:pPr>
      <w:r>
        <w:rPr>
          <w:rFonts w:ascii="Times New Roman" w:cs="Times New Roman" w:eastAsia="Times New Roman" w:hAnsi="Times New Roman"/>
          <w:b w:val="false"/>
          <w:bCs w:val="false"/>
          <w:i w:val="false"/>
          <w:iCs w:val="false"/>
          <w:color w:val="000000"/>
          <w:sz w:val="24"/>
          <w:szCs w:val="24"/>
        </w:rPr>
        <w:t xml:space="preserve">Centro de Estudios de la Realidad Económica y Social [CERES]. (2026). Monitor de Actividad Turística (marzo, 2026).</w:t>
      </w:r>
    </w:p>
    <w:p>
      <w:pPr>
        <w:spacing w:after="160" w:line="240" w:lineRule="auto"/>
        <w:ind w:left="720" w:hanging="720"/>
        <w:jc w:val="left"/>
      </w:pPr>
      <w:r>
        <w:rPr>
          <w:rFonts w:ascii="Times New Roman" w:cs="Times New Roman" w:eastAsia="Times New Roman" w:hAnsi="Times New Roman"/>
          <w:b w:val="false"/>
          <w:bCs w:val="false"/>
          <w:i w:val="false"/>
          <w:iCs w:val="false"/>
          <w:color w:val="000000"/>
          <w:sz w:val="24"/>
          <w:szCs w:val="24"/>
        </w:rPr>
        <w:t xml:space="preserve">Cipetur. (s.f.). Enoturismo en Uruguay: cultura, paisaje y sabor. https://www.cipetur.com/index.php/cipetur/destinos/item/7369-enoturismo-en-uruguay-cultura-paisaje-y-sabor</w:t>
      </w:r>
    </w:p>
    <w:p>
      <w:pPr>
        <w:spacing w:after="160" w:line="240" w:lineRule="auto"/>
        <w:ind w:left="720" w:hanging="720"/>
        <w:jc w:val="left"/>
      </w:pPr>
      <w:r>
        <w:rPr>
          <w:rFonts w:ascii="Times New Roman" w:cs="Times New Roman" w:eastAsia="Times New Roman" w:hAnsi="Times New Roman"/>
          <w:b w:val="false"/>
          <w:bCs w:val="false"/>
          <w:i w:val="false"/>
          <w:iCs w:val="false"/>
          <w:color w:val="000000"/>
          <w:sz w:val="24"/>
          <w:szCs w:val="24"/>
        </w:rPr>
        <w:t xml:space="preserve">Diario Cambio. (s.f.-a). Salto fuera de la lista de las cinco ciudades más visitadas por turismo. https://diariocambio.com.uy/salto-fuera-de-la-lista-de-las-cinco-ciudades-mas-visitadas-por-turismo</w:t>
      </w:r>
    </w:p>
    <w:p>
      <w:pPr>
        <w:spacing w:after="160" w:line="240" w:lineRule="auto"/>
        <w:ind w:left="720" w:hanging="720"/>
        <w:jc w:val="left"/>
      </w:pPr>
      <w:r>
        <w:rPr>
          <w:rFonts w:ascii="Times New Roman" w:cs="Times New Roman" w:eastAsia="Times New Roman" w:hAnsi="Times New Roman"/>
          <w:b w:val="false"/>
          <w:bCs w:val="false"/>
          <w:i w:val="false"/>
          <w:iCs w:val="false"/>
          <w:color w:val="000000"/>
          <w:sz w:val="24"/>
          <w:szCs w:val="24"/>
        </w:rPr>
        <w:t xml:space="preserve">Diario Cambio. (s.f.-b). Bertolini &amp; Broglio y Salto Chico obtuvieron medallas de oro en el concurso «Tannat al Mundo». https://diariocambio.com.uy/bertolini-broglio-y-salto-chico-obtuvieron-medallas-de-oro-en-el-concurso-tannat-al-mundo</w:t>
      </w:r>
    </w:p>
    <w:p>
      <w:pPr>
        <w:spacing w:after="160" w:line="240" w:lineRule="auto"/>
        <w:ind w:left="720" w:hanging="720"/>
        <w:jc w:val="left"/>
      </w:pPr>
      <w:r>
        <w:rPr>
          <w:rFonts w:ascii="Times New Roman" w:cs="Times New Roman" w:eastAsia="Times New Roman" w:hAnsi="Times New Roman"/>
          <w:b w:val="false"/>
          <w:bCs w:val="false"/>
          <w:i w:val="false"/>
          <w:iCs w:val="false"/>
          <w:color w:val="000000"/>
          <w:sz w:val="24"/>
          <w:szCs w:val="24"/>
        </w:rPr>
        <w:t xml:space="preserve">Diario Cambio. (s.f.-c). Las lluvias y el agua acumulada en pocos días complican situación de caminería rural en varias zonas. https://diariocambio.com.uy/las-lluvias-y-el-agua-acumulada-en-pocos-dias-complican-situacion-de-camineria-rural-en-varias</w:t>
      </w:r>
    </w:p>
    <w:p>
      <w:pPr>
        <w:spacing w:after="160" w:line="240" w:lineRule="auto"/>
        <w:ind w:left="720" w:hanging="720"/>
        <w:jc w:val="left"/>
      </w:pPr>
      <w:r>
        <w:rPr>
          <w:rFonts w:ascii="Times New Roman" w:cs="Times New Roman" w:eastAsia="Times New Roman" w:hAnsi="Times New Roman"/>
          <w:b w:val="false"/>
          <w:bCs w:val="false"/>
          <w:i w:val="false"/>
          <w:iCs w:val="false"/>
          <w:color w:val="000000"/>
          <w:sz w:val="24"/>
          <w:szCs w:val="24"/>
        </w:rPr>
        <w:t xml:space="preserve">Diario El Debate Pregón. (s.f.). La brecha de precios entre Argentina y Uruguay volvió a ampliarse y llega al 40% en la frontera. https://www.diariodebatepregon.com/argentina-y-el-mundo/la-brecha-de-precios-entre-argentina-y-uruguay-volvio-a-ampliarse-y-llega-al-40-en-la-frontera</w:t>
      </w:r>
    </w:p>
    <w:p>
      <w:pPr>
        <w:spacing w:after="160" w:line="240" w:lineRule="auto"/>
        <w:ind w:left="720" w:hanging="720"/>
        <w:jc w:val="left"/>
      </w:pPr>
      <w:r>
        <w:rPr>
          <w:rFonts w:ascii="Times New Roman" w:cs="Times New Roman" w:eastAsia="Times New Roman" w:hAnsi="Times New Roman"/>
          <w:b w:val="false"/>
          <w:bCs w:val="false"/>
          <w:i w:val="false"/>
          <w:iCs w:val="false"/>
          <w:color w:val="000000"/>
          <w:sz w:val="24"/>
          <w:szCs w:val="24"/>
        </w:rPr>
        <w:t xml:space="preserve">Diario Río Uruguay. (s.f.). Desde Uruguay destacan que un importante número de concordienses siguen eligiendo los resort termales "all inclusive". http://diarioriouruguay.com/turismo/desde-uruguay-destacan-que-un-importante-nmero-de-concordienses-siguen-eligiendo-los-resort-termales-ldquoall-inclusiverdquo.htm</w:t>
      </w:r>
    </w:p>
    <w:p>
      <w:pPr>
        <w:spacing w:after="160" w:line="240" w:lineRule="auto"/>
        <w:ind w:left="720" w:hanging="720"/>
        <w:jc w:val="left"/>
      </w:pPr>
      <w:r>
        <w:rPr>
          <w:rFonts w:ascii="Times New Roman" w:cs="Times New Roman" w:eastAsia="Times New Roman" w:hAnsi="Times New Roman"/>
          <w:b w:val="false"/>
          <w:bCs w:val="false"/>
          <w:i w:val="false"/>
          <w:iCs w:val="false"/>
          <w:color w:val="000000"/>
          <w:sz w:val="24"/>
          <w:szCs w:val="24"/>
        </w:rPr>
        <w:t xml:space="preserve">El Entre Ríos. (s.f.). "Salto, cuna del Tannat" se une a Concordia para homenajear a Pascual Harriague. https://www.elentrerios.com/actualidad/ldquosalto-cuna-del-tannatrdquo-se-une-a-concordia-para-homenajear-a-pascual-harriague.htm</w:t>
      </w:r>
    </w:p>
    <w:p>
      <w:pPr>
        <w:spacing w:after="160" w:line="240" w:lineRule="auto"/>
        <w:ind w:left="720" w:hanging="720"/>
        <w:jc w:val="left"/>
      </w:pPr>
      <w:r>
        <w:rPr>
          <w:rFonts w:ascii="Times New Roman" w:cs="Times New Roman" w:eastAsia="Times New Roman" w:hAnsi="Times New Roman"/>
          <w:b w:val="false"/>
          <w:bCs w:val="false"/>
          <w:i w:val="false"/>
          <w:iCs w:val="false"/>
          <w:color w:val="000000"/>
          <w:sz w:val="24"/>
          <w:szCs w:val="24"/>
        </w:rPr>
        <w:t xml:space="preserve">El País. (s.f.). Argentina, y algo menos Brasil, se encarecen para los uruguayos, aunque hay rubros que están "baratos", ¿qué brechas hay? https://www.elpais.com.uy/negocios/noticias/argentina-y-algo-menos-brasil-se-encarecen-para-las-uruguayos-aunque-hay-rubros-que-estan-baratos-que-brechas-hay</w:t>
      </w:r>
    </w:p>
    <w:p>
      <w:pPr>
        <w:spacing w:after="160" w:line="240" w:lineRule="auto"/>
        <w:ind w:left="720" w:hanging="720"/>
        <w:jc w:val="left"/>
      </w:pPr>
      <w:r>
        <w:rPr>
          <w:rFonts w:ascii="Times New Roman" w:cs="Times New Roman" w:eastAsia="Times New Roman" w:hAnsi="Times New Roman"/>
          <w:b w:val="false"/>
          <w:bCs w:val="false"/>
          <w:i w:val="false"/>
          <w:iCs w:val="false"/>
          <w:color w:val="000000"/>
          <w:sz w:val="24"/>
          <w:szCs w:val="24"/>
        </w:rPr>
        <w:t xml:space="preserve">El Pueblo Digital. (2026). Semana de Harriague 2026: Salto celebra la cuna del Tannat. https://elpueblodigital.uy/salto-cuna-del-tannat-comienza-una-semana-para-celebrar-nuestra-identidad-y-legado/</w:t>
      </w:r>
    </w:p>
    <w:p>
      <w:pPr>
        <w:spacing w:after="160" w:line="240" w:lineRule="auto"/>
        <w:ind w:left="720" w:hanging="720"/>
        <w:jc w:val="left"/>
      </w:pPr>
      <w:r>
        <w:rPr>
          <w:rFonts w:ascii="Times New Roman" w:cs="Times New Roman" w:eastAsia="Times New Roman" w:hAnsi="Times New Roman"/>
          <w:b w:val="false"/>
          <w:bCs w:val="false"/>
          <w:i w:val="false"/>
          <w:iCs w:val="false"/>
          <w:color w:val="000000"/>
          <w:sz w:val="24"/>
          <w:szCs w:val="24"/>
        </w:rPr>
        <w:t xml:space="preserve">Entre Ríos Hoy. (s.f.). Termas y enoturismo: la fórmula que potencia los atractivos que Entre Ríos ofrece a los visitantes. https://entrerioshoy.com/termas-y-enoturismo-la-formula-que-potencia-los-atractivos-que-entre-rios-ofrece-a-los-visitantes/</w:t>
      </w:r>
    </w:p>
    <w:p>
      <w:pPr>
        <w:spacing w:after="160" w:line="240" w:lineRule="auto"/>
        <w:ind w:left="720" w:hanging="720"/>
        <w:jc w:val="left"/>
      </w:pPr>
      <w:r>
        <w:rPr>
          <w:rFonts w:ascii="Times New Roman" w:cs="Times New Roman" w:eastAsia="Times New Roman" w:hAnsi="Times New Roman"/>
          <w:b w:val="false"/>
          <w:bCs w:val="false"/>
          <w:i w:val="false"/>
          <w:iCs w:val="false"/>
          <w:color w:val="000000"/>
          <w:sz w:val="24"/>
          <w:szCs w:val="24"/>
        </w:rPr>
        <w:t xml:space="preserve">Euskalkultura.eus. (s.f.). Tras la exitosa gestión del CV local, se pone en marcha el proyecto de recuperar la antigua Bodega Harriague de Salto (y II). https://www.euskalkultura.eus/espanol/noticias/tras-la-exitosa-gestion-del-cv-local-se-pone-en-marcha-el-proyecto-de-recuperar-la-antigua-bodega-harriague-de-salto-y-ii</w:t>
      </w:r>
    </w:p>
    <w:p>
      <w:pPr>
        <w:spacing w:after="160" w:line="240" w:lineRule="auto"/>
        <w:ind w:left="720" w:hanging="720"/>
        <w:jc w:val="left"/>
      </w:pPr>
      <w:r>
        <w:rPr>
          <w:rFonts w:ascii="Times New Roman" w:cs="Times New Roman" w:eastAsia="Times New Roman" w:hAnsi="Times New Roman"/>
          <w:b w:val="false"/>
          <w:bCs w:val="false"/>
          <w:i w:val="false"/>
          <w:iCs w:val="false"/>
          <w:color w:val="000000"/>
          <w:sz w:val="24"/>
          <w:szCs w:val="24"/>
        </w:rPr>
        <w:t xml:space="preserve">Gran Logia de la Masonería del Uruguay. (s.f.). Pascual Harriague. https://www.masoneriadeluruguay.org/es/pascual-harriague</w:t>
      </w:r>
    </w:p>
    <w:p>
      <w:pPr>
        <w:spacing w:after="160" w:line="240" w:lineRule="auto"/>
        <w:ind w:left="720" w:hanging="720"/>
        <w:jc w:val="left"/>
      </w:pPr>
      <w:r>
        <w:rPr>
          <w:rFonts w:ascii="Times New Roman" w:cs="Times New Roman" w:eastAsia="Times New Roman" w:hAnsi="Times New Roman"/>
          <w:b w:val="false"/>
          <w:bCs w:val="false"/>
          <w:i w:val="false"/>
          <w:iCs w:val="false"/>
          <w:color w:val="000000"/>
          <w:sz w:val="24"/>
          <w:szCs w:val="24"/>
        </w:rPr>
        <w:t xml:space="preserve">Infobae. (2023, 16 de noviembre). Brecha cambiaria: ir de turista a las termas en Uruguay cuesta 118% más caro que a las de Argentina. https://www.infobae.com/america/america-latina/2023/11/16/brecha-cambiaria-ir-de-turista-a-las-termas-en-uruguay-cuesta-118-mas-caro-que-a-las-de-argentina/</w:t>
      </w:r>
    </w:p>
    <w:p>
      <w:pPr>
        <w:spacing w:after="160" w:line="240" w:lineRule="auto"/>
        <w:ind w:left="720" w:hanging="720"/>
        <w:jc w:val="left"/>
      </w:pPr>
      <w:r>
        <w:rPr>
          <w:rFonts w:ascii="Times New Roman" w:cs="Times New Roman" w:eastAsia="Times New Roman" w:hAnsi="Times New Roman"/>
          <w:b w:val="false"/>
          <w:bCs w:val="false"/>
          <w:i w:val="false"/>
          <w:iCs w:val="false"/>
          <w:color w:val="000000"/>
          <w:sz w:val="24"/>
          <w:szCs w:val="24"/>
        </w:rPr>
        <w:t xml:space="preserve">Instituto de Promoción de la Inversión y las Exportaciones de Bienes y Servicios [IMPO]. (2014). Ley N.º 19.253: Regulación de la actividad turística y declaratoria de interés nacional. https://www.impo.com.uy/bases/leyes/19253-2014</w:t>
      </w:r>
    </w:p>
    <w:p>
      <w:pPr>
        <w:spacing w:after="160" w:line="240" w:lineRule="auto"/>
        <w:ind w:left="720" w:hanging="720"/>
        <w:jc w:val="left"/>
      </w:pPr>
      <w:r>
        <w:rPr>
          <w:rFonts w:ascii="Times New Roman" w:cs="Times New Roman" w:eastAsia="Times New Roman" w:hAnsi="Times New Roman"/>
          <w:b w:val="false"/>
          <w:bCs w:val="false"/>
          <w:i w:val="false"/>
          <w:iCs w:val="false"/>
          <w:color w:val="000000"/>
          <w:sz w:val="24"/>
          <w:szCs w:val="24"/>
        </w:rPr>
        <w:t xml:space="preserve">Instituto Nacional de Vitivinicultura [INAVI] &amp; Opción Consultores. (2023). Estudio consolidado de la actividad económica e impacto del enoturismo en Uruguay. INAVI.</w:t>
      </w:r>
    </w:p>
    <w:p>
      <w:pPr>
        <w:spacing w:after="160" w:line="240" w:lineRule="auto"/>
        <w:ind w:left="720" w:hanging="720"/>
        <w:jc w:val="left"/>
      </w:pPr>
      <w:r>
        <w:rPr>
          <w:rFonts w:ascii="Times New Roman" w:cs="Times New Roman" w:eastAsia="Times New Roman" w:hAnsi="Times New Roman"/>
          <w:b w:val="false"/>
          <w:bCs w:val="false"/>
          <w:i w:val="false"/>
          <w:iCs w:val="false"/>
          <w:color w:val="000000"/>
          <w:sz w:val="24"/>
          <w:szCs w:val="24"/>
        </w:rPr>
        <w:t xml:space="preserve">Instituto Nacional de Vitivinicultura [INAVI]. (2021). Estadísticas de viñedos 2021: Datos nacionales. https://www.inavi.com.uy/uploads/vinedo/02b47681b115aafaf1cc5aefcacd581496ffe733.pdf</w:t>
      </w:r>
    </w:p>
    <w:p>
      <w:pPr>
        <w:spacing w:after="160" w:line="240" w:lineRule="auto"/>
        <w:ind w:left="720" w:hanging="720"/>
        <w:jc w:val="left"/>
      </w:pPr>
      <w:r>
        <w:rPr>
          <w:rFonts w:ascii="Times New Roman" w:cs="Times New Roman" w:eastAsia="Times New Roman" w:hAnsi="Times New Roman"/>
          <w:b w:val="false"/>
          <w:bCs w:val="false"/>
          <w:i w:val="false"/>
          <w:iCs w:val="false"/>
          <w:color w:val="000000"/>
          <w:sz w:val="24"/>
          <w:szCs w:val="24"/>
        </w:rPr>
        <w:t xml:space="preserve">Instituto Nacional de Vitivinicultura [INAVI]. (2023a). Estadísticas de viñedos 2023: Datos departamentales. https://www.inavi.com.uy/uploads/vinedo/bf1183c5ea6672b906da2100eda702efaff7be09.pdf</w:t>
      </w:r>
    </w:p>
    <w:p>
      <w:pPr>
        <w:spacing w:after="160" w:line="240" w:lineRule="auto"/>
        <w:ind w:left="720" w:hanging="720"/>
        <w:jc w:val="left"/>
      </w:pPr>
      <w:r>
        <w:rPr>
          <w:rFonts w:ascii="Times New Roman" w:cs="Times New Roman" w:eastAsia="Times New Roman" w:hAnsi="Times New Roman"/>
          <w:b w:val="false"/>
          <w:bCs w:val="false"/>
          <w:i w:val="false"/>
          <w:iCs w:val="false"/>
          <w:color w:val="000000"/>
          <w:sz w:val="24"/>
          <w:szCs w:val="24"/>
        </w:rPr>
        <w:t xml:space="preserve">Instituto Nacional de Vitivinicultura [INAVI]. (2023b). Estadísticas de viñedos 2023: Datos nacionales. https://www.inavi.com.uy/uploads/vinedo/b001699f9585532cfd1fa06a35756544f917eda5.pdf</w:t>
      </w:r>
    </w:p>
    <w:p>
      <w:pPr>
        <w:spacing w:after="160" w:line="240" w:lineRule="auto"/>
        <w:ind w:left="720" w:hanging="720"/>
        <w:jc w:val="left"/>
      </w:pPr>
      <w:r>
        <w:rPr>
          <w:rFonts w:ascii="Times New Roman" w:cs="Times New Roman" w:eastAsia="Times New Roman" w:hAnsi="Times New Roman"/>
          <w:b w:val="false"/>
          <w:bCs w:val="false"/>
          <w:i w:val="false"/>
          <w:iCs w:val="false"/>
          <w:color w:val="000000"/>
          <w:sz w:val="24"/>
          <w:szCs w:val="24"/>
        </w:rPr>
        <w:t xml:space="preserve">Instituto Nacional de Vitivinicultura [INAVI]. (2024a). Plan Operativo Anual (POA) 2024/2025 y Registro Catastral de Variedades de Vid de Uruguay.</w:t>
      </w:r>
    </w:p>
    <w:p>
      <w:pPr>
        <w:spacing w:after="160" w:line="240" w:lineRule="auto"/>
        <w:ind w:left="720" w:hanging="720"/>
        <w:jc w:val="left"/>
      </w:pPr>
      <w:r>
        <w:rPr>
          <w:rFonts w:ascii="Times New Roman" w:cs="Times New Roman" w:eastAsia="Times New Roman" w:hAnsi="Times New Roman"/>
          <w:b w:val="false"/>
          <w:bCs w:val="false"/>
          <w:i w:val="false"/>
          <w:iCs w:val="false"/>
          <w:color w:val="000000"/>
          <w:sz w:val="24"/>
          <w:szCs w:val="24"/>
        </w:rPr>
        <w:t xml:space="preserve">Instituto Nacional de Vitivinicultura [INAVI]. (2024b). Reporte INAVI 2024. https://www.inavi.com.uy/uploads/vinedo/346bb91b94f57f26d3e293b52fc0059a83b273cf.pdf</w:t>
      </w:r>
    </w:p>
    <w:p>
      <w:pPr>
        <w:spacing w:after="160" w:line="240" w:lineRule="auto"/>
        <w:ind w:left="720" w:hanging="720"/>
        <w:jc w:val="left"/>
      </w:pPr>
      <w:r>
        <w:rPr>
          <w:rFonts w:ascii="Times New Roman" w:cs="Times New Roman" w:eastAsia="Times New Roman" w:hAnsi="Times New Roman"/>
          <w:b w:val="false"/>
          <w:bCs w:val="false"/>
          <w:i w:val="false"/>
          <w:iCs w:val="false"/>
          <w:color w:val="000000"/>
          <w:sz w:val="24"/>
          <w:szCs w:val="24"/>
        </w:rPr>
        <w:t xml:space="preserve">Instituto Nacional de Vitivinicultura [INAVI]. (s.f.-a). Bertolini y Broglio. https://www.inavi.com.uy/bodega/bertolini-y-broglio/</w:t>
      </w:r>
    </w:p>
    <w:p>
      <w:pPr>
        <w:spacing w:after="160" w:line="240" w:lineRule="auto"/>
        <w:ind w:left="720" w:hanging="720"/>
        <w:jc w:val="left"/>
      </w:pPr>
      <w:r>
        <w:rPr>
          <w:rFonts w:ascii="Times New Roman" w:cs="Times New Roman" w:eastAsia="Times New Roman" w:hAnsi="Times New Roman"/>
          <w:b w:val="false"/>
          <w:bCs w:val="false"/>
          <w:i w:val="false"/>
          <w:iCs w:val="false"/>
          <w:color w:val="000000"/>
          <w:sz w:val="24"/>
          <w:szCs w:val="24"/>
        </w:rPr>
        <w:t xml:space="preserve">Instituto Nacional de Vitivinicultura [INAVI]. (s.f.-b). Bodega Salto Chico - Los Calos Ltda. https://www.inavi.com.uy/bodega/bodega-salto-chico/</w:t>
      </w:r>
    </w:p>
    <w:p>
      <w:pPr>
        <w:spacing w:after="160" w:line="240" w:lineRule="auto"/>
        <w:ind w:left="720" w:hanging="720"/>
        <w:jc w:val="left"/>
      </w:pPr>
      <w:r>
        <w:rPr>
          <w:rFonts w:ascii="Times New Roman" w:cs="Times New Roman" w:eastAsia="Times New Roman" w:hAnsi="Times New Roman"/>
          <w:b w:val="false"/>
          <w:bCs w:val="false"/>
          <w:i w:val="false"/>
          <w:iCs w:val="false"/>
          <w:color w:val="000000"/>
          <w:sz w:val="24"/>
          <w:szCs w:val="24"/>
        </w:rPr>
        <w:t xml:space="preserve">Instituto Nacional de Vitivinicultura [INAVI]. (s.f.-c). Colonia - Enoturismo. https://www.inavi.com.uy/enoturismo/colonia/</w:t>
      </w:r>
    </w:p>
    <w:p>
      <w:pPr>
        <w:spacing w:after="160" w:line="240" w:lineRule="auto"/>
        <w:ind w:left="720" w:hanging="720"/>
        <w:jc w:val="left"/>
      </w:pPr>
      <w:r>
        <w:rPr>
          <w:rFonts w:ascii="Times New Roman" w:cs="Times New Roman" w:eastAsia="Times New Roman" w:hAnsi="Times New Roman"/>
          <w:b w:val="false"/>
          <w:bCs w:val="false"/>
          <w:i w:val="false"/>
          <w:iCs w:val="false"/>
          <w:color w:val="000000"/>
          <w:sz w:val="24"/>
          <w:szCs w:val="24"/>
        </w:rPr>
        <w:t xml:space="preserve">Instituto Nacional de Vitivinicultura [INAVI]. (s.f.-d). Enoturismo recibe USD 11 millones anuales. https://www.inavi.com.uy/noticia/enoturismo-recibe-usd-11-millones-anuales/</w:t>
      </w:r>
    </w:p>
    <w:p>
      <w:pPr>
        <w:spacing w:after="160" w:line="240" w:lineRule="auto"/>
        <w:ind w:left="720" w:hanging="720"/>
        <w:jc w:val="left"/>
      </w:pPr>
      <w:r>
        <w:rPr>
          <w:rFonts w:ascii="Times New Roman" w:cs="Times New Roman" w:eastAsia="Times New Roman" w:hAnsi="Times New Roman"/>
          <w:b w:val="false"/>
          <w:bCs w:val="false"/>
          <w:i w:val="false"/>
          <w:iCs w:val="false"/>
          <w:color w:val="000000"/>
          <w:sz w:val="24"/>
          <w:szCs w:val="24"/>
        </w:rPr>
        <w:t xml:space="preserve">Instituto Nacional de Vitivinicultura [INAVI]. (s.f.-e). Programa de Viticultura Sostenible. Vinos del Uruguay. https://www.vinosdeluruguay.com/programa-de-viticultura-sostenible/</w:t>
      </w:r>
    </w:p>
    <w:p>
      <w:pPr>
        <w:spacing w:after="160" w:line="240" w:lineRule="auto"/>
        <w:ind w:left="720" w:hanging="720"/>
        <w:jc w:val="left"/>
      </w:pPr>
      <w:r>
        <w:rPr>
          <w:rFonts w:ascii="Times New Roman" w:cs="Times New Roman" w:eastAsia="Times New Roman" w:hAnsi="Times New Roman"/>
          <w:b w:val="false"/>
          <w:bCs w:val="false"/>
          <w:i w:val="false"/>
          <w:iCs w:val="false"/>
          <w:color w:val="000000"/>
          <w:sz w:val="24"/>
          <w:szCs w:val="24"/>
        </w:rPr>
        <w:t xml:space="preserve">Instituto Nacional de Vitivinicultura [INAVI]. (s.f.-f). Salto - Enoturismo. https://www.inavi.com.uy/enoturismo/salto/</w:t>
      </w:r>
    </w:p>
    <w:p>
      <w:pPr>
        <w:spacing w:after="160" w:line="240" w:lineRule="auto"/>
        <w:ind w:left="720" w:hanging="720"/>
        <w:jc w:val="left"/>
      </w:pPr>
      <w:r>
        <w:rPr>
          <w:rFonts w:ascii="Times New Roman" w:cs="Times New Roman" w:eastAsia="Times New Roman" w:hAnsi="Times New Roman"/>
          <w:b w:val="false"/>
          <w:bCs w:val="false"/>
          <w:i w:val="false"/>
          <w:iCs w:val="false"/>
          <w:color w:val="000000"/>
          <w:sz w:val="24"/>
          <w:szCs w:val="24"/>
        </w:rPr>
        <w:t xml:space="preserve">Intendencia de Salto. (s.f.-a). Bodegas. Turismo Salto. https://turismo.salto.gub.uy/sitios-de-interes/bodegas</w:t>
      </w:r>
    </w:p>
    <w:p>
      <w:pPr>
        <w:spacing w:after="160" w:line="240" w:lineRule="auto"/>
        <w:ind w:left="720" w:hanging="720"/>
        <w:jc w:val="left"/>
      </w:pPr>
      <w:r>
        <w:rPr>
          <w:rFonts w:ascii="Times New Roman" w:cs="Times New Roman" w:eastAsia="Times New Roman" w:hAnsi="Times New Roman"/>
          <w:b w:val="false"/>
          <w:bCs w:val="false"/>
          <w:i w:val="false"/>
          <w:iCs w:val="false"/>
          <w:color w:val="000000"/>
          <w:sz w:val="24"/>
          <w:szCs w:val="24"/>
        </w:rPr>
        <w:t xml:space="preserve">Intendencia de Salto. (s.f.-b). La Mesa Estratégica de Turismo de Salto apuesta al fortalecimiento del destino. https://www.salto.gub.uy/noticias/la-mesa-estrategica-de-turismo-de-salto-apuesta-al-fortalecimiento-del-destino</w:t>
      </w:r>
    </w:p>
    <w:p>
      <w:pPr>
        <w:spacing w:after="160" w:line="240" w:lineRule="auto"/>
        <w:ind w:left="720" w:hanging="720"/>
        <w:jc w:val="left"/>
      </w:pPr>
      <w:r>
        <w:rPr>
          <w:rFonts w:ascii="Times New Roman" w:cs="Times New Roman" w:eastAsia="Times New Roman" w:hAnsi="Times New Roman"/>
          <w:b w:val="false"/>
          <w:bCs w:val="false"/>
          <w:i w:val="false"/>
          <w:iCs w:val="false"/>
          <w:color w:val="000000"/>
          <w:sz w:val="24"/>
          <w:szCs w:val="24"/>
        </w:rPr>
        <w:t xml:space="preserve">Intendencia de Salto. (s.f.-c). Nuevas acciones dentro del proceso de rescate de la Bodega Harriague. https://salto.gub.uy/noticias/nuevas-acciones-dentro-del-proceso-de-rescate-de-la-bodega-harriague</w:t>
      </w:r>
    </w:p>
    <w:p>
      <w:pPr>
        <w:spacing w:after="160" w:line="240" w:lineRule="auto"/>
        <w:ind w:left="720" w:hanging="720"/>
        <w:jc w:val="left"/>
      </w:pPr>
      <w:r>
        <w:rPr>
          <w:rFonts w:ascii="Times New Roman" w:cs="Times New Roman" w:eastAsia="Times New Roman" w:hAnsi="Times New Roman"/>
          <w:b w:val="false"/>
          <w:bCs w:val="false"/>
          <w:i w:val="false"/>
          <w:iCs w:val="false"/>
          <w:color w:val="000000"/>
          <w:sz w:val="24"/>
          <w:szCs w:val="24"/>
        </w:rPr>
        <w:t xml:space="preserve">Intendencia de Salto. (s.f.-d). Termal. Turismo Salto. https://turismo.salto.gub.uy/termal</w:t>
      </w:r>
    </w:p>
    <w:p>
      <w:pPr>
        <w:spacing w:after="160" w:line="240" w:lineRule="auto"/>
        <w:ind w:left="720" w:hanging="720"/>
        <w:jc w:val="left"/>
      </w:pPr>
      <w:r>
        <w:rPr>
          <w:rFonts w:ascii="Times New Roman" w:cs="Times New Roman" w:eastAsia="Times New Roman" w:hAnsi="Times New Roman"/>
          <w:b w:val="false"/>
          <w:bCs w:val="false"/>
          <w:i w:val="false"/>
          <w:iCs w:val="false"/>
          <w:color w:val="000000"/>
          <w:sz w:val="24"/>
          <w:szCs w:val="24"/>
        </w:rPr>
        <w:t xml:space="preserve">La Hora del Campo. (s.f.). Tres vinos del «terroir salteño» ganaron una «Medalla de Oro». https://lahoradelcampo.com.uy/site/tres-vinos-del-terroir-salteno-ganaron-una-medalla-de-oro/</w:t>
      </w:r>
    </w:p>
    <w:p>
      <w:pPr>
        <w:spacing w:after="160" w:line="240" w:lineRule="auto"/>
        <w:ind w:left="720" w:hanging="720"/>
        <w:jc w:val="left"/>
      </w:pPr>
      <w:r>
        <w:rPr>
          <w:rFonts w:ascii="Times New Roman" w:cs="Times New Roman" w:eastAsia="Times New Roman" w:hAnsi="Times New Roman"/>
          <w:b w:val="false"/>
          <w:bCs w:val="false"/>
          <w:i w:val="false"/>
          <w:iCs w:val="false"/>
          <w:color w:val="000000"/>
          <w:sz w:val="24"/>
          <w:szCs w:val="24"/>
        </w:rPr>
        <w:t xml:space="preserve">La Sacristía. (s.f.). Bertolini &amp; Broglio Viognier. https://lasacristia.com.uy/catalogo/bertolini-broglio-viognier_7730951970161_7730951970161</w:t>
      </w:r>
    </w:p>
    <w:p>
      <w:pPr>
        <w:spacing w:after="160" w:line="240" w:lineRule="auto"/>
        <w:ind w:left="720" w:hanging="720"/>
        <w:jc w:val="left"/>
      </w:pPr>
      <w:r>
        <w:rPr>
          <w:rFonts w:ascii="Times New Roman" w:cs="Times New Roman" w:eastAsia="Times New Roman" w:hAnsi="Times New Roman"/>
          <w:b w:val="false"/>
          <w:bCs w:val="false"/>
          <w:i w:val="false"/>
          <w:iCs w:val="false"/>
          <w:color w:val="000000"/>
          <w:sz w:val="24"/>
          <w:szCs w:val="24"/>
        </w:rPr>
        <w:t xml:space="preserve">Maslow, A. H. (1964). Religions, values, and peak-experiences. Ohio State University Press.</w:t>
      </w:r>
    </w:p>
    <w:p>
      <w:pPr>
        <w:spacing w:after="160" w:line="240" w:lineRule="auto"/>
        <w:ind w:left="720" w:hanging="720"/>
        <w:jc w:val="left"/>
      </w:pPr>
      <w:r>
        <w:rPr>
          <w:rFonts w:ascii="Times New Roman" w:cs="Times New Roman" w:eastAsia="Times New Roman" w:hAnsi="Times New Roman"/>
          <w:b w:val="false"/>
          <w:bCs w:val="false"/>
          <w:i w:val="false"/>
          <w:iCs w:val="false"/>
          <w:color w:val="000000"/>
          <w:sz w:val="24"/>
          <w:szCs w:val="24"/>
        </w:rPr>
        <w:t xml:space="preserve">Ministerio de Ganadería, Agricultura y Pesca [MGAP]. (2024). Programa de Viticultura Sostenible INAVI. https://descargas.mgap.gub.uy/OPYPA/Anuarios/Anuarioopypa2024/TP/11/TP11web/TP11-ProgramadeViticulturaSostenible.pdf</w:t>
      </w:r>
    </w:p>
    <w:p>
      <w:pPr>
        <w:spacing w:after="160" w:line="240" w:lineRule="auto"/>
        <w:ind w:left="720" w:hanging="720"/>
        <w:jc w:val="left"/>
      </w:pPr>
      <w:r>
        <w:rPr>
          <w:rFonts w:ascii="Times New Roman" w:cs="Times New Roman" w:eastAsia="Times New Roman" w:hAnsi="Times New Roman"/>
          <w:b w:val="false"/>
          <w:bCs w:val="false"/>
          <w:i w:val="false"/>
          <w:iCs w:val="false"/>
          <w:color w:val="000000"/>
          <w:sz w:val="24"/>
          <w:szCs w:val="24"/>
        </w:rPr>
        <w:t xml:space="preserve">Ministerio de Turismo de Uruguay. (2025a). Turismo emisivo: Cuarto trimestre 2024. Observatorio de Turismo Inteligente. https://www.gub.uy/ministerio-turismo/sites/ministerio-turismo/files/2025-01/E4T2024.pdf</w:t>
      </w:r>
    </w:p>
    <w:p>
      <w:pPr>
        <w:spacing w:after="160" w:line="240" w:lineRule="auto"/>
        <w:ind w:left="720" w:hanging="720"/>
        <w:jc w:val="left"/>
      </w:pPr>
      <w:r>
        <w:rPr>
          <w:rFonts w:ascii="Times New Roman" w:cs="Times New Roman" w:eastAsia="Times New Roman" w:hAnsi="Times New Roman"/>
          <w:b w:val="false"/>
          <w:bCs w:val="false"/>
          <w:i w:val="false"/>
          <w:iCs w:val="false"/>
          <w:color w:val="000000"/>
          <w:sz w:val="24"/>
          <w:szCs w:val="24"/>
        </w:rPr>
        <w:t xml:space="preserve">Ministerio de Turismo de Uruguay. (2025b). Turismo emisivo: Primer trimestre 2025. Observatorio de Turismo Inteligente. https://www.gub.uy/ministerio-turismo/sites/ministerio-turismo/files/2025-06/E-1T2025.pdf</w:t>
      </w:r>
    </w:p>
    <w:p>
      <w:pPr>
        <w:spacing w:after="160" w:line="240" w:lineRule="auto"/>
        <w:ind w:left="720" w:hanging="720"/>
        <w:jc w:val="left"/>
      </w:pPr>
      <w:r>
        <w:rPr>
          <w:rFonts w:ascii="Times New Roman" w:cs="Times New Roman" w:eastAsia="Times New Roman" w:hAnsi="Times New Roman"/>
          <w:b w:val="false"/>
          <w:bCs w:val="false"/>
          <w:i w:val="false"/>
          <w:iCs w:val="false"/>
          <w:color w:val="000000"/>
          <w:sz w:val="24"/>
          <w:szCs w:val="24"/>
        </w:rPr>
        <w:t xml:space="preserve">Ministerio de Turismo de Uruguay. (2025c). Turismo emisivo: Tercer trimestre 2025. Observatorio de Turismo Inteligente. https://www.gub.uy/ministerio-turismo/sites/ministerio-turismo/files/2025-10/E3T25.pdf</w:t>
      </w:r>
    </w:p>
    <w:p>
      <w:pPr>
        <w:spacing w:after="160" w:line="240" w:lineRule="auto"/>
        <w:ind w:left="720" w:hanging="720"/>
        <w:jc w:val="left"/>
      </w:pPr>
      <w:r>
        <w:rPr>
          <w:rFonts w:ascii="Times New Roman" w:cs="Times New Roman" w:eastAsia="Times New Roman" w:hAnsi="Times New Roman"/>
          <w:b w:val="false"/>
          <w:bCs w:val="false"/>
          <w:i w:val="false"/>
          <w:iCs w:val="false"/>
          <w:color w:val="000000"/>
          <w:sz w:val="24"/>
          <w:szCs w:val="24"/>
        </w:rPr>
        <w:t xml:space="preserve">Ministerio de Turismo de Uruguay. (s.f.-a). Destino Termas. https://destinotermas.gub.uy/</w:t>
      </w:r>
    </w:p>
    <w:p>
      <w:pPr>
        <w:spacing w:after="160" w:line="240" w:lineRule="auto"/>
        <w:ind w:left="720" w:hanging="720"/>
        <w:jc w:val="left"/>
      </w:pPr>
      <w:r>
        <w:rPr>
          <w:rFonts w:ascii="Times New Roman" w:cs="Times New Roman" w:eastAsia="Times New Roman" w:hAnsi="Times New Roman"/>
          <w:b w:val="false"/>
          <w:bCs w:val="false"/>
          <w:i w:val="false"/>
          <w:iCs w:val="false"/>
          <w:color w:val="000000"/>
          <w:sz w:val="24"/>
          <w:szCs w:val="24"/>
        </w:rPr>
        <w:t xml:space="preserve">Ministerio de Turismo de Uruguay. (s.f.-b). Descubrir la tierra del Tannat, piedras preciosas y termas. Uruguay Natural. https://uruguaynatural.com/es/experiences/descubrir-la-tierra-del-tannat-piedras-preciosas-y-termas/</w:t>
      </w:r>
    </w:p>
    <w:p>
      <w:pPr>
        <w:spacing w:after="160" w:line="240" w:lineRule="auto"/>
        <w:ind w:left="720" w:hanging="720"/>
        <w:jc w:val="left"/>
      </w:pPr>
      <w:r>
        <w:rPr>
          <w:rFonts w:ascii="Times New Roman" w:cs="Times New Roman" w:eastAsia="Times New Roman" w:hAnsi="Times New Roman"/>
          <w:b w:val="false"/>
          <w:bCs w:val="false"/>
          <w:i w:val="false"/>
          <w:iCs w:val="false"/>
          <w:color w:val="000000"/>
          <w:sz w:val="24"/>
          <w:szCs w:val="24"/>
        </w:rPr>
        <w:t xml:space="preserve">Ministerio de Turismo de Uruguay. (s.f.-c). Wine tourism guide / Guía de enoturismo. Uruguay Natural. https://uruguaynatural.com/wp-content/uploads/2023/02/Enoturismo_ESP-ING_7mar2019.pdf</w:t>
      </w:r>
    </w:p>
    <w:p>
      <w:pPr>
        <w:spacing w:after="160" w:line="240" w:lineRule="auto"/>
        <w:ind w:left="720" w:hanging="720"/>
        <w:jc w:val="left"/>
      </w:pPr>
      <w:r>
        <w:rPr>
          <w:rFonts w:ascii="Times New Roman" w:cs="Times New Roman" w:eastAsia="Times New Roman" w:hAnsi="Times New Roman"/>
          <w:b w:val="false"/>
          <w:bCs w:val="false"/>
          <w:i w:val="false"/>
          <w:iCs w:val="false"/>
          <w:color w:val="000000"/>
          <w:sz w:val="24"/>
          <w:szCs w:val="24"/>
        </w:rPr>
        <w:t xml:space="preserve">Montevideo.com. (s.f.). La brecha de precios entre Concordia y Salto creció a un 40%, según informe UC. https://www.montevideo.com.uy/Noticias/La-brecha-de-precios-entre-Concordia-y-Salto-crecio-a-un-40--segun-informe-uc954784</w:t>
      </w:r>
    </w:p>
    <w:p>
      <w:pPr>
        <w:spacing w:after="160" w:line="240" w:lineRule="auto"/>
        <w:ind w:left="720" w:hanging="720"/>
        <w:jc w:val="left"/>
      </w:pPr>
      <w:r>
        <w:rPr>
          <w:rFonts w:ascii="Times New Roman" w:cs="Times New Roman" w:eastAsia="Times New Roman" w:hAnsi="Times New Roman"/>
          <w:b w:val="false"/>
          <w:bCs w:val="false"/>
          <w:i w:val="false"/>
          <w:iCs w:val="false"/>
          <w:color w:val="000000"/>
          <w:sz w:val="24"/>
          <w:szCs w:val="24"/>
        </w:rPr>
        <w:t xml:space="preserve">Observatorio Económico, Universidad Católica del Uruguay Campus Salto [UCU]. (2024). Indicador de Precios Fronterizos, septiembre 2024. https://www.ucu.edu.uy/Institucionales/INFORMES-uc1313/4676/SET-24-compressed.pdf</w:t>
      </w:r>
    </w:p>
    <w:p>
      <w:pPr>
        <w:spacing w:after="160" w:line="240" w:lineRule="auto"/>
        <w:ind w:left="720" w:hanging="720"/>
        <w:jc w:val="left"/>
      </w:pPr>
      <w:r>
        <w:rPr>
          <w:rFonts w:ascii="Times New Roman" w:cs="Times New Roman" w:eastAsia="Times New Roman" w:hAnsi="Times New Roman"/>
          <w:b w:val="false"/>
          <w:bCs w:val="false"/>
          <w:i w:val="false"/>
          <w:iCs w:val="false"/>
          <w:color w:val="000000"/>
          <w:sz w:val="24"/>
          <w:szCs w:val="24"/>
        </w:rPr>
        <w:t xml:space="preserve">Observatorio Económico, Universidad Católica del Uruguay Campus Salto [UCU]. (2025). Estudio del perfil del turista de la Región de Salto Grande.</w:t>
      </w:r>
    </w:p>
    <w:p>
      <w:pPr>
        <w:spacing w:after="160" w:line="240" w:lineRule="auto"/>
        <w:ind w:left="720" w:hanging="720"/>
        <w:jc w:val="left"/>
      </w:pPr>
      <w:r>
        <w:rPr>
          <w:rFonts w:ascii="Times New Roman" w:cs="Times New Roman" w:eastAsia="Times New Roman" w:hAnsi="Times New Roman"/>
          <w:b w:val="false"/>
          <w:bCs w:val="false"/>
          <w:i w:val="false"/>
          <w:iCs w:val="false"/>
          <w:color w:val="000000"/>
          <w:sz w:val="24"/>
          <w:szCs w:val="24"/>
        </w:rPr>
        <w:t xml:space="preserve">Oficina de Planeamiento y Presupuesto [OPP]. (s.f.). Programa vial departamental: Salto. https://www.opp.gub.uy/sites/default/files/inline-files/PVD_SALTO.pdf</w:t>
      </w:r>
    </w:p>
    <w:p>
      <w:pPr>
        <w:spacing w:after="160" w:line="240" w:lineRule="auto"/>
        <w:ind w:left="720" w:hanging="720"/>
        <w:jc w:val="left"/>
      </w:pPr>
      <w:r>
        <w:rPr>
          <w:rFonts w:ascii="Times New Roman" w:cs="Times New Roman" w:eastAsia="Times New Roman" w:hAnsi="Times New Roman"/>
          <w:b w:val="false"/>
          <w:bCs w:val="false"/>
          <w:i w:val="false"/>
          <w:iCs w:val="false"/>
          <w:color w:val="000000"/>
          <w:sz w:val="24"/>
          <w:szCs w:val="24"/>
        </w:rPr>
        <w:t xml:space="preserve">Organización Mundial del Turismo [ONU Turismo]. (s.f.). Desarrollo sostenible. https://www.untourism.int/sustainable-development</w:t>
      </w:r>
    </w:p>
    <w:p>
      <w:pPr>
        <w:spacing w:after="160" w:line="240" w:lineRule="auto"/>
        <w:ind w:left="720" w:hanging="720"/>
        <w:jc w:val="left"/>
      </w:pPr>
      <w:r>
        <w:rPr>
          <w:rFonts w:ascii="Times New Roman" w:cs="Times New Roman" w:eastAsia="Times New Roman" w:hAnsi="Times New Roman"/>
          <w:b w:val="false"/>
          <w:bCs w:val="false"/>
          <w:i w:val="false"/>
          <w:iCs w:val="false"/>
          <w:color w:val="000000"/>
          <w:sz w:val="24"/>
          <w:szCs w:val="24"/>
        </w:rPr>
        <w:t xml:space="preserve">Pasaporte Uruguay. (s.f.). Enoturismo uruguayo recaudó 11 millones de dólares en 2022, informó INAVI. https://pasaporteuruguay.com/turismo/7630-enoturismo-uruguayo-recaudo-11-millones-de-dolares-en-2022-informo-inavi</w:t>
      </w:r>
    </w:p>
    <w:p>
      <w:pPr>
        <w:spacing w:after="160" w:line="240" w:lineRule="auto"/>
        <w:ind w:left="720" w:hanging="720"/>
        <w:jc w:val="left"/>
      </w:pPr>
      <w:r>
        <w:rPr>
          <w:rFonts w:ascii="Times New Roman" w:cs="Times New Roman" w:eastAsia="Times New Roman" w:hAnsi="Times New Roman"/>
          <w:b w:val="false"/>
          <w:bCs w:val="false"/>
          <w:i w:val="false"/>
          <w:iCs w:val="false"/>
          <w:color w:val="000000"/>
          <w:sz w:val="24"/>
          <w:szCs w:val="24"/>
        </w:rPr>
        <w:t xml:space="preserve">Pine, B. J., &amp; Gilmore, J. H. (1998). Welcome to the experience economy. Harvard Business Review, 76(4), 97–105.</w:t>
      </w:r>
    </w:p>
    <w:p>
      <w:pPr>
        <w:spacing w:after="160" w:line="240" w:lineRule="auto"/>
        <w:ind w:left="720" w:hanging="720"/>
        <w:jc w:val="left"/>
      </w:pPr>
      <w:r>
        <w:rPr>
          <w:rFonts w:ascii="Times New Roman" w:cs="Times New Roman" w:eastAsia="Times New Roman" w:hAnsi="Times New Roman"/>
          <w:b w:val="false"/>
          <w:bCs w:val="false"/>
          <w:i w:val="false"/>
          <w:iCs w:val="false"/>
          <w:color w:val="000000"/>
          <w:sz w:val="24"/>
          <w:szCs w:val="24"/>
        </w:rPr>
        <w:t xml:space="preserve">Playa Escondida. (s.f.). Enoturismo y la ruta del vino en Canelones. https://playaescondida.uy/blog/enoturismo-y-ruta-del-vino-canelones-uruguay/</w:t>
      </w:r>
    </w:p>
    <w:p>
      <w:pPr>
        <w:spacing w:after="160" w:line="240" w:lineRule="auto"/>
        <w:ind w:left="720" w:hanging="720"/>
        <w:jc w:val="left"/>
      </w:pPr>
      <w:r>
        <w:rPr>
          <w:rFonts w:ascii="Times New Roman" w:cs="Times New Roman" w:eastAsia="Times New Roman" w:hAnsi="Times New Roman"/>
          <w:b w:val="false"/>
          <w:bCs w:val="false"/>
          <w:i w:val="false"/>
          <w:iCs w:val="false"/>
          <w:color w:val="000000"/>
          <w:sz w:val="24"/>
          <w:szCs w:val="24"/>
        </w:rPr>
        <w:t xml:space="preserve">Por las Catas. (2018). Bodega Bertolini &amp; Broglio. De Salto vienen los mejores vinos uruguayos. http://porlascatas.blogspot.com/2018/03/bodega-bertolini-y-broglio-de-salto.html</w:t>
      </w:r>
    </w:p>
    <w:p>
      <w:pPr>
        <w:spacing w:after="160" w:line="240" w:lineRule="auto"/>
        <w:ind w:left="720" w:hanging="720"/>
        <w:jc w:val="left"/>
      </w:pPr>
      <w:r>
        <w:rPr>
          <w:rFonts w:ascii="Times New Roman" w:cs="Times New Roman" w:eastAsia="Times New Roman" w:hAnsi="Times New Roman"/>
          <w:b w:val="false"/>
          <w:bCs w:val="false"/>
          <w:i w:val="false"/>
          <w:iCs w:val="false"/>
          <w:color w:val="000000"/>
          <w:sz w:val="24"/>
          <w:szCs w:val="24"/>
        </w:rPr>
        <w:t xml:space="preserve">Presidencia de la República. (2014). Ley N.º 19.253. http://archivo.presidencia.gub.uy/sci/leyes/2014/08/mintur_660.pdf</w:t>
      </w:r>
    </w:p>
    <w:p>
      <w:pPr>
        <w:spacing w:after="160" w:line="240" w:lineRule="auto"/>
        <w:ind w:left="720" w:hanging="720"/>
        <w:jc w:val="left"/>
      </w:pPr>
      <w:r>
        <w:rPr>
          <w:rFonts w:ascii="Times New Roman" w:cs="Times New Roman" w:eastAsia="Times New Roman" w:hAnsi="Times New Roman"/>
          <w:b w:val="false"/>
          <w:bCs w:val="false"/>
          <w:i w:val="false"/>
          <w:iCs w:val="false"/>
          <w:color w:val="000000"/>
          <w:sz w:val="24"/>
          <w:szCs w:val="24"/>
        </w:rPr>
        <w:t xml:space="preserve">PuntoVid. (s.f.). Del 13 al 18 de abril, Uruguay celebra su cepa insignia: el Tannat, la herencia Harriague. https://puntovid.com.ar/del-13-al-18-de-abril-uruguay-celebra-su-cepa-insginia-el-tannat-la-herencia-harriague/</w:t>
      </w:r>
    </w:p>
    <w:p>
      <w:pPr>
        <w:spacing w:after="160" w:line="240" w:lineRule="auto"/>
        <w:ind w:left="720" w:hanging="720"/>
        <w:jc w:val="left"/>
      </w:pPr>
      <w:r>
        <w:rPr>
          <w:rFonts w:ascii="Times New Roman" w:cs="Times New Roman" w:eastAsia="Times New Roman" w:hAnsi="Times New Roman"/>
          <w:b w:val="false"/>
          <w:bCs w:val="false"/>
          <w:i w:val="false"/>
          <w:iCs w:val="false"/>
          <w:color w:val="000000"/>
          <w:sz w:val="24"/>
          <w:szCs w:val="24"/>
        </w:rPr>
        <w:t xml:space="preserve">Radio Tabaré. (s.f.). Concordia promedió el 60% de ocupación hotelera durante el fin de semana con alta presencia de salteños. https://www.radiotabare.com.uy/concordia-promedio-el-60-de-ocupacion-hotelera-durante-el-fin-de-semana-con-alta-presencia-de-saltenos/</w:t>
      </w:r>
    </w:p>
    <w:p>
      <w:pPr>
        <w:spacing w:after="160" w:line="240" w:lineRule="auto"/>
        <w:ind w:left="720" w:hanging="720"/>
        <w:jc w:val="left"/>
      </w:pPr>
      <w:r>
        <w:rPr>
          <w:rFonts w:ascii="Times New Roman" w:cs="Times New Roman" w:eastAsia="Times New Roman" w:hAnsi="Times New Roman"/>
          <w:b w:val="false"/>
          <w:bCs w:val="false"/>
          <w:i w:val="false"/>
          <w:iCs w:val="false"/>
          <w:color w:val="000000"/>
          <w:sz w:val="24"/>
          <w:szCs w:val="24"/>
        </w:rPr>
        <w:t xml:space="preserve">Redalyc. (s.f.). Historia del turismo en Salto: desde el encuentro social al esparcimiento termal. https://www.redalyc.org/pdf/276/27621284004.pdf</w:t>
      </w:r>
    </w:p>
    <w:p>
      <w:pPr>
        <w:spacing w:after="160" w:line="240" w:lineRule="auto"/>
        <w:ind w:left="720" w:hanging="720"/>
        <w:jc w:val="left"/>
      </w:pPr>
      <w:r>
        <w:rPr>
          <w:rFonts w:ascii="Times New Roman" w:cs="Times New Roman" w:eastAsia="Times New Roman" w:hAnsi="Times New Roman"/>
          <w:b w:val="false"/>
          <w:bCs w:val="false"/>
          <w:i w:val="false"/>
          <w:iCs w:val="false"/>
          <w:color w:val="000000"/>
          <w:sz w:val="24"/>
          <w:szCs w:val="24"/>
        </w:rPr>
        <w:t xml:space="preserve">Ruta del Vino Carmelo. (s.f.). Bodegas y experiencias en Uruguay. https://enoturismocarmelo.com.uy/</w:t>
      </w:r>
    </w:p>
    <w:p>
      <w:pPr>
        <w:spacing w:after="160" w:line="240" w:lineRule="auto"/>
        <w:ind w:left="720" w:hanging="720"/>
        <w:jc w:val="left"/>
      </w:pPr>
      <w:r>
        <w:rPr>
          <w:rFonts w:ascii="Times New Roman" w:cs="Times New Roman" w:eastAsia="Times New Roman" w:hAnsi="Times New Roman"/>
          <w:b w:val="false"/>
          <w:bCs w:val="false"/>
          <w:i w:val="false"/>
          <w:iCs w:val="false"/>
          <w:color w:val="000000"/>
          <w:sz w:val="24"/>
          <w:szCs w:val="24"/>
        </w:rPr>
        <w:t xml:space="preserve">Salto Sale!. (s.f.). Semana de Pascual Harriague. https://saltosale.com/semana-de-pascual-harriague-3/</w:t>
      </w:r>
    </w:p>
    <w:p>
      <w:pPr>
        <w:spacing w:after="160" w:line="240" w:lineRule="auto"/>
        <w:ind w:left="720" w:hanging="720"/>
        <w:jc w:val="left"/>
      </w:pPr>
      <w:r>
        <w:rPr>
          <w:rFonts w:ascii="Times New Roman" w:cs="Times New Roman" w:eastAsia="Times New Roman" w:hAnsi="Times New Roman"/>
          <w:b w:val="false"/>
          <w:bCs w:val="false"/>
          <w:i w:val="false"/>
          <w:iCs w:val="false"/>
          <w:color w:val="000000"/>
          <w:sz w:val="24"/>
          <w:szCs w:val="24"/>
        </w:rPr>
        <w:t xml:space="preserve">Servicio Nacional de Turismo de Chile [Sernatur]. (2025). Brasil - Chile travel market report 2025. https://www.sernatur.cl/wp-content/uploads/2025/10/BRASIL-Chile-Travel-Market-Report-2025.pdf</w:t>
      </w:r>
    </w:p>
    <w:p>
      <w:pPr>
        <w:spacing w:after="160" w:line="240" w:lineRule="auto"/>
        <w:ind w:left="720" w:hanging="720"/>
        <w:jc w:val="left"/>
      </w:pPr>
      <w:r>
        <w:rPr>
          <w:rFonts w:ascii="Times New Roman" w:cs="Times New Roman" w:eastAsia="Times New Roman" w:hAnsi="Times New Roman"/>
          <w:b w:val="false"/>
          <w:bCs w:val="false"/>
          <w:i w:val="false"/>
          <w:iCs w:val="false"/>
          <w:color w:val="000000"/>
          <w:sz w:val="24"/>
          <w:szCs w:val="24"/>
        </w:rPr>
        <w:t xml:space="preserve">Shop News. (s.f.). El Tannat y Harriague: raíces profundas en la tierra de Salto. https://shopnews.com.uy/el-tannat-y-harriague-raices-profundas-en-la-tierra-de-salto/</w:t>
      </w:r>
    </w:p>
    <w:p>
      <w:pPr>
        <w:spacing w:after="160" w:line="240" w:lineRule="auto"/>
        <w:ind w:left="720" w:hanging="720"/>
        <w:jc w:val="left"/>
      </w:pPr>
      <w:r>
        <w:rPr>
          <w:rFonts w:ascii="Times New Roman" w:cs="Times New Roman" w:eastAsia="Times New Roman" w:hAnsi="Times New Roman"/>
          <w:b w:val="false"/>
          <w:bCs w:val="false"/>
          <w:i w:val="false"/>
          <w:iCs w:val="false"/>
          <w:color w:val="000000"/>
          <w:sz w:val="24"/>
          <w:szCs w:val="24"/>
        </w:rPr>
        <w:t xml:space="preserve">Tardáguila. (s.f.). Enoturismo en Uruguay genera ingresos de US$ 11 millones anuales. https://tardaguila.uy/varios/enoturismo-en-uruguay-genera-ingresos-de-us-11-millones-anuales</w:t>
      </w:r>
    </w:p>
    <w:p>
      <w:pPr>
        <w:spacing w:after="160" w:line="240" w:lineRule="auto"/>
        <w:ind w:left="720" w:hanging="720"/>
        <w:jc w:val="left"/>
      </w:pPr>
      <w:r>
        <w:rPr>
          <w:rFonts w:ascii="Times New Roman" w:cs="Times New Roman" w:eastAsia="Times New Roman" w:hAnsi="Times New Roman"/>
          <w:b w:val="false"/>
          <w:bCs w:val="false"/>
          <w:i w:val="false"/>
          <w:iCs w:val="false"/>
          <w:color w:val="000000"/>
          <w:sz w:val="24"/>
          <w:szCs w:val="24"/>
        </w:rPr>
        <w:t xml:space="preserve">Todo Uruguay. (s.f.). Visita a bodega boutique de Salto [Video]. YouTube. https://www.youtube.com/watch?v=PZz0xnOJWbE</w:t>
      </w:r>
    </w:p>
    <w:p>
      <w:pPr>
        <w:spacing w:after="160" w:line="240" w:lineRule="auto"/>
        <w:ind w:left="720" w:hanging="720"/>
        <w:jc w:val="left"/>
      </w:pPr>
      <w:r>
        <w:rPr>
          <w:rFonts w:ascii="Times New Roman" w:cs="Times New Roman" w:eastAsia="Times New Roman" w:hAnsi="Times New Roman"/>
          <w:b w:val="false"/>
          <w:bCs w:val="false"/>
          <w:i w:val="false"/>
          <w:iCs w:val="false"/>
          <w:color w:val="000000"/>
          <w:sz w:val="24"/>
          <w:szCs w:val="24"/>
        </w:rPr>
        <w:t xml:space="preserve">Urry, J. (2002). The tourist gaze (2.ª ed.). Sage Publications. (Trabajo original publicado en 1990)</w:t>
      </w:r>
    </w:p>
    <w:p>
      <w:pPr>
        <w:spacing w:after="160" w:line="240" w:lineRule="auto"/>
        <w:ind w:left="720" w:hanging="720"/>
        <w:jc w:val="left"/>
      </w:pPr>
      <w:r>
        <w:rPr>
          <w:rFonts w:ascii="Times New Roman" w:cs="Times New Roman" w:eastAsia="Times New Roman" w:hAnsi="Times New Roman"/>
          <w:b w:val="false"/>
          <w:bCs w:val="false"/>
          <w:i w:val="false"/>
          <w:iCs w:val="false"/>
          <w:color w:val="000000"/>
          <w:sz w:val="24"/>
          <w:szCs w:val="24"/>
        </w:rPr>
        <w:t xml:space="preserve">Uruguay. (1987). Ley N.º 15.903: Rendición de Cuentas y Balance de Ejecución Presupuestal, Ejercicio 1986 (norma de creación y regulación del INAVI). Diario Oficial. https://www.impo.com.uy/bases/leyes/15903-1987</w:t>
      </w:r>
    </w:p>
    <w:p>
      <w:pPr>
        <w:spacing w:after="160" w:line="240" w:lineRule="auto"/>
        <w:ind w:left="720" w:hanging="720"/>
        <w:jc w:val="left"/>
      </w:pPr>
      <w:r>
        <w:rPr>
          <w:rFonts w:ascii="Times New Roman" w:cs="Times New Roman" w:eastAsia="Times New Roman" w:hAnsi="Times New Roman"/>
          <w:b w:val="false"/>
          <w:bCs w:val="false"/>
          <w:i w:val="false"/>
          <w:iCs w:val="false"/>
          <w:color w:val="000000"/>
          <w:sz w:val="24"/>
          <w:szCs w:val="24"/>
        </w:rPr>
        <w:t xml:space="preserve">Uruguay en Vinos. (2021). Informe vendimia — Uruguay 2021. https://uruguayenvinos.com/docs/GabiZimmer_Informe_Vendimia_Uruguay2021_SP.pdf</w:t>
      </w:r>
    </w:p>
    <w:p>
      <w:pPr>
        <w:spacing w:after="160" w:line="240" w:lineRule="auto"/>
        <w:ind w:left="720" w:hanging="720"/>
        <w:jc w:val="left"/>
      </w:pPr>
      <w:r>
        <w:rPr>
          <w:rFonts w:ascii="Times New Roman" w:cs="Times New Roman" w:eastAsia="Times New Roman" w:hAnsi="Times New Roman"/>
          <w:b w:val="false"/>
          <w:bCs w:val="false"/>
          <w:i w:val="false"/>
          <w:iCs w:val="false"/>
          <w:color w:val="000000"/>
          <w:sz w:val="24"/>
          <w:szCs w:val="24"/>
        </w:rPr>
        <w:t xml:space="preserve">Uruguay. Poder Ejecutivo. (2010). Decreto N.° 370/010: Regulación del Turismo Enológico. Marco Jurídico. Registro Nacional de Leyes y Decretos, Tomo 2, Semestre 2, Año 2010, p. 1420. IMPO. https://www.impo.com.uy/bases/decretos/370-2010</w:t>
      </w:r>
    </w:p>
    <w:p>
      <w:pPr>
        <w:spacing w:after="160" w:line="240" w:lineRule="auto"/>
        <w:ind w:left="720" w:hanging="720"/>
        <w:jc w:val="left"/>
      </w:pPr>
      <w:r>
        <w:rPr>
          <w:rFonts w:ascii="Times New Roman" w:cs="Times New Roman" w:eastAsia="Times New Roman" w:hAnsi="Times New Roman"/>
          <w:b w:val="false"/>
          <w:bCs w:val="false"/>
          <w:i w:val="false"/>
          <w:iCs w:val="false"/>
          <w:color w:val="000000"/>
          <w:sz w:val="24"/>
          <w:szCs w:val="24"/>
        </w:rPr>
        <w:t xml:space="preserve">Winesof. (s.f.). Don Pascual Harriague: el pionero del Tannat y una festividad que honra su legado. https://www.winesof.wine/uruguay/noticia/user/don-pascual-harriague-el-pionero-del-tannat-y-una-festividad-que-honra-su-legado</w:t>
      </w:r>
    </w:p>
    <w:p>
      <w:pPr>
        <w:spacing w:after="160" w:line="240" w:lineRule="auto"/>
        <w:ind w:left="720" w:hanging="720"/>
        <w:jc w:val="left"/>
      </w:pPr>
      <w:r>
        <w:rPr>
          <w:rFonts w:ascii="Times New Roman" w:cs="Times New Roman" w:eastAsia="Times New Roman" w:hAnsi="Times New Roman"/>
          <w:b w:val="false"/>
          <w:bCs w:val="false"/>
          <w:i w:val="false"/>
          <w:iCs w:val="false"/>
          <w:color w:val="000000"/>
          <w:sz w:val="24"/>
          <w:szCs w:val="24"/>
        </w:rPr>
        <w:t xml:space="preserve">Yvera. (s.f.). Informe de mercado: Uruguay. https://www.yvera.tur.ar/sinta/informe/documentos/descarga/5cb0af2f9496e699071138.pdf</w:t>
      </w:r>
    </w:p>
    <w:p>
      <w:pPr>
        <w:pStyle w:val="Heading1"/>
        <w:keepNext/>
        <w:pageBreakBefore/>
        <w:spacing w:after="240" w:before="0" w:line="240" w:lineRule="auto"/>
        <w:jc w:val="center"/>
      </w:pPr>
      <w:r>
        <w:rPr>
          <w:rFonts w:ascii="Times New Roman" w:cs="Times New Roman" w:eastAsia="Times New Roman" w:hAnsi="Times New Roman"/>
          <w:b/>
          <w:bCs/>
          <w:i w:val="false"/>
          <w:iCs w:val="false"/>
          <w:color w:val="000000"/>
          <w:sz w:val="24"/>
          <w:szCs w:val="24"/>
        </w:rPr>
        <w:t xml:space="preserve">Anexos</w:t>
      </w:r>
    </w:p>
    <w:p>
      <w:pPr>
        <w:keepNext w:val="false"/>
        <w:spacing w:after="160" w:line="240" w:lineRule="auto"/>
        <w:jc w:val="both"/>
      </w:pPr>
      <w:r>
        <w:rPr>
          <w:rFonts w:ascii="Times New Roman" w:cs="Times New Roman" w:eastAsia="Times New Roman" w:hAnsi="Times New Roman"/>
          <w:b w:val="false"/>
          <w:bCs w:val="false"/>
          <w:i w:val="false"/>
          <w:iCs w:val="false"/>
          <w:color w:val="000000"/>
          <w:sz w:val="24"/>
          <w:szCs w:val="24"/>
        </w:rPr>
        <w:t xml:space="preserve">Se presenta un anexo por capítulo, con el material de respaldo real (instrumentos, fichas y matrices) en lugar de una descripción genérica de su contenido.</w:t>
      </w:r>
    </w:p>
    <w:p>
      <w:pPr>
        <w:pStyle w:val="Heading2"/>
        <w:keepNext/>
        <w:spacing w:after="160" w:before="240" w:line="240" w:lineRule="auto"/>
        <w:jc w:val="left"/>
      </w:pPr>
      <w:r>
        <w:rPr>
          <w:rFonts w:ascii="Times New Roman" w:cs="Times New Roman" w:eastAsia="Times New Roman" w:hAnsi="Times New Roman"/>
          <w:b/>
          <w:bCs/>
          <w:i w:val="false"/>
          <w:iCs w:val="false"/>
          <w:color w:val="000000"/>
          <w:sz w:val="24"/>
          <w:szCs w:val="24"/>
        </w:rPr>
        <w:t xml:space="preserve">Anexo Capítulo 1 — Ficha de Inventario de Activos Vitivinícolas e Históricos</w:t>
      </w:r>
    </w:p>
    <w:p>
      <w:pPr>
        <w:keepNext w:val="false"/>
        <w:spacing w:after="160" w:line="240" w:lineRule="auto"/>
        <w:jc w:val="both"/>
      </w:pPr>
      <w:r>
        <w:rPr>
          <w:rFonts w:ascii="Times New Roman" w:cs="Times New Roman" w:eastAsia="Times New Roman" w:hAnsi="Times New Roman"/>
          <w:b w:val="false"/>
          <w:bCs w:val="false"/>
          <w:i w:val="false"/>
          <w:iCs w:val="false"/>
          <w:color w:val="000000"/>
          <w:sz w:val="24"/>
          <w:szCs w:val="24"/>
        </w:rPr>
        <w:t xml:space="preserve">Formulario técnico a completar en el relevamiento de campo de cada activo (Bodega Harriague, viñedos de Colonia Osimani y Parada Daymán):</w:t>
      </w:r>
    </w:p>
    <w:tbl>
      <w:tblPr>
        <w:tblW w:type="dxa" w:w="8504"/>
        <w:tblBorders>
          <w:top w:val="single" w:color="000000" w:sz="4"/>
          <w:left w:val="single" w:color="000000" w:sz="4"/>
          <w:bottom w:val="single" w:color="000000" w:sz="4"/>
          <w:right w:val="single" w:color="000000" w:sz="4"/>
          <w:insideH w:val="single" w:color="999999" w:sz="2"/>
          <w:insideV w:val="single" w:color="999999" w:sz="2"/>
        </w:tblBorders>
      </w:tblPr>
      <w:tblGrid>
        <w:gridCol w:w="4756"/>
        <w:gridCol w:w="3748"/>
      </w:tblGrid>
      <w:tr>
        <w:trPr>
          <w:cantSplit/>
        </w:trPr>
        <w:tc>
          <w:tcPr>
            <w:tcW w:type="dxa" w:w="4756"/>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i w:val="false"/>
                <w:iCs w:val="false"/>
                <w:color w:val="000000"/>
                <w:sz w:val="22"/>
                <w:szCs w:val="22"/>
              </w:rPr>
              <w:t xml:space="preserve">Campo</w:t>
            </w:r>
          </w:p>
        </w:tc>
        <w:tc>
          <w:tcPr>
            <w:tcW w:type="dxa" w:w="3748"/>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i w:val="false"/>
                <w:iCs w:val="false"/>
                <w:color w:val="000000"/>
                <w:sz w:val="22"/>
                <w:szCs w:val="22"/>
              </w:rPr>
              <w:t xml:space="preserve">Detalle a completar</w:t>
            </w:r>
          </w:p>
        </w:tc>
      </w:tr>
      <w:tr>
        <w:trPr>
          <w:cantSplit/>
        </w:trPr>
        <w:tc>
          <w:tcPr>
            <w:tcW w:type="dxa" w:w="4756"/>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Nombre del activo</w:t>
            </w:r>
          </w:p>
        </w:tc>
        <w:tc>
          <w:tcPr>
            <w:tcW w:type="dxa" w:w="3748"/>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[COMPLETAR]</w:t>
            </w:r>
          </w:p>
        </w:tc>
      </w:tr>
      <w:tr>
        <w:trPr>
          <w:cantSplit/>
        </w:trPr>
        <w:tc>
          <w:tcPr>
            <w:tcW w:type="dxa" w:w="4756"/>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Coordenadas (lat./long.)</w:t>
            </w:r>
          </w:p>
        </w:tc>
        <w:tc>
          <w:tcPr>
            <w:tcW w:type="dxa" w:w="3748"/>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[COMPLETAR]</w:t>
            </w:r>
          </w:p>
        </w:tc>
      </w:tr>
      <w:tr>
        <w:trPr>
          <w:cantSplit/>
        </w:trPr>
        <w:tc>
          <w:tcPr>
            <w:tcW w:type="dxa" w:w="4756"/>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Tipo de activo</w:t>
            </w:r>
          </w:p>
        </w:tc>
        <w:tc>
          <w:tcPr>
            <w:tcW w:type="dxa" w:w="3748"/>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Arqueológico / productivo / paisajístico</w:t>
            </w:r>
          </w:p>
        </w:tc>
      </w:tr>
      <w:tr>
        <w:trPr>
          <w:cantSplit/>
        </w:trPr>
        <w:tc>
          <w:tcPr>
            <w:tcW w:type="dxa" w:w="4756"/>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Estado de conservación</w:t>
            </w:r>
          </w:p>
        </w:tc>
        <w:tc>
          <w:tcPr>
            <w:tcW w:type="dxa" w:w="3748"/>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Bueno / regular / malo — observaciones</w:t>
            </w:r>
          </w:p>
        </w:tc>
      </w:tr>
      <w:tr>
        <w:trPr>
          <w:cantSplit/>
        </w:trPr>
        <w:tc>
          <w:tcPr>
            <w:tcW w:type="dxa" w:w="4756"/>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Accesibilidad vehicular</w:t>
            </w:r>
          </w:p>
        </w:tc>
        <w:tc>
          <w:tcPr>
            <w:tcW w:type="dxa" w:w="3748"/>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Pavimento / ripio / tierra — estado en día de lluvia</w:t>
            </w:r>
          </w:p>
        </w:tc>
      </w:tr>
      <w:tr>
        <w:trPr>
          <w:cantSplit/>
        </w:trPr>
        <w:tc>
          <w:tcPr>
            <w:tcW w:type="dxa" w:w="4756"/>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Variedad(es) de vid / portainjertos y clones</w:t>
            </w:r>
          </w:p>
        </w:tc>
        <w:tc>
          <w:tcPr>
            <w:tcW w:type="dxa" w:w="3748"/>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[COMPLETAR, cuando corresponda]</w:t>
            </w:r>
          </w:p>
        </w:tc>
      </w:tr>
      <w:tr>
        <w:trPr>
          <w:cantSplit/>
        </w:trPr>
        <w:tc>
          <w:tcPr>
            <w:tcW w:type="dxa" w:w="4756"/>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Capacidad de recepción de visitantes</w:t>
            </w:r>
          </w:p>
        </w:tc>
        <w:tc>
          <w:tcPr>
            <w:tcW w:type="dxa" w:w="3748"/>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[COMPLETAR]</w:t>
            </w:r>
          </w:p>
        </w:tc>
      </w:tr>
      <w:tr>
        <w:trPr>
          <w:cantSplit/>
        </w:trPr>
        <w:tc>
          <w:tcPr>
            <w:tcW w:type="dxa" w:w="4756"/>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Infraestructura disponible (baños, estacionamiento, salón de cata)</w:t>
            </w:r>
          </w:p>
        </w:tc>
        <w:tc>
          <w:tcPr>
            <w:tcW w:type="dxa" w:w="3748"/>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[COMPLETAR]</w:t>
            </w:r>
          </w:p>
        </w:tc>
      </w:tr>
      <w:tr>
        <w:trPr>
          <w:cantSplit/>
        </w:trPr>
        <w:tc>
          <w:tcPr>
            <w:tcW w:type="dxa" w:w="4756"/>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Responsable / contacto</w:t>
            </w:r>
          </w:p>
        </w:tc>
        <w:tc>
          <w:tcPr>
            <w:tcW w:type="dxa" w:w="3748"/>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[COMPLETAR]</w:t>
            </w:r>
          </w:p>
        </w:tc>
      </w:tr>
      <w:tr>
        <w:trPr>
          <w:cantSplit/>
        </w:trPr>
        <w:tc>
          <w:tcPr>
            <w:tcW w:type="dxa" w:w="4756"/>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Observaciones</w:t>
            </w:r>
          </w:p>
        </w:tc>
        <w:tc>
          <w:tcPr>
            <w:tcW w:type="dxa" w:w="3748"/>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[COMPLETAR]</w:t>
            </w:r>
          </w:p>
        </w:tc>
      </w:tr>
    </w:tbl>
    <w:p>
      <w:pPr>
        <w:spacing w:after="160"/>
      </w:pPr>
    </w:p>
    <w:p>
      <w:pPr>
        <w:pStyle w:val="Heading2"/>
        <w:keepNext/>
        <w:spacing w:after="160" w:before="240" w:line="240" w:lineRule="auto"/>
        <w:jc w:val="left"/>
      </w:pPr>
      <w:r>
        <w:rPr>
          <w:rFonts w:ascii="Times New Roman" w:cs="Times New Roman" w:eastAsia="Times New Roman" w:hAnsi="Times New Roman"/>
          <w:b/>
          <w:bCs/>
          <w:i w:val="false"/>
          <w:iCs w:val="false"/>
          <w:color w:val="000000"/>
          <w:sz w:val="24"/>
          <w:szCs w:val="24"/>
        </w:rPr>
        <w:t xml:space="preserve">Anexo Capítulo 2 — Matriz de Indicadores del Marco Teórico</w:t>
      </w:r>
    </w:p>
    <w:tbl>
      <w:tblPr>
        <w:tblW w:type="dxa" w:w="8504"/>
        <w:tblBorders>
          <w:top w:val="single" w:color="000000" w:sz="4"/>
          <w:left w:val="single" w:color="000000" w:sz="4"/>
          <w:bottom w:val="single" w:color="000000" w:sz="4"/>
          <w:right w:val="single" w:color="000000" w:sz="4"/>
          <w:insideH w:val="single" w:color="999999" w:sz="2"/>
          <w:insideV w:val="single" w:color="999999" w:sz="2"/>
        </w:tblBorders>
      </w:tblPr>
      <w:tblGrid>
        <w:gridCol w:w="1931"/>
        <w:gridCol w:w="4596"/>
        <w:gridCol w:w="1977"/>
      </w:tblGrid>
      <w:tr>
        <w:trPr>
          <w:cantSplit/>
        </w:trPr>
        <w:tc>
          <w:tcPr>
            <w:tcW w:type="dxa" w:w="1931"/>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i w:val="false"/>
                <w:iCs w:val="false"/>
                <w:color w:val="000000"/>
                <w:sz w:val="22"/>
                <w:szCs w:val="22"/>
              </w:rPr>
              <w:t xml:space="preserve">Variable conceptual</w:t>
            </w:r>
          </w:p>
        </w:tc>
        <w:tc>
          <w:tcPr>
            <w:tcW w:type="dxa" w:w="4596"/>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i w:val="false"/>
                <w:iCs w:val="false"/>
                <w:color w:val="000000"/>
                <w:sz w:val="22"/>
                <w:szCs w:val="22"/>
              </w:rPr>
              <w:t xml:space="preserve">Indicador operativo</w:t>
            </w:r>
          </w:p>
        </w:tc>
        <w:tc>
          <w:tcPr>
            <w:tcW w:type="dxa" w:w="1977"/>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i w:val="false"/>
                <w:iCs w:val="false"/>
                <w:color w:val="000000"/>
                <w:sz w:val="22"/>
                <w:szCs w:val="22"/>
              </w:rPr>
              <w:t xml:space="preserve">Fuente de verificación</w:t>
            </w:r>
          </w:p>
        </w:tc>
      </w:tr>
      <w:tr>
        <w:trPr>
          <w:cantSplit/>
        </w:trPr>
        <w:tc>
          <w:tcPr>
            <w:tcW w:type="dxa" w:w="1931"/>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Desestacionalización del turismo</w:t>
            </w:r>
          </w:p>
        </w:tc>
        <w:tc>
          <w:tcPr>
            <w:tcW w:type="dxa" w:w="4596"/>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Variación mensual de turistas del circuito respecto a la curva termal tradicional</w:t>
            </w:r>
          </w:p>
        </w:tc>
        <w:tc>
          <w:tcPr>
            <w:tcW w:type="dxa" w:w="1977"/>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Registros de reservas del Comité de Gestión</w:t>
            </w:r>
          </w:p>
        </w:tc>
      </w:tr>
      <w:tr>
        <w:trPr>
          <w:cantSplit/>
        </w:trPr>
        <w:tc>
          <w:tcPr>
            <w:tcW w:type="dxa" w:w="1931"/>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Eslabonamientos productivos rurales</w:t>
            </w:r>
          </w:p>
        </w:tc>
        <w:tc>
          <w:tcPr>
            <w:tcW w:type="dxa" w:w="4596"/>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N.º de proveedores locales activos (quesos, panificados, mermeladas) por temporada</w:t>
            </w:r>
          </w:p>
        </w:tc>
        <w:tc>
          <w:tcPr>
            <w:tcW w:type="dxa" w:w="1977"/>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Convenios de abastecimiento local</w:t>
            </w:r>
          </w:p>
        </w:tc>
      </w:tr>
      <w:tr>
        <w:trPr>
          <w:cantSplit/>
        </w:trPr>
        <w:tc>
          <w:tcPr>
            <w:tcW w:type="dxa" w:w="1931"/>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Recordación de la narrativa histórica</w:t>
            </w:r>
          </w:p>
        </w:tc>
        <w:tc>
          <w:tcPr>
            <w:tcW w:type="dxa" w:w="4596"/>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 de visitantes que identifica correctamente el origen de Pascual Harriague y el Tannat tras el tour</w:t>
            </w:r>
          </w:p>
        </w:tc>
        <w:tc>
          <w:tcPr>
            <w:tcW w:type="dxa" w:w="1977"/>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Cuestionario QR post-visita (Anexo Cap. 6)</w:t>
            </w:r>
          </w:p>
        </w:tc>
      </w:tr>
      <w:tr>
        <w:trPr>
          <w:cantSplit/>
        </w:trPr>
        <w:tc>
          <w:tcPr>
            <w:tcW w:type="dxa" w:w="1931"/>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Experiencia transformadora (Ahlfert, 2012)</w:t>
            </w:r>
          </w:p>
        </w:tc>
        <w:tc>
          <w:tcPr>
            <w:tcW w:type="dxa" w:w="4596"/>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Puntaje de satisfacción emocional / recomendación (NPS)</w:t>
            </w:r>
          </w:p>
        </w:tc>
        <w:tc>
          <w:tcPr>
            <w:tcW w:type="dxa" w:w="1977"/>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Cuestionario QR post-visita</w:t>
            </w:r>
          </w:p>
        </w:tc>
      </w:tr>
    </w:tbl>
    <w:p>
      <w:pPr>
        <w:spacing w:after="160"/>
      </w:pPr>
    </w:p>
    <w:p>
      <w:pPr>
        <w:pStyle w:val="Heading2"/>
        <w:keepNext/>
        <w:spacing w:after="160" w:before="240" w:line="240" w:lineRule="auto"/>
        <w:jc w:val="left"/>
      </w:pPr>
      <w:r>
        <w:rPr>
          <w:rFonts w:ascii="Times New Roman" w:cs="Times New Roman" w:eastAsia="Times New Roman" w:hAnsi="Times New Roman"/>
          <w:b/>
          <w:bCs/>
          <w:i w:val="false"/>
          <w:iCs w:val="false"/>
          <w:color w:val="000000"/>
          <w:sz w:val="24"/>
          <w:szCs w:val="24"/>
        </w:rPr>
        <w:t xml:space="preserve">Anexo Capítulo 3 — Instrumentos de Recolección de Datos</w:t>
      </w:r>
    </w:p>
    <w:p>
      <w:pPr>
        <w:pStyle w:val="Heading3"/>
        <w:keepNext/>
        <w:spacing w:after="120" w:before="200" w:line="240" w:lineRule="auto"/>
        <w:jc w:val="left"/>
      </w:pPr>
      <w:r>
        <w:rPr>
          <w:rFonts w:ascii="Times New Roman" w:cs="Times New Roman" w:eastAsia="Times New Roman" w:hAnsi="Times New Roman"/>
          <w:b/>
          <w:bCs/>
          <w:i/>
          <w:iCs/>
          <w:color w:val="000000"/>
          <w:sz w:val="24"/>
          <w:szCs w:val="24"/>
        </w:rPr>
        <w:t xml:space="preserve">A. Cuestionario a turistas (versión imprimible)</w:t>
      </w:r>
    </w:p>
    <w:p>
      <w:pPr>
        <w:keepNext w:val="false"/>
        <w:spacing w:after="160" w:line="240" w:lineRule="auto"/>
        <w:jc w:val="both"/>
      </w:pPr>
      <w:r>
        <w:rPr>
          <w:rFonts w:ascii="Times New Roman" w:cs="Times New Roman" w:eastAsia="Times New Roman" w:hAnsi="Times New Roman"/>
          <w:b w:val="false"/>
          <w:bCs w:val="false"/>
          <w:i w:val="false"/>
          <w:iCs w:val="false"/>
          <w:color w:val="000000"/>
          <w:sz w:val="24"/>
          <w:szCs w:val="24"/>
        </w:rPr>
        <w:t xml:space="preserve">Encuesta anónima — Ruta del Tannat. Duración estimada: 5 minutos. Marque con una X.</w:t>
      </w:r>
    </w:p>
    <w:p>
      <w:pPr>
        <w:spacing w:after="120" w:line="240" w:lineRule="auto"/>
        <w:ind w:left="720" w:hanging="360"/>
        <w:jc w:val="both"/>
      </w:pPr>
      <w:r>
        <w:rPr>
          <w:rFonts w:ascii="Times New Roman" w:cs="Times New Roman" w:eastAsia="Times New Roman" w:hAnsi="Times New Roman"/>
          <w:color w:val="000000"/>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¿De dónde viene? Montevideo / interior de Uruguay / Argentina / Brasil / otro: ____</w:t>
      </w:r>
    </w:p>
    <w:p>
      <w:pPr>
        <w:spacing w:after="120" w:line="240" w:lineRule="auto"/>
        <w:ind w:left="720" w:hanging="360"/>
        <w:jc w:val="both"/>
      </w:pPr>
      <w:r>
        <w:rPr>
          <w:rFonts w:ascii="Times New Roman" w:cs="Times New Roman" w:eastAsia="Times New Roman" w:hAnsi="Times New Roman"/>
          <w:color w:val="000000"/>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Motivo principal del viaje a Salto: descanso termal / visita familiar / negocios / otro: ____</w:t>
      </w:r>
    </w:p>
    <w:p>
      <w:pPr>
        <w:spacing w:after="120" w:line="240" w:lineRule="auto"/>
        <w:ind w:left="720" w:hanging="360"/>
        <w:jc w:val="both"/>
      </w:pPr>
      <w:r>
        <w:rPr>
          <w:rFonts w:ascii="Times New Roman" w:cs="Times New Roman" w:eastAsia="Times New Roman" w:hAnsi="Times New Roman"/>
          <w:color w:val="000000"/>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¿Cuántos días permanece en el destino? ____</w:t>
      </w:r>
    </w:p>
    <w:p>
      <w:pPr>
        <w:spacing w:after="120" w:line="240" w:lineRule="auto"/>
        <w:ind w:left="720" w:hanging="360"/>
        <w:jc w:val="both"/>
      </w:pPr>
      <w:r>
        <w:rPr>
          <w:rFonts w:ascii="Times New Roman" w:cs="Times New Roman" w:eastAsia="Times New Roman" w:hAnsi="Times New Roman"/>
          <w:color w:val="000000"/>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Gasto diario estimado (USD): 0-50 / 51-100 / 101-150 / más de 150</w:t>
      </w:r>
    </w:p>
    <w:p>
      <w:pPr>
        <w:spacing w:after="120" w:line="240" w:lineRule="auto"/>
        <w:ind w:left="720" w:hanging="360"/>
        <w:jc w:val="both"/>
      </w:pPr>
      <w:r>
        <w:rPr>
          <w:rFonts w:ascii="Times New Roman" w:cs="Times New Roman" w:eastAsia="Times New Roman" w:hAnsi="Times New Roman"/>
          <w:color w:val="000000"/>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¿Conocía la existencia de bodegas activas en Salto? Sí / No</w:t>
      </w:r>
    </w:p>
    <w:p>
      <w:pPr>
        <w:spacing w:after="120" w:line="240" w:lineRule="auto"/>
        <w:ind w:left="720" w:hanging="360"/>
        <w:jc w:val="both"/>
      </w:pPr>
      <w:r>
        <w:rPr>
          <w:rFonts w:ascii="Times New Roman" w:cs="Times New Roman" w:eastAsia="Times New Roman" w:hAnsi="Times New Roman"/>
          <w:color w:val="000000"/>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¿Consumió vinos de bodegas salteñas durante su estadía? Sí / No</w:t>
      </w:r>
    </w:p>
    <w:p>
      <w:pPr>
        <w:spacing w:after="120" w:line="240" w:lineRule="auto"/>
        <w:ind w:left="720" w:hanging="360"/>
        <w:jc w:val="both"/>
      </w:pPr>
      <w:r>
        <w:rPr>
          <w:rFonts w:ascii="Times New Roman" w:cs="Times New Roman" w:eastAsia="Times New Roman" w:hAnsi="Times New Roman"/>
          <w:color w:val="000000"/>
          <w:sz w:val="24"/>
          <w:szCs w:val="24"/>
        </w:rPr>
        <w:t xml:space="preserve">7. </w:t>
      </w:r>
      <w:r>
        <w:rPr>
          <w:rFonts w:ascii="Times New Roman" w:cs="Times New Roman" w:eastAsia="Times New Roman" w:hAnsi="Times New Roman"/>
          <w:b w:val="false"/>
          <w:bCs w:val="false"/>
          <w:i w:val="false"/>
          <w:iCs w:val="false"/>
          <w:color w:val="000000"/>
          <w:sz w:val="24"/>
          <w:szCs w:val="24"/>
        </w:rPr>
        <w:t xml:space="preserve">Interés en una visita guiada a bodegas y al Espacio Cultural Bodega Harriague (1 = nada interesado, 5 = muy interesado): 1 2 3 4 5</w:t>
      </w:r>
    </w:p>
    <w:p>
      <w:pPr>
        <w:spacing w:after="120" w:line="240" w:lineRule="auto"/>
        <w:ind w:left="720" w:hanging="360"/>
        <w:jc w:val="both"/>
      </w:pPr>
      <w:r>
        <w:rPr>
          <w:rFonts w:ascii="Times New Roman" w:cs="Times New Roman" w:eastAsia="Times New Roman" w:hAnsi="Times New Roman"/>
          <w:color w:val="000000"/>
          <w:sz w:val="24"/>
          <w:szCs w:val="24"/>
        </w:rPr>
        <w:t xml:space="preserve">8. </w:t>
      </w:r>
      <w:r>
        <w:rPr>
          <w:rFonts w:ascii="Times New Roman" w:cs="Times New Roman" w:eastAsia="Times New Roman" w:hAnsi="Times New Roman"/>
          <w:b w:val="false"/>
          <w:bCs w:val="false"/>
          <w:i w:val="false"/>
          <w:iCs w:val="false"/>
          <w:color w:val="000000"/>
          <w:sz w:val="24"/>
          <w:szCs w:val="24"/>
        </w:rPr>
        <w:t xml:space="preserve">¿Cuánto pagaría por un tour de media jornada? Menos de USD 30 / 30-45 / 46-60 / más de 60</w:t>
      </w:r>
    </w:p>
    <w:p>
      <w:pPr>
        <w:spacing w:after="120" w:line="240" w:lineRule="auto"/>
        <w:ind w:left="720" w:hanging="360"/>
        <w:jc w:val="both"/>
      </w:pPr>
      <w:r>
        <w:rPr>
          <w:rFonts w:ascii="Times New Roman" w:cs="Times New Roman" w:eastAsia="Times New Roman" w:hAnsi="Times New Roman"/>
          <w:color w:val="000000"/>
          <w:sz w:val="24"/>
          <w:szCs w:val="24"/>
        </w:rPr>
        <w:t xml:space="preserve">9. </w:t>
      </w:r>
      <w:r>
        <w:rPr>
          <w:rFonts w:ascii="Times New Roman" w:cs="Times New Roman" w:eastAsia="Times New Roman" w:hAnsi="Times New Roman"/>
          <w:b w:val="false"/>
          <w:bCs w:val="false"/>
          <w:i w:val="false"/>
          <w:iCs w:val="false"/>
          <w:color w:val="000000"/>
          <w:sz w:val="24"/>
          <w:szCs w:val="24"/>
        </w:rPr>
        <w:t xml:space="preserve">Actividades que valoraría sumar a su estadía (puede marcar más de una): gastronomía local / cata de vinos / patrimonio histórico / naturaleza / otro: ____</w:t>
      </w:r>
    </w:p>
    <w:p>
      <w:pPr>
        <w:spacing w:after="120" w:line="240" w:lineRule="auto"/>
        <w:ind w:left="720" w:hanging="360"/>
        <w:jc w:val="both"/>
      </w:pPr>
      <w:r>
        <w:rPr>
          <w:rFonts w:ascii="Times New Roman" w:cs="Times New Roman" w:eastAsia="Times New Roman" w:hAnsi="Times New Roman"/>
          <w:color w:val="000000"/>
          <w:sz w:val="24"/>
          <w:szCs w:val="24"/>
        </w:rPr>
        <w:t xml:space="preserve">10. </w:t>
      </w:r>
      <w:r>
        <w:rPr>
          <w:rFonts w:ascii="Times New Roman" w:cs="Times New Roman" w:eastAsia="Times New Roman" w:hAnsi="Times New Roman"/>
          <w:b w:val="false"/>
          <w:bCs w:val="false"/>
          <w:i w:val="false"/>
          <w:iCs w:val="false"/>
          <w:color w:val="000000"/>
          <w:sz w:val="24"/>
          <w:szCs w:val="24"/>
        </w:rPr>
        <w:t xml:space="preserve">Edad: ____  Nivel educativo: ____  Grupo de viaje: solo/a / pareja / familia / amigos</w:t>
      </w:r>
    </w:p>
    <w:p>
      <w:pPr>
        <w:pStyle w:val="Heading3"/>
        <w:keepNext/>
        <w:spacing w:after="120" w:before="200" w:line="240" w:lineRule="auto"/>
        <w:jc w:val="left"/>
      </w:pPr>
      <w:r>
        <w:rPr>
          <w:rFonts w:ascii="Times New Roman" w:cs="Times New Roman" w:eastAsia="Times New Roman" w:hAnsi="Times New Roman"/>
          <w:b/>
          <w:bCs/>
          <w:i/>
          <w:iCs/>
          <w:color w:val="000000"/>
          <w:sz w:val="24"/>
          <w:szCs w:val="24"/>
        </w:rPr>
        <w:t xml:space="preserve">B. Guía de entrevista en profundidad (bodegas y Centro Vasco)</w:t>
      </w:r>
    </w:p>
    <w:p>
      <w:pPr>
        <w:spacing w:after="120" w:line="240" w:lineRule="auto"/>
        <w:ind w:left="720" w:hanging="360"/>
        <w:jc w:val="both"/>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val="false"/>
          <w:bCs w:val="false"/>
          <w:i w:val="false"/>
          <w:iCs w:val="false"/>
          <w:color w:val="000000"/>
          <w:sz w:val="24"/>
          <w:szCs w:val="24"/>
        </w:rPr>
        <w:t xml:space="preserve">¿Cuál es la capacidad actual de recepción de visitantes de su establecimiento (infraestructura, horarios, personal)?</w:t>
      </w:r>
    </w:p>
    <w:p>
      <w:pPr>
        <w:spacing w:after="120" w:line="240" w:lineRule="auto"/>
        <w:ind w:left="720" w:hanging="360"/>
        <w:jc w:val="both"/>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val="false"/>
          <w:bCs w:val="false"/>
          <w:i w:val="false"/>
          <w:iCs w:val="false"/>
          <w:color w:val="000000"/>
          <w:sz w:val="24"/>
          <w:szCs w:val="24"/>
        </w:rPr>
        <w:t xml:space="preserve">¿Tiene experiencia previa recibiendo visitas guiadas o realizando degustaciones comerciales?</w:t>
      </w:r>
    </w:p>
    <w:p>
      <w:pPr>
        <w:spacing w:after="120" w:line="240" w:lineRule="auto"/>
        <w:ind w:left="720" w:hanging="360"/>
        <w:jc w:val="both"/>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val="false"/>
          <w:bCs w:val="false"/>
          <w:i w:val="false"/>
          <w:iCs w:val="false"/>
          <w:color w:val="000000"/>
          <w:sz w:val="24"/>
          <w:szCs w:val="24"/>
        </w:rPr>
        <w:t xml:space="preserve">¿Estaría dispuesto/a a integrarse a un circuito asociativo con otras bodegas y el sector hotelero? ¿Bajo qué condiciones?</w:t>
      </w:r>
    </w:p>
    <w:p>
      <w:pPr>
        <w:spacing w:after="120" w:line="240" w:lineRule="auto"/>
        <w:ind w:left="720" w:hanging="360"/>
        <w:jc w:val="both"/>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val="false"/>
          <w:bCs w:val="false"/>
          <w:i w:val="false"/>
          <w:iCs w:val="false"/>
          <w:color w:val="000000"/>
          <w:sz w:val="24"/>
          <w:szCs w:val="24"/>
        </w:rPr>
        <w:t xml:space="preserve">¿Qué necesidades de capacitación identifica en su personal para la atención al turista enológico?</w:t>
      </w:r>
    </w:p>
    <w:p>
      <w:pPr>
        <w:spacing w:after="120" w:line="240" w:lineRule="auto"/>
        <w:ind w:left="720" w:hanging="360"/>
        <w:jc w:val="both"/>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val="false"/>
          <w:bCs w:val="false"/>
          <w:i w:val="false"/>
          <w:iCs w:val="false"/>
          <w:color w:val="000000"/>
          <w:sz w:val="24"/>
          <w:szCs w:val="24"/>
        </w:rPr>
        <w:t xml:space="preserve">¿Qué opina de un motor de reservas y pagos compartido entre las bodegas del circuito?</w:t>
      </w:r>
    </w:p>
    <w:p>
      <w:pPr>
        <w:spacing w:after="120" w:line="240" w:lineRule="auto"/>
        <w:ind w:left="720" w:hanging="360"/>
        <w:jc w:val="both"/>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val="false"/>
          <w:bCs w:val="false"/>
          <w:i w:val="false"/>
          <w:iCs w:val="false"/>
          <w:color w:val="000000"/>
          <w:sz w:val="24"/>
          <w:szCs w:val="24"/>
        </w:rPr>
        <w:t xml:space="preserve">(Para el Centro Vasco / Comisión de Gestión) ¿Cuál es el estado de conservación actual del Espacio Cultural Bodega Harriague y qué expectativas tienen sobre su uso turístico?</w:t>
      </w:r>
    </w:p>
    <w:p>
      <w:pPr>
        <w:pStyle w:val="Heading2"/>
        <w:keepNext/>
        <w:spacing w:after="160" w:before="240" w:line="240" w:lineRule="auto"/>
        <w:jc w:val="left"/>
      </w:pPr>
      <w:r>
        <w:rPr>
          <w:rFonts w:ascii="Times New Roman" w:cs="Times New Roman" w:eastAsia="Times New Roman" w:hAnsi="Times New Roman"/>
          <w:b/>
          <w:bCs/>
          <w:i w:val="false"/>
          <w:iCs w:val="false"/>
          <w:color w:val="000000"/>
          <w:sz w:val="24"/>
          <w:szCs w:val="24"/>
        </w:rPr>
        <w:t xml:space="preserve">Anexo Capítulo 4 — Matriz FODA Cruzada</w:t>
      </w:r>
    </w:p>
    <w:tbl>
      <w:tblPr>
        <w:tblW w:type="dxa" w:w="8504"/>
        <w:tblBorders>
          <w:top w:val="single" w:color="000000" w:sz="4"/>
          <w:left w:val="single" w:color="000000" w:sz="4"/>
          <w:bottom w:val="single" w:color="000000" w:sz="4"/>
          <w:right w:val="single" w:color="000000" w:sz="4"/>
          <w:insideH w:val="single" w:color="999999" w:sz="2"/>
          <w:insideV w:val="single" w:color="999999" w:sz="2"/>
        </w:tblBorders>
      </w:tblPr>
      <w:tblGrid>
        <w:gridCol w:w="872"/>
        <w:gridCol w:w="4051"/>
        <w:gridCol w:w="3582"/>
      </w:tblGrid>
      <w:tr>
        <w:trPr>
          <w:cantSplit/>
        </w:trPr>
        <w:tc>
          <w:tcPr>
            <w:tcW w:type="dxa" w:w="872"/>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i w:val="false"/>
                <w:iCs w:val="false"/>
                <w:color w:val="000000"/>
                <w:sz w:val="22"/>
                <w:szCs w:val="22"/>
              </w:rPr>
              <w:t xml:space="preserve">Cruce</w:t>
            </w:r>
          </w:p>
        </w:tc>
        <w:tc>
          <w:tcPr>
            <w:tcW w:type="dxa" w:w="4051"/>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i w:val="false"/>
                <w:iCs w:val="false"/>
                <w:color w:val="000000"/>
                <w:sz w:val="22"/>
                <w:szCs w:val="22"/>
              </w:rPr>
              <w:t xml:space="preserve">Estrategia</w:t>
            </w:r>
          </w:p>
        </w:tc>
        <w:tc>
          <w:tcPr>
            <w:tcW w:type="dxa" w:w="3582"/>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i w:val="false"/>
                <w:iCs w:val="false"/>
                <w:color w:val="000000"/>
                <w:sz w:val="22"/>
                <w:szCs w:val="22"/>
              </w:rPr>
              <w:t xml:space="preserve">Acción derivada</w:t>
            </w:r>
          </w:p>
        </w:tc>
      </w:tr>
      <w:tr>
        <w:trPr>
          <w:cantSplit/>
        </w:trPr>
        <w:tc>
          <w:tcPr>
            <w:tcW w:type="dxa" w:w="872"/>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FO — Ofensiva</w:t>
            </w:r>
          </w:p>
        </w:tc>
        <w:tc>
          <w:tcPr>
            <w:tcW w:type="dxa" w:w="4051"/>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Legitimidad histórica + terroir + bodegas boutique, frente al crecimiento del mercado brasileño y los fondos concursables</w:t>
            </w:r>
          </w:p>
        </w:tc>
        <w:tc>
          <w:tcPr>
            <w:tcW w:type="dxa" w:w="3582"/>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Postular al Fondo Enoturismo MINTUR-INAVI y a ANDE; campaña dirigida a Rio Grande do Sul</w:t>
            </w:r>
          </w:p>
        </w:tc>
      </w:tr>
      <w:tr>
        <w:trPr>
          <w:cantSplit/>
        </w:trPr>
        <w:tc>
          <w:tcPr>
            <w:tcW w:type="dxa" w:w="872"/>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DO — Adaptación</w:t>
            </w:r>
          </w:p>
        </w:tc>
        <w:tc>
          <w:tcPr>
            <w:tcW w:type="dxa" w:w="4051"/>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Brecha digital de las bodegas, resuelta con fondos no reembolsables; débil asociatividad, resuelta vía proyecto U-riharri</w:t>
            </w:r>
          </w:p>
        </w:tc>
        <w:tc>
          <w:tcPr>
            <w:tcW w:type="dxa" w:w="3582"/>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Desarrollo del motor de reservas compartido; activación del Espacio Harriague como “kilómetro cero”</w:t>
            </w:r>
          </w:p>
        </w:tc>
      </w:tr>
      <w:tr>
        <w:trPr>
          <w:cantSplit/>
        </w:trPr>
        <w:tc>
          <w:tcPr>
            <w:tcW w:type="dxa" w:w="872"/>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FA — Defensiva</w:t>
            </w:r>
          </w:p>
        </w:tc>
        <w:tc>
          <w:tcPr>
            <w:tcW w:type="dxa" w:w="4051"/>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Fuga de turistas hacia Entre Ríos por brecha cambiaria, enfrentada con diferenciación por autenticidad, no por precio</w:t>
            </w:r>
          </w:p>
        </w:tc>
        <w:tc>
          <w:tcPr>
            <w:tcW w:type="dxa" w:w="3582"/>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Reposicionar la oferta termal como experiencia híbrida de bienestar, historia y alta enología</w:t>
            </w:r>
          </w:p>
        </w:tc>
      </w:tr>
      <w:tr>
        <w:trPr>
          <w:cantSplit/>
        </w:trPr>
        <w:tc>
          <w:tcPr>
            <w:tcW w:type="dxa" w:w="872"/>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DA — Supervivencia</w:t>
            </w:r>
          </w:p>
        </w:tc>
        <w:tc>
          <w:tcPr>
            <w:tcW w:type="dxa" w:w="4051"/>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Marca departamental centrada en “Destino Termas” + deficiencias de caminería y señalética</w:t>
            </w:r>
          </w:p>
        </w:tc>
        <w:tc>
          <w:tcPr>
            <w:tcW w:type="dxa" w:w="3582"/>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Gestionar ante el MINTUR la señalética de Ruta 3; fondo de caminería rural (3% del ingreso neto, punto 6.2)</w:t>
            </w:r>
          </w:p>
        </w:tc>
      </w:tr>
    </w:tbl>
    <w:p>
      <w:pPr>
        <w:spacing w:after="160"/>
      </w:pPr>
    </w:p>
    <w:p>
      <w:pPr>
        <w:pStyle w:val="Heading2"/>
        <w:keepNext/>
        <w:spacing w:after="160" w:before="240" w:line="240" w:lineRule="auto"/>
        <w:jc w:val="left"/>
      </w:pPr>
      <w:r>
        <w:rPr>
          <w:rFonts w:ascii="Times New Roman" w:cs="Times New Roman" w:eastAsia="Times New Roman" w:hAnsi="Times New Roman"/>
          <w:b/>
          <w:bCs/>
          <w:i w:val="false"/>
          <w:iCs w:val="false"/>
          <w:color w:val="000000"/>
          <w:sz w:val="24"/>
          <w:szCs w:val="24"/>
        </w:rPr>
        <w:t xml:space="preserve">Anexo Capítulo 5 — Fichas Técnicas de Itinerario por Estación</w:t>
      </w:r>
    </w:p>
    <w:tbl>
      <w:tblPr>
        <w:tblW w:type="dxa" w:w="8504"/>
        <w:tblBorders>
          <w:top w:val="single" w:color="000000" w:sz="4"/>
          <w:left w:val="single" w:color="000000" w:sz="4"/>
          <w:bottom w:val="single" w:color="000000" w:sz="4"/>
          <w:right w:val="single" w:color="000000" w:sz="4"/>
          <w:insideH w:val="single" w:color="999999" w:sz="2"/>
          <w:insideV w:val="single" w:color="999999" w:sz="2"/>
        </w:tblBorders>
      </w:tblPr>
      <w:tblGrid>
        <w:gridCol w:w="880"/>
        <w:gridCol w:w="4468"/>
        <w:gridCol w:w="3156"/>
      </w:tblGrid>
      <w:tr>
        <w:trPr>
          <w:cantSplit/>
        </w:trPr>
        <w:tc>
          <w:tcPr>
            <w:tcW w:type="dxa" w:w="880"/>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i w:val="false"/>
                <w:iCs w:val="false"/>
                <w:color w:val="000000"/>
                <w:sz w:val="22"/>
                <w:szCs w:val="22"/>
              </w:rPr>
              <w:t xml:space="preserve">Estación</w:t>
            </w:r>
          </w:p>
        </w:tc>
        <w:tc>
          <w:tcPr>
            <w:tcW w:type="dxa" w:w="4468"/>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i w:val="false"/>
                <w:iCs w:val="false"/>
                <w:color w:val="000000"/>
                <w:sz w:val="22"/>
                <w:szCs w:val="22"/>
              </w:rPr>
              <w:t xml:space="preserve">Guión interpretativo (síntesis)</w:t>
            </w:r>
          </w:p>
        </w:tc>
        <w:tc>
          <w:tcPr>
            <w:tcW w:type="dxa" w:w="3156"/>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i w:val="false"/>
                <w:iCs w:val="false"/>
                <w:color w:val="000000"/>
                <w:sz w:val="22"/>
                <w:szCs w:val="22"/>
              </w:rPr>
              <w:t xml:space="preserve">Requisitos de accesibilidad</w:t>
            </w:r>
          </w:p>
        </w:tc>
      </w:tr>
      <w:tr>
        <w:trPr>
          <w:cantSplit/>
        </w:trPr>
        <w:tc>
          <w:tcPr>
            <w:tcW w:type="dxa" w:w="880"/>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1. Espacio Harriague</w:t>
            </w:r>
          </w:p>
        </w:tc>
        <w:tc>
          <w:tcPr>
            <w:tcW w:type="dxa" w:w="4468"/>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Llegada de Pascual Harriague en 1840; introducción del Tannat en 1874; primera vinificación comercial en 1876; vínculo con la inmigración vasca</w:t>
            </w:r>
          </w:p>
        </w:tc>
        <w:tc>
          <w:tcPr>
            <w:tcW w:type="dxa" w:w="3156"/>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Acceso pavimentado; recorrido alternativo sin escalones; material interpretativo en formato accesible</w:t>
            </w:r>
          </w:p>
        </w:tc>
      </w:tr>
      <w:tr>
        <w:trPr>
          <w:cantSplit/>
        </w:trPr>
        <w:tc>
          <w:tcPr>
            <w:tcW w:type="dxa" w:w="880"/>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2. Salto Chico</w:t>
            </w:r>
          </w:p>
        </w:tc>
        <w:tc>
          <w:tcPr>
            <w:tcW w:type="dxa" w:w="4468"/>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Terroir de lecho basáltico; implantación de cepas finas en 1999; rol del río Uruguay en la maduración</w:t>
            </w:r>
          </w:p>
        </w:tc>
        <w:tc>
          <w:tcPr>
            <w:tcW w:type="dxa" w:w="3156"/>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Sendero de viñedo con tramo alternativo nivelado hasta la terraza de degustación</w:t>
            </w:r>
          </w:p>
        </w:tc>
      </w:tr>
      <w:tr>
        <w:trPr>
          <w:cantSplit/>
        </w:trPr>
        <w:tc>
          <w:tcPr>
            <w:tcW w:type="dxa" w:w="880"/>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3. Bertolini &amp; Broglio</w:t>
            </w:r>
          </w:p>
        </w:tc>
        <w:tc>
          <w:tcPr>
            <w:tcW w:type="dxa" w:w="4468"/>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Vinificación por gravedad sin bombeo mecánico; escala boutique con proyección internacional (medallas OIV)</w:t>
            </w:r>
          </w:p>
        </w:tc>
        <w:tc>
          <w:tcPr>
            <w:tcW w:type="dxa" w:w="3156"/>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Planta con circulación en un solo nivel; sala de cava accesible</w:t>
            </w:r>
          </w:p>
        </w:tc>
      </w:tr>
      <w:tr>
        <w:trPr>
          <w:cantSplit/>
        </w:trPr>
        <w:tc>
          <w:tcPr>
            <w:tcW w:type="dxa" w:w="880"/>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4. Mori Maglio</w:t>
            </w:r>
          </w:p>
        </w:tc>
        <w:tc>
          <w:tcPr>
            <w:tcW w:type="dxa" w:w="4468"/>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Microvinificación familiar; taller artesanal de grappa y vermouth</w:t>
            </w:r>
          </w:p>
        </w:tc>
        <w:tc>
          <w:tcPr>
            <w:tcW w:type="dxa" w:w="3156"/>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2"/>
                <w:szCs w:val="22"/>
              </w:rPr>
              <w:t xml:space="preserve">Grupo reducido; adaptar el taller práctico para participación desde silla de ruedas</w:t>
            </w:r>
          </w:p>
        </w:tc>
      </w:tr>
    </w:tbl>
    <w:p>
      <w:pPr>
        <w:spacing w:after="160"/>
      </w:pPr>
    </w:p>
    <w:p>
      <w:pPr>
        <w:pStyle w:val="Heading2"/>
        <w:keepNext/>
        <w:spacing w:after="160" w:before="240" w:line="240" w:lineRule="auto"/>
        <w:jc w:val="left"/>
      </w:pPr>
      <w:r>
        <w:rPr>
          <w:rFonts w:ascii="Times New Roman" w:cs="Times New Roman" w:eastAsia="Times New Roman" w:hAnsi="Times New Roman"/>
          <w:b/>
          <w:bCs/>
          <w:i w:val="false"/>
          <w:iCs w:val="false"/>
          <w:color w:val="000000"/>
          <w:sz w:val="24"/>
          <w:szCs w:val="24"/>
        </w:rPr>
        <w:t xml:space="preserve">Anexo Capítulo 6 — Plantilla de Cálculo Financiero y Modelo de Cuestionario QR</w:t>
      </w:r>
    </w:p>
    <w:p>
      <w:pPr>
        <w:pStyle w:val="Heading3"/>
        <w:keepNext/>
        <w:spacing w:after="120" w:before="200" w:line="240" w:lineRule="auto"/>
        <w:jc w:val="left"/>
      </w:pPr>
      <w:r>
        <w:rPr>
          <w:rFonts w:ascii="Times New Roman" w:cs="Times New Roman" w:eastAsia="Times New Roman" w:hAnsi="Times New Roman"/>
          <w:b/>
          <w:bCs/>
          <w:i/>
          <w:iCs/>
          <w:color w:val="000000"/>
          <w:sz w:val="24"/>
          <w:szCs w:val="24"/>
        </w:rPr>
        <w:t xml:space="preserve">A. Detalle de fórmulas financieras</w:t>
      </w:r>
    </w:p>
    <w:p>
      <w:pPr>
        <w:keepNext w:val="false"/>
        <w:spacing w:after="160" w:line="240" w:lineRule="auto"/>
        <w:jc w:val="both"/>
      </w:pPr>
      <w:r>
        <w:rPr>
          <w:rFonts w:ascii="Times New Roman" w:cs="Times New Roman" w:eastAsia="Times New Roman" w:hAnsi="Times New Roman"/>
          <w:b w:val="false"/>
          <w:bCs w:val="false"/>
          <w:i w:val="false"/>
          <w:iCs w:val="false"/>
          <w:color w:val="000000"/>
          <w:sz w:val="24"/>
          <w:szCs w:val="24"/>
        </w:rPr>
        <w:t xml:space="preserve">Punto de equilibrio: PE = CF ÷ (PVU − CVU) = 24.000 ÷ (45 − 30) = 1.600 turistas/año.</w:t>
      </w:r>
    </w:p>
    <w:p>
      <w:pPr>
        <w:keepNext w:val="false"/>
        <w:spacing w:after="160" w:line="240" w:lineRule="auto"/>
        <w:jc w:val="both"/>
      </w:pPr>
      <w:r>
        <w:rPr>
          <w:rFonts w:ascii="Times New Roman" w:cs="Times New Roman" w:eastAsia="Times New Roman" w:hAnsi="Times New Roman"/>
          <w:b w:val="false"/>
          <w:bCs w:val="false"/>
          <w:i w:val="false"/>
          <w:iCs w:val="false"/>
          <w:color w:val="000000"/>
          <w:sz w:val="24"/>
          <w:szCs w:val="24"/>
        </w:rPr>
        <w:t xml:space="preserve">ROI Año 1: (Flujo de caja neto ÷ Inversión inicial) × 100 = (30.450 ÷ 45.000) × 100 ≈ 67,7%.</w:t>
      </w:r>
    </w:p>
    <w:p>
      <w:pPr>
        <w:keepNext w:val="false"/>
        <w:spacing w:after="160" w:line="240" w:lineRule="auto"/>
        <w:jc w:val="both"/>
      </w:pPr>
      <w:r>
        <w:rPr>
          <w:rFonts w:ascii="Times New Roman" w:cs="Times New Roman" w:eastAsia="Times New Roman" w:hAnsi="Times New Roman"/>
          <w:b w:val="false"/>
          <w:bCs w:val="false"/>
          <w:i w:val="false"/>
          <w:iCs w:val="false"/>
          <w:color w:val="000000"/>
          <w:sz w:val="24"/>
          <w:szCs w:val="24"/>
        </w:rPr>
        <w:t xml:space="preserve">VAN (5 años, tasa de descuento 12%): USD 192.418. TIR: 84%. [COMPLETAR: adjuntar la planilla de cálculo con el flujo de caja proyectado año a año y la fórmula de descuento aplicada, como respaldo del valor de VAN/TIR reportado en 6.5.4].</w:t>
      </w:r>
    </w:p>
    <w:p>
      <w:pPr>
        <w:pStyle w:val="Heading3"/>
        <w:keepNext/>
        <w:spacing w:after="120" w:before="200" w:line="240" w:lineRule="auto"/>
        <w:jc w:val="left"/>
      </w:pPr>
      <w:r>
        <w:rPr>
          <w:rFonts w:ascii="Times New Roman" w:cs="Times New Roman" w:eastAsia="Times New Roman" w:hAnsi="Times New Roman"/>
          <w:b/>
          <w:bCs/>
          <w:i/>
          <w:iCs/>
          <w:color w:val="000000"/>
          <w:sz w:val="24"/>
          <w:szCs w:val="24"/>
        </w:rPr>
        <w:t xml:space="preserve">B. Modelo de cuestionario QR de satisfacción (post-visita)</w:t>
      </w:r>
    </w:p>
    <w:p>
      <w:pPr>
        <w:spacing w:after="120" w:line="240" w:lineRule="auto"/>
        <w:ind w:left="720" w:hanging="360"/>
        <w:jc w:val="both"/>
      </w:pPr>
      <w:r>
        <w:rPr>
          <w:rFonts w:ascii="Times New Roman" w:cs="Times New Roman" w:eastAsia="Times New Roman" w:hAnsi="Times New Roman"/>
          <w:color w:val="000000"/>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¿Cómo calificaría la experiencia general del tour? (1 a 5 estrellas)</w:t>
      </w:r>
    </w:p>
    <w:p>
      <w:pPr>
        <w:spacing w:after="120" w:line="240" w:lineRule="auto"/>
        <w:ind w:left="720" w:hanging="360"/>
        <w:jc w:val="both"/>
      </w:pPr>
      <w:r>
        <w:rPr>
          <w:rFonts w:ascii="Times New Roman" w:cs="Times New Roman" w:eastAsia="Times New Roman" w:hAnsi="Times New Roman"/>
          <w:color w:val="000000"/>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¿Cómo calificaría al guía/anfitrión? (1 a 5 estrellas)</w:t>
      </w:r>
    </w:p>
    <w:p>
      <w:pPr>
        <w:spacing w:after="120" w:line="240" w:lineRule="auto"/>
        <w:ind w:left="720" w:hanging="360"/>
        <w:jc w:val="both"/>
      </w:pPr>
      <w:r>
        <w:rPr>
          <w:rFonts w:ascii="Times New Roman" w:cs="Times New Roman" w:eastAsia="Times New Roman" w:hAnsi="Times New Roman"/>
          <w:color w:val="000000"/>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¿La duración del tour fue adecuada? Sí / No — comentario: ____</w:t>
      </w:r>
    </w:p>
    <w:p>
      <w:pPr>
        <w:spacing w:after="120" w:line="240" w:lineRule="auto"/>
        <w:ind w:left="720" w:hanging="360"/>
        <w:jc w:val="both"/>
      </w:pPr>
      <w:r>
        <w:rPr>
          <w:rFonts w:ascii="Times New Roman" w:cs="Times New Roman" w:eastAsia="Times New Roman" w:hAnsi="Times New Roman"/>
          <w:color w:val="000000"/>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¿Recomendaría la Ruta del Tannat a otro viajero? Sí / No</w:t>
      </w:r>
    </w:p>
    <w:p>
      <w:pPr>
        <w:spacing w:after="120" w:line="240" w:lineRule="auto"/>
        <w:ind w:left="720" w:hanging="360"/>
        <w:jc w:val="both"/>
      </w:pPr>
      <w:r>
        <w:rPr>
          <w:rFonts w:ascii="Times New Roman" w:cs="Times New Roman" w:eastAsia="Times New Roman" w:hAnsi="Times New Roman"/>
          <w:color w:val="000000"/>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Sugerencias para mejorar la experiencia: ____</w:t>
      </w:r>
    </w:p>
    <w:p>
      <w:pPr>
        <w:keepNext w:val="false"/>
        <w:spacing w:after="160" w:line="240" w:lineRule="auto"/>
        <w:jc w:val="both"/>
      </w:pPr>
      <w:r>
        <w:rPr>
          <w:rFonts w:ascii="Times New Roman" w:cs="Times New Roman" w:eastAsia="Times New Roman" w:hAnsi="Times New Roman"/>
          <w:b w:val="false"/>
          <w:bCs w:val="false"/>
          <w:i w:val="false"/>
          <w:iCs w:val="false"/>
          <w:color w:val="000000"/>
          <w:sz w:val="24"/>
          <w:szCs w:val="24"/>
        </w:rPr>
        <w:t xml:space="preserve">Nota: no se incluye un anexo específico para el Capítulo 7 (Reflexiones Finales), ya que ese capítulo no genera instrumentos ni datos propios de respaldo.</w:t>
      </w:r>
    </w:p>
    <w:sectPr>
      <w:headerReference w:type="default" r:id="rId7"/>
      <w:headerReference w:type="first" r:id="rId8"/>
      <w:footerReference w:type="default" r:id="rId9"/>
      <w:footerReference w:type="first" r:id="rId10"/>
      <w:pgSz w:w="11906" w:h="16838" w:orient="portrait"/>
      <w:pgMar w:top="1417" w:right="1701" w:bottom="1417" w:left="1701"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000000"/>
        <w:sz w:val="22"/>
        <w:szCs w:val="22"/>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after="160" w:line="2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2026-09-04T17:18:41.896Z</dcterms:created>
  <dcterms:modified xsi:type="dcterms:W3CDTF">2026-09-04T17:18:41.897Z</dcterms:modified>
</cp:coreProperties>
</file>

<file path=docProps/custom.xml><?xml version="1.0" encoding="utf-8"?>
<Properties xmlns="http://schemas.openxmlformats.org/officeDocument/2006/custom-properties" xmlns:vt="http://schemas.openxmlformats.org/officeDocument/2006/docPropsVTypes"/>
</file>