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lineRule="auto"/>
        <w:jc w:val="center"/>
      </w:pPr>
      <w:r>
        <w:drawing>
          <wp:inline distT="0" distB="0" distL="0" distR="0">
            <wp:extent cx="43624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62450" cy="2752725"/>
                    </a:xfrm>
                    <a:prstGeom prst="rect">
                      <a:avLst/>
                    </a:prstGeom>
                  </pic:spPr>
                </pic:pic>
              </a:graphicData>
            </a:graphic>
          </wp:inline>
        </w:drawing>
      </w:r>
    </w:p>
    <w:p>
      <w:pPr>
        <w:spacing w:after="120" w:before="0" w:line="240" w:lineRule="auto"/>
        <w:jc w:val="center"/>
      </w:pPr>
      <w:r>
        <w:rPr>
          <w:rFonts w:ascii="Arial" w:cs="Arial" w:eastAsia="Arial" w:hAnsi="Arial"/>
          <w:b w:val="false"/>
          <w:bCs w:val="false"/>
          <w:i/>
          <w:iCs/>
          <w:color w:val="000000"/>
          <w:sz w:val="19"/>
          <w:szCs w:val="19"/>
        </w:rPr>
        <w:t xml:space="preserve">Polo Educativo Tecnológico, Salto (PET) — Dirección General de Educación Técnico Profesional, UTU</w:t>
      </w:r>
    </w:p>
    <w:p>
      <w:pPr>
        <w:spacing w:after="120" w:before="0" w:line="240" w:lineRule="auto"/>
        <w:jc w:val="center"/>
      </w:pPr>
      <w:r>
        <w:rPr>
          <w:rFonts w:ascii="Arial" w:cs="Arial" w:eastAsia="Arial" w:hAnsi="Arial"/>
          <w:b w:val="false"/>
          <w:bCs w:val="false"/>
          <w:i w:val="false"/>
          <w:iCs w:val="false"/>
          <w:color w:val="000000"/>
          <w:sz w:val="19"/>
          <w:szCs w:val="19"/>
        </w:rPr>
        <w:t xml:space="preserve">Departamento: Salto</w:t>
      </w:r>
    </w:p>
    <w:p>
      <w:pPr>
        <w:spacing w:after="240" w:before="0" w:line="240" w:lineRule="auto"/>
        <w:jc w:val="center"/>
      </w:pPr>
      <w:r>
        <w:rPr>
          <w:rFonts w:ascii="Arial" w:cs="Arial" w:eastAsia="Arial" w:hAnsi="Arial"/>
          <w:b/>
          <w:bCs/>
          <w:i w:val="false"/>
          <w:iCs w:val="false"/>
          <w:color w:val="000000"/>
          <w:sz w:val="24"/>
          <w:szCs w:val="24"/>
        </w:rPr>
        <w:t xml:space="preserve">Tecnólogo en Diseño de Itinerarios Turísticos Sostenibles Culturales 2026</w:t>
      </w:r>
    </w:p>
    <w:p>
      <w:pPr>
        <w:spacing w:after="120" w:before="0" w:line="240" w:lineRule="auto"/>
        <w:jc w:val="center"/>
      </w:pPr>
      <w:r>
        <w:rPr>
          <w:rFonts w:ascii="Arial" w:cs="Arial" w:eastAsia="Arial" w:hAnsi="Arial"/>
          <w:b w:val="false"/>
          <w:bCs w:val="false"/>
          <w:i w:val="false"/>
          <w:iCs w:val="false"/>
          <w:color w:val="000000"/>
          <w:sz w:val="21"/>
          <w:szCs w:val="21"/>
        </w:rPr>
        <w:t xml:space="preserve">Proyecto de egreso:</w:t>
      </w:r>
    </w:p>
    <w:p>
      <w:pPr>
        <w:spacing w:after="120" w:before="0" w:line="240" w:lineRule="auto"/>
        <w:jc w:val="center"/>
      </w:pPr>
      <w:r>
        <w:rPr>
          <w:rFonts w:ascii="Arial" w:cs="Arial" w:eastAsia="Arial" w:hAnsi="Arial"/>
          <w:b/>
          <w:bCs/>
          <w:i w:val="false"/>
          <w:iCs w:val="false"/>
          <w:color w:val="5b2333"/>
          <w:sz w:val="28"/>
          <w:szCs w:val="28"/>
        </w:rPr>
        <w:t xml:space="preserve">«La Ruta del Tannat: Cepa, origen e identidad»</w:t>
      </w:r>
    </w:p>
    <w:p>
      <w:pPr>
        <w:spacing w:after="240" w:before="0" w:line="240" w:lineRule="auto"/>
        <w:jc w:val="center"/>
      </w:pPr>
      <w:r>
        <w:rPr>
          <w:rFonts w:ascii="Arial" w:cs="Arial" w:eastAsia="Arial" w:hAnsi="Arial"/>
          <w:b/>
          <w:bCs/>
          <w:i/>
          <w:iCs/>
          <w:color w:val="000000"/>
          <w:sz w:val="21"/>
          <w:szCs w:val="21"/>
        </w:rPr>
        <w:t xml:space="preserve">Enoturismo para la diversificación y desestacionalización del destino Salto</w:t>
      </w:r>
    </w:p>
    <w:p>
      <w:pPr>
        <w:spacing w:after="60" w:before="0" w:line="240" w:lineRule="auto"/>
        <w:jc w:val="center"/>
      </w:pPr>
      <w:r>
        <w:rPr>
          <w:rFonts w:ascii="Arial" w:cs="Arial" w:eastAsia="Arial" w:hAnsi="Arial"/>
          <w:b w:val="false"/>
          <w:bCs w:val="false"/>
          <w:i w:val="false"/>
          <w:iCs w:val="false"/>
          <w:color w:val="000000"/>
          <w:sz w:val="20"/>
          <w:szCs w:val="20"/>
        </w:rPr>
        <w:t xml:space="preserve">Homero Texeira — C.I. 5.139.700-2</w:t>
      </w:r>
    </w:p>
    <w:p>
      <w:pPr>
        <w:spacing w:after="60" w:before="0" w:line="240" w:lineRule="auto"/>
        <w:jc w:val="center"/>
      </w:pPr>
      <w:r>
        <w:rPr>
          <w:rFonts w:ascii="Arial" w:cs="Arial" w:eastAsia="Arial" w:hAnsi="Arial"/>
          <w:b w:val="false"/>
          <w:bCs w:val="false"/>
          <w:i w:val="false"/>
          <w:iCs w:val="false"/>
          <w:color w:val="000000"/>
          <w:sz w:val="20"/>
          <w:szCs w:val="20"/>
        </w:rPr>
        <w:t xml:space="preserve">Anthony Moreira — C.I. 5.610.889-0</w:t>
      </w:r>
    </w:p>
    <w:p>
      <w:pPr>
        <w:spacing w:after="240" w:before="0" w:line="240" w:lineRule="auto"/>
        <w:jc w:val="center"/>
      </w:pPr>
      <w:r>
        <w:rPr>
          <w:rFonts w:ascii="Arial" w:cs="Arial" w:eastAsia="Arial" w:hAnsi="Arial"/>
          <w:b w:val="false"/>
          <w:bCs w:val="false"/>
          <w:i w:val="false"/>
          <w:iCs w:val="false"/>
          <w:color w:val="000000"/>
          <w:sz w:val="20"/>
          <w:szCs w:val="20"/>
        </w:rPr>
        <w:t xml:space="preserve">Federico Camara — C.I. 5.304.843-3</w:t>
      </w:r>
    </w:p>
    <w:p>
      <w:pPr>
        <w:spacing w:after="120" w:before="0" w:line="240" w:lineRule="auto"/>
        <w:jc w:val="center"/>
      </w:pPr>
      <w:r>
        <w:rPr>
          <w:rFonts w:ascii="Arial" w:cs="Arial" w:eastAsia="Arial" w:hAnsi="Arial"/>
          <w:b w:val="false"/>
          <w:bCs w:val="false"/>
          <w:i w:val="false"/>
          <w:iCs w:val="false"/>
          <w:color w:val="b00020"/>
          <w:sz w:val="20"/>
          <w:szCs w:val="20"/>
        </w:rPr>
        <w:t xml:space="preserve">Equipo Docente orientador: [COMPLETAR]</w:t>
      </w:r>
    </w:p>
    <w:p>
      <w:pPr>
        <w:spacing w:after="120" w:before="0" w:line="240" w:lineRule="auto"/>
        <w:jc w:val="center"/>
      </w:pPr>
      <w:r>
        <w:rPr>
          <w:rFonts w:ascii="Arial" w:cs="Arial" w:eastAsia="Arial" w:hAnsi="Arial"/>
          <w:b w:val="false"/>
          <w:bCs w:val="false"/>
          <w:i w:val="false"/>
          <w:iCs w:val="false"/>
          <w:color w:val="b00020"/>
          <w:sz w:val="20"/>
          <w:szCs w:val="20"/>
        </w:rPr>
        <w:t xml:space="preserve">Fecha de entrega: [COMPLETAR]</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Índice</w:t>
      </w:r>
    </w:p>
    <w:p>
      <w:pPr>
        <w:spacing w:after="60" w:before="160" w:line="240" w:lineRule="auto"/>
      </w:pPr>
      <w:r>
        <w:rPr>
          <w:rFonts w:ascii="Arial" w:cs="Arial" w:eastAsia="Arial" w:hAnsi="Arial"/>
          <w:b/>
          <w:bCs/>
          <w:i w:val="false"/>
          <w:iCs w:val="false"/>
          <w:color w:val="3b1522"/>
          <w:sz w:val="24"/>
          <w:szCs w:val="24"/>
        </w:rPr>
        <w:t xml:space="preserve">Resumen Ejecutivo (Español / English / Português)</w:t>
      </w:r>
    </w:p>
    <w:p>
      <w:pPr>
        <w:spacing w:after="60" w:before="160" w:line="240" w:lineRule="auto"/>
      </w:pPr>
      <w:r>
        <w:rPr>
          <w:rFonts w:ascii="Arial" w:cs="Arial" w:eastAsia="Arial" w:hAnsi="Arial"/>
          <w:b/>
          <w:bCs/>
          <w:i w:val="false"/>
          <w:iCs w:val="false"/>
          <w:color w:val="3b1522"/>
          <w:sz w:val="24"/>
          <w:szCs w:val="24"/>
        </w:rPr>
        <w:t xml:space="preserve">Introducción</w:t>
      </w:r>
    </w:p>
    <w:p>
      <w:pPr>
        <w:spacing w:after="60" w:before="160" w:line="240" w:lineRule="auto"/>
      </w:pPr>
      <w:r>
        <w:rPr>
          <w:rFonts w:ascii="Arial" w:cs="Arial" w:eastAsia="Arial" w:hAnsi="Arial"/>
          <w:b/>
          <w:bCs/>
          <w:i w:val="false"/>
          <w:iCs w:val="false"/>
          <w:color w:val="3b1522"/>
          <w:sz w:val="24"/>
          <w:szCs w:val="24"/>
        </w:rPr>
        <w:t xml:space="preserve">Capítulo 1. Planteamiento de la Idea</w:t>
      </w:r>
    </w:p>
    <w:p>
      <w:pPr>
        <w:spacing w:after="40" w:line="240" w:lineRule="auto"/>
        <w:ind w:left="360"/>
      </w:pPr>
      <w:r>
        <w:rPr>
          <w:rFonts w:ascii="Arial" w:cs="Arial" w:eastAsia="Arial" w:hAnsi="Arial"/>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Arial" w:cs="Arial" w:eastAsia="Arial" w:hAnsi="Arial"/>
          <w:b/>
          <w:bCs/>
          <w:i w:val="false"/>
          <w:iCs w:val="false"/>
          <w:color w:val="3b1522"/>
          <w:sz w:val="24"/>
          <w:szCs w:val="24"/>
        </w:rPr>
        <w:t xml:space="preserve">Capítulo 2. Fundamentación Teórica</w:t>
      </w:r>
    </w:p>
    <w:p>
      <w:pPr>
        <w:spacing w:after="40" w:line="240" w:lineRule="auto"/>
        <w:ind w:left="360"/>
      </w:pPr>
      <w:r>
        <w:rPr>
          <w:rFonts w:ascii="Arial" w:cs="Arial" w:eastAsia="Arial" w:hAnsi="Arial"/>
          <w:b w:val="false"/>
          <w:bCs w:val="false"/>
          <w:i w:val="false"/>
          <w:iCs w:val="false"/>
          <w:color w:val="000000"/>
          <w:sz w:val="24"/>
          <w:szCs w:val="24"/>
        </w:rPr>
        <w:t xml:space="preserve">2.1 Turismo Sostenible en Destinos Vitivinícolas · 2.2 El Turismo como Experiencia Transformadora · 2.3 Enfoques Aplicados al Diseño de la Ruta · 2.4 Gobernanza Territorial y Desarrollo Endógeno</w:t>
      </w:r>
    </w:p>
    <w:p>
      <w:pPr>
        <w:spacing w:after="60" w:before="160" w:line="240" w:lineRule="auto"/>
      </w:pPr>
      <w:r>
        <w:rPr>
          <w:rFonts w:ascii="Arial" w:cs="Arial" w:eastAsia="Arial" w:hAnsi="Arial"/>
          <w:b/>
          <w:bCs/>
          <w:i w:val="false"/>
          <w:iCs w:val="false"/>
          <w:color w:val="3b1522"/>
          <w:sz w:val="24"/>
          <w:szCs w:val="24"/>
        </w:rPr>
        <w:t xml:space="preserve">Capítulo 3. Metodología de Trabajo</w:t>
      </w:r>
    </w:p>
    <w:p>
      <w:pPr>
        <w:spacing w:after="40" w:line="240" w:lineRule="auto"/>
        <w:ind w:left="360"/>
      </w:pPr>
      <w:r>
        <w:rPr>
          <w:rFonts w:ascii="Arial" w:cs="Arial" w:eastAsia="Arial" w:hAnsi="Arial"/>
          <w:b w:val="false"/>
          <w:bCs w:val="false"/>
          <w:i w:val="false"/>
          <w:iCs w:val="false"/>
          <w:color w:val="000000"/>
          <w:sz w:val="24"/>
          <w:szCs w:val="24"/>
        </w:rPr>
        <w:t xml:space="preserve">3.1 Enfoque Metodológico (3.1.1 Técnicas e instrumentos) · 3.2 Etapas del proceso de investigación · 3.3 Alcances y Limitaciones del Estudio</w:t>
      </w:r>
    </w:p>
    <w:p>
      <w:pPr>
        <w:spacing w:after="60" w:before="160" w:line="240" w:lineRule="auto"/>
      </w:pPr>
      <w:r>
        <w:rPr>
          <w:rFonts w:ascii="Arial" w:cs="Arial" w:eastAsia="Arial" w:hAnsi="Arial"/>
          <w:b/>
          <w:bCs/>
          <w:i w:val="false"/>
          <w:iCs w:val="false"/>
          <w:color w:val="3b1522"/>
          <w:sz w:val="24"/>
          <w:szCs w:val="24"/>
        </w:rPr>
        <w:t xml:space="preserve">Capítulo 4. Diagnóstico de Situación</w:t>
      </w:r>
    </w:p>
    <w:p>
      <w:pPr>
        <w:spacing w:after="40" w:line="240" w:lineRule="auto"/>
        <w:ind w:left="360"/>
      </w:pPr>
      <w:r>
        <w:rPr>
          <w:rFonts w:ascii="Arial" w:cs="Arial" w:eastAsia="Arial" w:hAnsi="Arial"/>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Arial" w:cs="Arial" w:eastAsia="Arial" w:hAnsi="Arial"/>
          <w:b/>
          <w:bCs/>
          <w:i w:val="false"/>
          <w:iCs w:val="false"/>
          <w:color w:val="3b1522"/>
          <w:sz w:val="24"/>
          <w:szCs w:val="24"/>
        </w:rPr>
        <w:t xml:space="preserve">Capítulo 5. Propuesta de Valor</w:t>
      </w:r>
    </w:p>
    <w:p>
      <w:pPr>
        <w:spacing w:after="40" w:line="240" w:lineRule="auto"/>
        <w:ind w:left="360"/>
      </w:pPr>
      <w:r>
        <w:rPr>
          <w:rFonts w:ascii="Arial" w:cs="Arial" w:eastAsia="Arial" w:hAnsi="Arial"/>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Arial" w:cs="Arial" w:eastAsia="Arial" w:hAnsi="Arial"/>
          <w:b/>
          <w:bCs/>
          <w:i w:val="false"/>
          <w:iCs w:val="false"/>
          <w:color w:val="3b1522"/>
          <w:sz w:val="24"/>
          <w:szCs w:val="24"/>
        </w:rPr>
        <w:t xml:space="preserve">Capítulo 6. Plan de Acción</w:t>
      </w:r>
    </w:p>
    <w:p>
      <w:pPr>
        <w:spacing w:after="40" w:line="240" w:lineRule="auto"/>
        <w:ind w:left="360"/>
      </w:pPr>
      <w:r>
        <w:rPr>
          <w:rFonts w:ascii="Arial" w:cs="Arial" w:eastAsia="Arial" w:hAnsi="Arial"/>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 · 6.7 Análisis de Riesgos y Contingencias · 6.8 Indicadores de Desempeño</w:t>
      </w:r>
    </w:p>
    <w:p>
      <w:pPr>
        <w:spacing w:after="60" w:before="160" w:line="240" w:lineRule="auto"/>
      </w:pPr>
      <w:r>
        <w:rPr>
          <w:rFonts w:ascii="Arial" w:cs="Arial" w:eastAsia="Arial" w:hAnsi="Arial"/>
          <w:b/>
          <w:bCs/>
          <w:i w:val="false"/>
          <w:iCs w:val="false"/>
          <w:color w:val="3b1522"/>
          <w:sz w:val="24"/>
          <w:szCs w:val="24"/>
        </w:rPr>
        <w:t xml:space="preserve">Capítulo 7. Reflexiones Finales</w:t>
      </w:r>
    </w:p>
    <w:p>
      <w:pPr>
        <w:spacing w:after="60" w:before="160" w:line="240" w:lineRule="auto"/>
      </w:pPr>
      <w:r>
        <w:rPr>
          <w:rFonts w:ascii="Arial" w:cs="Arial" w:eastAsia="Arial" w:hAnsi="Arial"/>
          <w:b/>
          <w:bCs/>
          <w:i w:val="false"/>
          <w:iCs w:val="false"/>
          <w:color w:val="3b1522"/>
          <w:sz w:val="24"/>
          <w:szCs w:val="24"/>
        </w:rPr>
        <w:t xml:space="preserve">Referencias Bibliográficas</w:t>
      </w:r>
    </w:p>
    <w:p>
      <w:pPr>
        <w:spacing w:after="60" w:before="160" w:line="240" w:lineRule="auto"/>
      </w:pPr>
      <w:r>
        <w:rPr>
          <w:rFonts w:ascii="Arial" w:cs="Arial" w:eastAsia="Arial" w:hAnsi="Arial"/>
          <w:b/>
          <w:bCs/>
          <w:i w:val="false"/>
          <w:iCs w:val="false"/>
          <w:color w:val="3b1522"/>
          <w:sz w:val="24"/>
          <w:szCs w:val="24"/>
        </w:rPr>
        <w:t xml:space="preserve">Anexos (uno por capítulo)</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Resumen Ejecutivo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Executive Summary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Resumo Executivo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Introducción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1. Planteamiento de la Idea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1.1. Justificación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CERES (2026), el Litoral Termal presenta una brecha frente a otras regiones del país: recibe un volumen de visitantes elevado —453.936 personas anuales— pero su gasto acumulado se limita a USD 86 millones, lo que arroja un gasto promedio por persona de solo USD 189, muy por debajo del promedio nacional de USD 566. En contraste, Colonia del Sacramento recibe un flujo similar (469.297 visitantes) pero genera USD 113 millones, con un gasto promedio de USD 241, mientras que Maldonado capta un gasto promedio de USD 569. Esta brecha de bajo gasto es coherente con lo relevado en profundidad por el “Estudio del perfil del turista de la Región de Salto Grande” (Observatorio Económico, Universidad Católica del Uruguay Campus Salto, 2025) —presentado ante 160 asistentes en el Campus Salto con el respaldo de la Delegación uruguaya en la Comisión Técnica Mixta de Salto Grande—: el gasto promedio por grupo familiar se ubicó en apenas USD 129 diarios en Daymán y USD 107 en Federación, del lado argentino, confirmando que el modelo termal binacional del litoral compite hoy por un segmento de bajo desembolso. Esto indica que el modelo termal salteño atrae un perfil de demanda de bajo gasto y baja diversificación recreativa. La comparación resulta especialmente elocuente frente a Colonia del Sacramento, destino que recibe un volumen de visitantes prácticamente idéntico al del Litoral Termal —469.297 personas frente a 453.936— pero que, al diversificar su propuesta más allá de un único atractivo, casi duplica el gasto promedio por persona (USD 241 frente a USD 189) y supera a Salto en gasto turístico total pese a no partir de una base de visitantes mayor. Esta comparación entre destinos de escala similar sugiere que la brecha de gasto de Salto no obedece a un límite estructural de su volumen de demanda, sino a la escasa diversificación de su oferta más allá del recurso termal, precisamente la debilidad que este proyecto busca corregir mediante la incorporación del enoturismo como producto complementario.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1.2. Contextualización y Antecedentes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 Esta centralidad fue refrendada a nivel nacional en 2024, cuando el INAVI, junto con la Comisión de Patrimonio Cultural de la Nación, conmemoró oficialmente los 150 años de la vitivinicultura uruguaya tomando como hito fundacional precisamente el cultivo exitoso del Tannat por Harriague en 1874 (Tierra de Valores, 2024), lo que sitúa a Salto —y no a las actuales zonas vitivinícolas del sur del país— como el punto de origen reconocido oficialmente por el organismo rector del sector.</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desconexión entre patrimonio histórico y oferta comercial activa no es, sin embargo, una condición irreversible del territorio, sino el resultado de decisiones de gestión y promoción que pueden modificarse. La propia trayectoria reciente del Espacio Cultural Bodega Harriague —de ruina intermitentemente gestionada a proyecto binacional de restauración con respaldo académico internacional (4.6)— muestra que el patrimonio vitivinícola de Salto cuenta con capacidad de movilizar voluntades institucionales cuando existe un proyecto concreto que lo organice. El desafío que este trabajo busca resolver no es, entonces, la inexistencia de recursos patrimoniales o productivos suficientes, sino la falta de un vehículo de gestión que los articule en una propuesta comercial coherente y sostenida en el tiempo, tal como se fundamenta en el marco teórico del Capítulo 2 y se desarrolla en la propuesta organizativa del Capítulo 5.</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1.3. Objetivos</w:t>
      </w:r>
    </w:p>
    <w:p>
      <w:pPr>
        <w:pStyle w:val="Heading3"/>
        <w:keepNext/>
        <w:spacing w:after="100" w:before="220" w:line="240" w:lineRule="auto"/>
        <w:jc w:val="left"/>
      </w:pPr>
      <w:r>
        <w:rPr>
          <w:rFonts w:ascii="Arial" w:cs="Arial" w:eastAsia="Arial" w:hAnsi="Arial"/>
          <w:b/>
          <w:bCs/>
          <w:i/>
          <w:iCs/>
          <w:color w:val="3b3b3b"/>
          <w:sz w:val="24"/>
          <w:szCs w:val="24"/>
        </w:rPr>
        <w:t xml:space="preserve">1.3.1. Objetivo General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00" w:before="220" w:line="240" w:lineRule="auto"/>
        <w:jc w:val="left"/>
      </w:pPr>
      <w:r>
        <w:rPr>
          <w:rFonts w:ascii="Arial" w:cs="Arial" w:eastAsia="Arial" w:hAnsi="Arial"/>
          <w:b/>
          <w:bCs/>
          <w:i/>
          <w:iCs/>
          <w:color w:val="3b3b3b"/>
          <w:sz w:val="24"/>
          <w:szCs w:val="24"/>
        </w:rPr>
        <w:t xml:space="preserve">1.3.2. Objetivos Específicos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2. Fundamentación Teórica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2.1. Turismo sostenible en destinos vitivinícolas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2.2. El turismo como experiencia transformadora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dimensión experiencial se suma el concepto de patrimonio histórico, entendido no como un vestigio inerte del pasado sino como una construcción social: según Prats (1997), el patrimonio se activa a partir de una memoria intersubjetiva —compartida por una comunidad— que selecciona y resignifica determinados referentes del pasado en función de las necesidades e intereses del presente. Bajo esta lógica, la figura de Pascual Harriague y el origen del Tannat en Salto no son un dato histórico neutro, sino un relato que la comunidad local activa deliberadamente para construir identidad y, en este caso, valor turístico. La experiencia transformadora que persigue el circuito se apoya, entonces, tanto en la inmersión sensorial descrita por Ahlfert y Urry como en esta dimensión patrimonial: el visitante no solo prueba un vino, sino que participa de la memoria colectiva que le da sentido.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2.3. Enfoques aplicados al diseño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diseño de la ruta se sustenta en tres enfoques complementarios. En primer lugar, el </w:t>
      </w:r>
      <w:r>
        <w:rPr>
          <w:rFonts w:ascii="Arial" w:cs="Arial" w:eastAsia="Arial" w:hAnsi="Arial"/>
          <w:b/>
          <w:bCs/>
          <w:i w:val="false"/>
          <w:iCs w:val="false"/>
          <w:color w:val="000000"/>
          <w:sz w:val="24"/>
          <w:szCs w:val="24"/>
        </w:rPr>
        <w:t xml:space="preserve">enoturismo y desarrollo territorial</w:t>
      </w:r>
      <w:r>
        <w:rPr>
          <w:rFonts w:ascii="Arial" w:cs="Arial" w:eastAsia="Arial" w:hAnsi="Arial"/>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Arial" w:cs="Arial" w:eastAsia="Arial" w:hAnsi="Arial"/>
          <w:b/>
          <w:bCs/>
          <w:i w:val="false"/>
          <w:iCs w:val="false"/>
          <w:color w:val="000000"/>
          <w:sz w:val="24"/>
          <w:szCs w:val="24"/>
        </w:rPr>
        <w:t xml:space="preserve">interpretación del patrimonio cultural e industrial</w:t>
      </w:r>
      <w:r>
        <w:rPr>
          <w:rFonts w:ascii="Arial" w:cs="Arial" w:eastAsia="Arial" w:hAnsi="Arial"/>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Arial" w:cs="Arial" w:eastAsia="Arial" w:hAnsi="Arial"/>
          <w:b/>
          <w:bCs/>
          <w:i w:val="false"/>
          <w:iCs w:val="false"/>
          <w:color w:val="000000"/>
          <w:sz w:val="24"/>
          <w:szCs w:val="24"/>
        </w:rPr>
        <w:t xml:space="preserve">turismo sostenible y la reducción de cargas</w:t>
      </w:r>
      <w:r>
        <w:rPr>
          <w:rFonts w:ascii="Arial" w:cs="Arial" w:eastAsia="Arial" w:hAnsi="Arial"/>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2.4. Gobernanza Territorial y Desarrollo Endógeno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modelo de negocio propuesto en este proyecto —un circuito asociativo coordinado por un Comité de Gestión, integrado por bodegas privadas, instituciones públicas y organizaciones de la sociedad civil— no es una simple estructura administrativa, sino la aplicación concreta de dos corrientes teóricas que explican por qué el territorio, y no una única empresa, debe constituirse en la unidad de análisis y de acción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primera es la teoría del desarrollo territorial endógeno. Boisier (2003) sostiene que el desarrollo no es un fenómeno que se importa desde fuera del territorio, sino una capacidad que una región, localidad o comunidad construye para apropiarse de las decisiones sobre su propio desarrollo, diversificar la economía territorial y generar impulsos tecnológicos e identitarios propios. Bajo esta lógica, la Ruta del Tannat no es un producto turístico diseñado por un operador externo e importado al territorio, sino una propuesta que activa recursos —el patrimonio de Harriague, el terroir del litoral, el saber hacer de las bodegas familiares— que ya existen en Salto pero que permanecían desarticulados. El desarrollo endógeno, en este sentido, no excluye la cooperación externa (fondos nacionales, universidades, cátedras internacionales), pero exige que la capacidad de decisión sobre el circuito resida en los propios actores del territorio, lo que justifica la centralidad otorgada al Comité de Gestión por sobre un modelo de concesión a un operador turístico externo.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segunda corriente es la teoría de la acción colectiva aplicada a la gestión de recursos compartidos. Ostrom (1990), en su análisis de los sistemas de gobernanza que logran administrar recursos comunes de forma sostenible sin recurrir ni a la privatización total ni al control estatal centralizado, identifica un conjunto de principios de diseño institucional que las organizaciones exitosas comparten: límites claros sobre quiénes participan del sistema, reglas de uso adaptadas a las condiciones locales, mecanismos de decisión colectiva que incluyen a quienes se ven afectados por las reglas, sistemas de monitoreo accesibles a los propios participantes y mecanismos graduales de resolución de conflictos. Aplicados al caso de estudio, estos principios permiten anticipar los requisitos institucionales mínimos que el Comité de Gestión de la Ruta del Tannat deberá satisfacer para sostenerse en el tiempo: una membresía definida (las tres bodegas asociadas, el sector hotelero, los guías habilitados), reglas de distribución de reservas y comisiones acordadas colectivamente (y no impuestas por un único actor dominante), y una instancia de resolución de conflictos entre bodegas y prestadores que evite que la fragmentación operativa diagnosticada en el Capítulo 4 se traslade, sin corregirse, a la nueva estructura asociativa.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conjunto, ambas corrientes fundamentan una premisa central del proyecto: la sostenibilidad del circuito no depende únicamente del atractivo del patrimonio histórico o de la rentabilidad financiera de cada bodega por separado, sino de la capacidad del territorio para gobernarse a sí mismo de forma colaborativa y sostenida en el tiempo.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3. Metodología de Trabajo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3.1. Enfoque Metodológico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elección metodológica se fundamenta en Hernández Sampieri et al. (2014), quienes señalan que el enfoque mixto permite compensar las limitaciones de cada método por separado: la dimensión cuantitativa aporta la evidencia estadística necesaria para dimensionar el mercado y proyectar la viabilidad financiera de la propuesta (capítulos 4 y 6), mientras que la dimensión cualitativa —entrevistas, indagación en territorio— permite captar el significado que los propios actores locales (bodegas, Centro Vasco, operadores hoteleros) atribuyen al patrimonio vitivinícola de Salto, un insumo indispensable para diseñar un guion interpretativo fidedigno. El alcance descriptivo-explicativo se justifica, a su vez, porque el proyecto no se limita a describir la situación actual del destino, sino que busca explicar las causas de su bajo desempeño enoturístico —la desconexión estructural entre el producto termal y el patrimonio vitivinícola— para, a partir de ese diagnóstico, formular una propuesta de intervención. El componente de investigación-acción, por último, responde a la necesidad de involucrar a los actores del territorio como corresponsables del diseño de la ruta y no como meros informantes, favoreciendo su apropiación futura del proyecto.</w:t>
      </w:r>
    </w:p>
    <w:p>
      <w:pPr>
        <w:pStyle w:val="Heading3"/>
        <w:keepNext/>
        <w:spacing w:after="100" w:before="220" w:line="240" w:lineRule="auto"/>
        <w:jc w:val="left"/>
      </w:pPr>
      <w:r>
        <w:rPr>
          <w:rFonts w:ascii="Arial" w:cs="Arial" w:eastAsia="Arial" w:hAnsi="Arial"/>
          <w:b/>
          <w:bCs/>
          <w:i/>
          <w:iCs/>
          <w:color w:val="3b3b3b"/>
          <w:sz w:val="24"/>
          <w:szCs w:val="24"/>
        </w:rPr>
        <w:t xml:space="preserve">3.1.1. Técnicas e instrumentos de recolección y análisis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keepNext/>
        <w:spacing w:after="0" w:before="200" w:line="240" w:lineRule="auto"/>
        <w:jc w:val="left"/>
      </w:pPr>
      <w:r>
        <w:rPr>
          <w:rFonts w:ascii="Arial" w:cs="Arial" w:eastAsia="Arial" w:hAnsi="Arial"/>
          <w:b/>
          <w:bCs/>
          <w:i w:val="false"/>
          <w:iCs w:val="false"/>
          <w:color w:val="3b1522"/>
          <w:sz w:val="24"/>
          <w:szCs w:val="24"/>
        </w:rPr>
        <w:t xml:space="preserve">Tabla 1</w:t>
      </w:r>
    </w:p>
    <w:p>
      <w:pPr>
        <w:keepNext/>
        <w:spacing w:after="120" w:before="0" w:line="240" w:lineRule="auto"/>
        <w:jc w:val="left"/>
      </w:pPr>
      <w:r>
        <w:rPr>
          <w:rFonts w:ascii="Arial" w:cs="Arial" w:eastAsia="Arial" w:hAnsi="Arial"/>
          <w:b w:val="false"/>
          <w:bCs w:val="false"/>
          <w:i/>
          <w:iCs/>
          <w:color w:val="000000"/>
          <w:sz w:val="24"/>
          <w:szCs w:val="24"/>
        </w:rPr>
        <w:t xml:space="preserve">Ficha técnica de la investigación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081"/>
        <w:gridCol w:w="7423"/>
      </w:tblGrid>
      <w:tr>
        <w:trPr>
          <w:cantSplit/>
        </w:trPr>
        <w:tc>
          <w:tcPr>
            <w:tcW w:type="dxa" w:w="108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Elemento</w:t>
            </w:r>
          </w:p>
        </w:tc>
        <w:tc>
          <w:tcPr>
            <w:tcW w:type="dxa" w:w="74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Descripción</w:t>
            </w:r>
          </w:p>
        </w:tc>
      </w:tr>
      <w:tr>
        <w:trPr>
          <w:cantSplit/>
        </w:trPr>
        <w:tc>
          <w:tcPr>
            <w:tcW w:type="dxa" w:w="108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estudio</w:t>
            </w:r>
          </w:p>
        </w:tc>
        <w:tc>
          <w:tcPr>
            <w:tcW w:type="dxa" w:w="74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Mixto (cualitativo-cuantitativo), de alcance descriptivo-explicativo, con componente de investigación-acción (3.1)</w:t>
            </w:r>
          </w:p>
        </w:tc>
      </w:tr>
      <w:tr>
        <w:trPr>
          <w:cantSplit/>
        </w:trPr>
        <w:tc>
          <w:tcPr>
            <w:tcW w:type="dxa" w:w="108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Universo de estudio</w:t>
            </w:r>
          </w:p>
        </w:tc>
        <w:tc>
          <w:tcPr>
            <w:tcW w:type="dxa" w:w="74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de ocio alojados en los complejos hoteleros del corredor termal de Daymán y Arapey</w:t>
            </w:r>
          </w:p>
        </w:tc>
      </w:tr>
      <w:tr>
        <w:trPr>
          <w:cantSplit/>
        </w:trPr>
        <w:tc>
          <w:tcPr>
            <w:tcW w:type="dxa" w:w="108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Técnica de muestreo</w:t>
            </w:r>
          </w:p>
        </w:tc>
        <w:tc>
          <w:tcPr>
            <w:tcW w:type="dxa" w:w="74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 probabilística, por conveniencia (3.3)</w:t>
            </w:r>
          </w:p>
        </w:tc>
      </w:tr>
      <w:tr>
        <w:trPr>
          <w:cantSplit/>
        </w:trPr>
        <w:tc>
          <w:tcPr>
            <w:tcW w:type="dxa" w:w="108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Tamaño de muestra (n)</w:t>
            </w:r>
          </w:p>
        </w:tc>
        <w:tc>
          <w:tcPr>
            <w:tcW w:type="dxa" w:w="74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a determinar al cierre de la fase de campo]</w:t>
            </w:r>
          </w:p>
        </w:tc>
      </w:tr>
      <w:tr>
        <w:trPr>
          <w:cantSplit/>
        </w:trPr>
        <w:tc>
          <w:tcPr>
            <w:tcW w:type="dxa" w:w="108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Instrumentos</w:t>
            </w:r>
          </w:p>
        </w:tc>
        <w:tc>
          <w:tcPr>
            <w:tcW w:type="dxa" w:w="74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Encuesta estructurada a turistas; entrevista semiestructurada a directores técnicos de bodegas; guía de indagación a referentes institucionales (Anexo Cap. 3)</w:t>
            </w:r>
          </w:p>
        </w:tc>
      </w:tr>
      <w:tr>
        <w:trPr>
          <w:cantSplit/>
        </w:trPr>
        <w:tc>
          <w:tcPr>
            <w:tcW w:type="dxa" w:w="108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Ámbito geográfico</w:t>
            </w:r>
          </w:p>
        </w:tc>
        <w:tc>
          <w:tcPr>
            <w:tcW w:type="dxa" w:w="74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Departamento de Salto: corredor termal de Daymán-Arapey y zona vitivinícola de Colonia Osimani</w:t>
            </w:r>
          </w:p>
        </w:tc>
      </w:tr>
      <w:tr>
        <w:trPr>
          <w:cantSplit/>
        </w:trPr>
        <w:tc>
          <w:tcPr>
            <w:tcW w:type="dxa" w:w="108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Período de relevamiento</w:t>
            </w:r>
          </w:p>
        </w:tc>
        <w:tc>
          <w:tcPr>
            <w:tcW w:type="dxa" w:w="74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fechas de aplicación de encuestas y entrevistas]</w:t>
            </w:r>
          </w:p>
        </w:tc>
      </w:tr>
      <w:tr>
        <w:trPr>
          <w:cantSplit/>
        </w:trPr>
        <w:tc>
          <w:tcPr>
            <w:tcW w:type="dxa" w:w="108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Fuentes secundarias</w:t>
            </w:r>
          </w:p>
        </w:tc>
        <w:tc>
          <w:tcPr>
            <w:tcW w:type="dxa" w:w="74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INAVI, Opción Consultores, Observatorio de Turismo Inteligente del MINTUR, CERES (3.1.1)</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3.2. Etapas del proceso de investigación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3.3. Alcances y Limitaciones del Estudio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todo diseño de investigación aplicada, este trabajo presenta limitaciones metodológicas que resulta pertinente explicitar. En primer lugar, el carácter no probabilístico de la muestra de turistas encuestados en los complejos hoteleros de Daymán —una muestra por conveniencia, administrada durante un período acotado de la fase de campo— implica que sus resultados deben interpretarse como una aproximación exploratoria al comportamiento del turista termal y no como una inferencia estadística generalizable al universo completo de visitantes del corredor termal, cuyo tamaño (453.936 personas anuales, según CERES, 2026) excede ampliamente lo que un proyecto de fin de carrera puede relevar de forma censal. En segundo lugar, las entrevistas en profundidad se concentraron en las bodegas ya identificadas como activas y dispuestas a colaborar (Salto Chico y Bertolini &amp; Broglio), por lo que no captan eventuales barreras de entrada percibidas por otros productores vitivinícolas del departamento que no forman parte del circuito propuesto. En tercer lugar, las proyecciones financieras del Capítulo 6 se apoyan en supuestos de demanda —el 0,8% de captación del corredor termal en el primer año— que, si bien se fundamentan en la escala de la demanda existente, no equivalen a una validación de mercado real y deberán contrastarse con los resultados efectivos del cuestionario QR de satisfacción una vez iniciada la operación piloto (6.4).</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Desde el punto de vista ético, la investigación en territorio respetó el consentimiento informado de los entrevistados —directores técnicos de bodegas y referentes institucionales—, quienes fueron consultados en su calidad de informantes calificados sobre información pública u operativa de sus propios establecimientos, sin relevarse datos personales sensibles ni información comercial reservada de terceros. Las limitaciones aquí reconocidas no invalidan el diagnóstico presentado en el Capítulo 4, pero sí delimitan su alcance: se trata de un estudio de factibilidad orientado a fundamentar una decisión de inversión y gestión asociativa, no de una investigación de mercado exhaustiva a escala departamental.</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4. Diagnóstico de Situación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4.1. Análisis Territorial y Turístico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Junto a esta infraestructura física, el territorio cuenta con una red de actores clave cuya articulación —o desarticulación, según se diagnostica en el punto 4.6— condiciona la viabilidad del circuito. Desde el sector público, intervienen la Intendencia de Salto y el Municipio de Salto, con competencia sobre la caminería rural y la gestión patrimonial del Espacio Cultural Bodega Harriague (5.1), así como el MINTUR y el INAVI a nivel nacional, responsables de la habilitación de prestadores turísticos y de la normativa vitivinícola, respectivamente (5.5). Desde el sector privado, los actores centrales son las tres bodegas activas de la ruta —Salto Chico, Bertolini &amp; Broglio y Mori Maglio— y el sector hotelero de Daymán y Arapey, que actúa como canal de venta indirecta del circuito (6.1.4). Desde la sociedad civil, el Euskal Etxea (Centro Vasco de Salto) y la Asociación de Vitivinicultores de Salto integran, junto al Municipio, la Comisión de Gestión del Espacio Cultural Bodega Harriague (5.1), mientras que el Centro Comercial e Industrial de Salto —a través de su Comisión de Turismo— articula hoy la agenda turística departamental en ausencia de una mesa unificada (4.6). Finalmente, desde el ámbito académico, el CENUR Litoral Norte (Udelar) y la propia UTU aportan capacidad de formación de guías y personal de atención (6.3), y la Universidad del País Vasco participa como socio internacional del proyecto de restauración U-riharri (4.6). El diagnóstico de este trabajo evidencia que ninguno de estos actores es, por sí solo, insuficiente para sostener el circuito; la debilidad estructural identificada radica, más bien, en la ausencia de una instancia que los articule de forma permanente, vacío que el Comité de Gestión propuesto en el Capítulo 5 busca cubrir.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4.2. Análisis del Entorno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keepNext/>
        <w:spacing w:after="0" w:before="200" w:line="240" w:lineRule="auto"/>
        <w:jc w:val="left"/>
      </w:pPr>
      <w:r>
        <w:rPr>
          <w:rFonts w:ascii="Arial" w:cs="Arial" w:eastAsia="Arial" w:hAnsi="Arial"/>
          <w:b/>
          <w:bCs/>
          <w:i w:val="false"/>
          <w:iCs w:val="false"/>
          <w:color w:val="3b1522"/>
          <w:sz w:val="24"/>
          <w:szCs w:val="24"/>
        </w:rPr>
        <w:t xml:space="preserve">Tabla 2</w:t>
      </w:r>
    </w:p>
    <w:p>
      <w:pPr>
        <w:keepNext/>
        <w:spacing w:after="120" w:before="0" w:line="240" w:lineRule="auto"/>
        <w:jc w:val="left"/>
      </w:pPr>
      <w:r>
        <w:rPr>
          <w:rFonts w:ascii="Arial" w:cs="Arial" w:eastAsia="Arial" w:hAnsi="Arial"/>
          <w:b w:val="false"/>
          <w:bCs w:val="false"/>
          <w:i/>
          <w:iCs/>
          <w:color w:val="000000"/>
          <w:sz w:val="24"/>
          <w:szCs w:val="24"/>
        </w:rPr>
        <w:t xml:space="preserve">Síntesis del análisis del entorno (PESTEL)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22"/>
        <w:gridCol w:w="7582"/>
      </w:tblGrid>
      <w:tr>
        <w:trPr>
          <w:cantSplit/>
        </w:trPr>
        <w:tc>
          <w:tcPr>
            <w:tcW w:type="dxa" w:w="9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w:t>
            </w:r>
          </w:p>
        </w:tc>
        <w:tc>
          <w:tcPr>
            <w:tcW w:type="dxa" w:w="758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Factor relevante para el circuito</w:t>
            </w:r>
          </w:p>
        </w:tc>
      </w:tr>
      <w:tr>
        <w:trPr>
          <w:cantSplit/>
        </w:trPr>
        <w:tc>
          <w:tcPr>
            <w:tcW w:type="dxa" w:w="9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Político-institucional</w:t>
            </w:r>
          </w:p>
        </w:tc>
        <w:tc>
          <w:tcPr>
            <w:tcW w:type="dxa" w:w="7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Marco regulatorio favorable de INAVI y MINTUR para descentralizar la oferta turística nacional; discontinuidad de financiamiento ante cambios de administración departamental</w:t>
            </w:r>
          </w:p>
        </w:tc>
      </w:tr>
      <w:tr>
        <w:trPr>
          <w:cantSplit/>
        </w:trPr>
        <w:tc>
          <w:tcPr>
            <w:tcW w:type="dxa" w:w="9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Económico-cambiario</w:t>
            </w:r>
          </w:p>
        </w:tc>
        <w:tc>
          <w:tcPr>
            <w:tcW w:type="dxa" w:w="7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Vulnerabilidad por la disparidad cambiaria con Argentina; crecimiento del mercado brasileño de alto poder adquisitivo (39% de los visitantes en el sur del país)</w:t>
            </w:r>
          </w:p>
        </w:tc>
      </w:tr>
      <w:tr>
        <w:trPr>
          <w:cantSplit/>
        </w:trPr>
        <w:tc>
          <w:tcPr>
            <w:tcW w:type="dxa" w:w="9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Sociocultural</w:t>
            </w:r>
          </w:p>
        </w:tc>
        <w:tc>
          <w:tcPr>
            <w:tcW w:type="dxa" w:w="7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Valorización creciente del consumo consciente, la producción artesanal y las narrativas de origen; memoria de la inmigración vasca y relato fundacional de la vitivinicultura salteña</w:t>
            </w:r>
          </w:p>
        </w:tc>
      </w:tr>
      <w:tr>
        <w:trPr>
          <w:cantSplit/>
        </w:trPr>
        <w:tc>
          <w:tcPr>
            <w:tcW w:type="dxa" w:w="9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Tecnológico</w:t>
            </w:r>
          </w:p>
        </w:tc>
        <w:tc>
          <w:tcPr>
            <w:tcW w:type="dxa" w:w="7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Digitalización creciente de la gestión turística; acceso de bodegas familiares a reservas anticipadas y ventas en línea</w:t>
            </w:r>
          </w:p>
        </w:tc>
      </w:tr>
      <w:tr>
        <w:trPr>
          <w:cantSplit/>
        </w:trPr>
        <w:tc>
          <w:tcPr>
            <w:tcW w:type="dxa" w:w="9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Ecológico-climático</w:t>
            </w:r>
          </w:p>
        </w:tc>
        <w:tc>
          <w:tcPr>
            <w:tcW w:type="dxa" w:w="7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Exposición del sector a sequías e inundaciones; programa Uva Sostenible de INAVI (38% de la superficie nacional certificada) como marco de mitigación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análisis desarrollado en este apartado.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De las cinco dimensiones analizadas, dos condicionan de forma más directa el diseño del plan de acción del Capítulo 6. La dimensión económica y cambiaria, por su volatilidad ya documentada (4.6; Tabla 8), exige que el modelo de negocio no dependa de la brecha de precios con Argentina para ser rentable, sino que la considere como una variable externa a monitorear; de allí que la estrategia de precios (6.1.3) se fije en dólares y no busque competir por tarifa con la oferta termal argentina. La dimensión político-institucional, por su parte, explica por qué el proyecto no puede depender de un único canal de financiamiento o de una única mesa de coordinación pública: la discontinuidad observada en la gestión patrimonial del Espacio Harriague ante los cambios de administración departamental es, en clave de la teoría de la acción colectiva (2.4), precisamente el tipo de inestabilidad institucional que un mecanismo de gobernanza asociativa como el Comité de Gestión busca amortiguar, al no depender exclusivamente de la voluntad política de una administración de turno.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4.3. Competencia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Arial" w:cs="Arial" w:eastAsia="Arial" w:hAnsi="Arial"/>
          <w:b/>
          <w:bCs/>
          <w:i w:val="false"/>
          <w:iCs w:val="false"/>
          <w:color w:val="3b1522"/>
          <w:sz w:val="24"/>
          <w:szCs w:val="24"/>
        </w:rPr>
        <w:t xml:space="preserve">Tabla 3</w:t>
      </w:r>
    </w:p>
    <w:p>
      <w:pPr>
        <w:keepNext/>
        <w:spacing w:after="120" w:before="0" w:line="240" w:lineRule="auto"/>
        <w:jc w:val="left"/>
      </w:pPr>
      <w:r>
        <w:rPr>
          <w:rFonts w:ascii="Arial" w:cs="Arial" w:eastAsia="Arial" w:hAnsi="Arial"/>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4"/>
        <w:gridCol w:w="1722"/>
        <w:gridCol w:w="2368"/>
        <w:gridCol w:w="1722"/>
        <w:gridCol w:w="1808"/>
      </w:tblGrid>
      <w:tr>
        <w:trPr>
          <w:cantSplit/>
        </w:trPr>
        <w:tc>
          <w:tcPr>
            <w:tcW w:type="dxa" w:w="88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Región</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Modelo turístico</w:t>
            </w:r>
          </w:p>
        </w:tc>
        <w:tc>
          <w:tcPr>
            <w:tcW w:type="dxa" w:w="23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Vinos y experiencia</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Alojamiento en bodega</w:t>
            </w:r>
          </w:p>
        </w:tc>
        <w:tc>
          <w:tcPr>
            <w:tcW w:type="dxa" w:w="180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Relación de precios; turismo de clase alta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comparativo permite, siguiendo el marco de las estrategias genéricas de Porter (1980), identificar con precisión el posicionamiento competitivo que le corresponde a Salto. Carmelo compite por diferenciación de lujo, apalancada en una oferta hotelera dentro de la propia bodega que Salto no está en condiciones de igualar en el corto plazo; frente a este competidor, la estrategia de Salto no puede ser imitativa, sino de diferenciación por autenticidad histórica, un atributo que Carmelo —pese a su sofisticación— no posee, dado que ninguna otra región del país puede reclamar de forma creíble el título de cuna fundacional del Tannat. Canelones compite por volumen y proximidad al principal mercado emisor del país (el área metropolitana de Montevideo); frente a esta escala, Salto debe evitar una competencia directa por precio o por número de visitantes y, en cambio, capitalizar la hibridación único con la infraestructura termal ya consolidada, un activo que Canelones no posee. Maldonado, por su parte, compite en el segmento de más alto poder adquisitivo del país; dado que este segmento no es el núcleo de la demanda actual del corredor termal salteño (de perfil medio, según el diagnóstico de mercado del punto 4.5), no constituye una amenaza de sustitución directa sino, en todo caso, una referencia aspiracional de estándares de servicio a mediano plazo. Esta lectura estratégica confirma que la propuesta de valor del Capítulo 5 —un circuito de precio medio, apalancado en patrimonio histórico e infraestructura termal existente— no intenta competir en los mismos términos que ninguno de los tres destinos consolidados, sino ocupar un nicho de enfoque (Porter, 1980) que ninguno de ellos disputa actualmente.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4.4. Investigación de Mercados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investigación de mercados, en el sentido en que la define Kotler y Keller (2016), cumple aquí una función doble: por un lado, reduce la incertidumbre sobre el comportamiento del turista termal frente a una oferta enoturística que, hasta el momento, no existe de forma estructurada en el destino, y por otro, permite validar —o corregir— los supuestos de demanda utilizados en la planificación financiera del Capítulo 6 antes de comprometer la inversión inicial. Por esa razón, el instrumento no se limita a relevar datos demográficos genéricos, sino que indaga específicamente el conocimiento previo de las bodegas activas y la disposición a pagar por un tour de media jornada (ítems 5 y 8 del cuestionario), variables directamente utilizadas para contrastar el precio de venta fijado en el punto 6.1.3.</w:t>
      </w:r>
    </w:p>
    <w:p>
      <w:pPr>
        <w:pStyle w:val="Heading3"/>
        <w:keepNext/>
        <w:spacing w:after="100" w:before="220" w:line="240" w:lineRule="auto"/>
        <w:jc w:val="left"/>
      </w:pPr>
      <w:r>
        <w:rPr>
          <w:rFonts w:ascii="Arial" w:cs="Arial" w:eastAsia="Arial" w:hAnsi="Arial"/>
          <w:b/>
          <w:bCs/>
          <w:i/>
          <w:iCs/>
          <w:color w:val="3b3b3b"/>
          <w:sz w:val="24"/>
          <w:szCs w:val="24"/>
        </w:rPr>
        <w:t xml:space="preserve">4.4.1. Instrumento: encuesta a turistas termales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Días de estadía en el destino.</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nivel educativo y composición del grupo de viaje.</w:t>
      </w:r>
    </w:p>
    <w:p>
      <w:pPr>
        <w:pStyle w:val="Heading3"/>
        <w:keepNext/>
        <w:spacing w:after="100" w:before="220" w:line="240" w:lineRule="auto"/>
        <w:jc w:val="left"/>
      </w:pPr>
      <w:r>
        <w:rPr>
          <w:rFonts w:ascii="Arial" w:cs="Arial" w:eastAsia="Arial" w:hAnsi="Arial"/>
          <w:b/>
          <w:bCs/>
          <w:i/>
          <w:iCs/>
          <w:color w:val="3b3b3b"/>
          <w:sz w:val="24"/>
          <w:szCs w:val="24"/>
        </w:rPr>
        <w:t xml:space="preserve">4.4.2. Instrumento: guía de entrevista en profundidad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00" w:before="220" w:line="240" w:lineRule="auto"/>
        <w:jc w:val="left"/>
      </w:pPr>
      <w:r>
        <w:rPr>
          <w:rFonts w:ascii="Arial" w:cs="Arial" w:eastAsia="Arial" w:hAnsi="Arial"/>
          <w:b/>
          <w:bCs/>
          <w:i/>
          <w:iCs/>
          <w:color w:val="3b3b3b"/>
          <w:sz w:val="24"/>
          <w:szCs w:val="24"/>
        </w:rPr>
        <w:t xml:space="preserve">4.4.3. Resultados</w:t>
      </w:r>
    </w:p>
    <w:p>
      <w:pPr>
        <w:keepNext/>
        <w:spacing w:after="0" w:before="200" w:line="240" w:lineRule="auto"/>
        <w:jc w:val="left"/>
      </w:pPr>
      <w:r>
        <w:rPr>
          <w:rFonts w:ascii="Arial" w:cs="Arial" w:eastAsia="Arial" w:hAnsi="Arial"/>
          <w:b/>
          <w:bCs/>
          <w:i w:val="false"/>
          <w:iCs w:val="false"/>
          <w:color w:val="3b1522"/>
          <w:sz w:val="24"/>
          <w:szCs w:val="24"/>
        </w:rPr>
        <w:t xml:space="preserve">Tabla 4</w:t>
      </w:r>
    </w:p>
    <w:p>
      <w:pPr>
        <w:keepNext/>
        <w:spacing w:after="120" w:before="0" w:line="240" w:lineRule="auto"/>
        <w:jc w:val="left"/>
      </w:pPr>
      <w:r>
        <w:rPr>
          <w:rFonts w:ascii="Arial" w:cs="Arial" w:eastAsia="Arial" w:hAnsi="Arial"/>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6928"/>
        <w:gridCol w:w="788"/>
        <w:gridCol w:w="788"/>
      </w:tblGrid>
      <w:tr>
        <w:trPr>
          <w:cantSplit/>
        </w:trPr>
        <w:tc>
          <w:tcPr>
            <w:tcW w:type="dxa" w:w="692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 relevada</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Principal hallazgo</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 EJEMPLO ILUSTRATIVO — NO SON DATOS REALES</w:t>
            </w:r>
            <w:r>
              <w:rPr>
                <w:rFonts w:ascii="Arial" w:cs="Arial" w:eastAsia="Arial" w:hAnsi="Arial"/>
                <w:b w:val="false"/>
                <w:bCs w:val="false"/>
                <w:i/>
                <w:iCs/>
                <w:color w:val="000000"/>
                <w:sz w:val="20"/>
                <w:szCs w:val="20"/>
              </w:rPr>
              <w:t xml:space="preserve">El siguiente párrafo es un ejemplo de redacción con datos inventados, solo para mostrar cómo se vería la sección una vez completada. Debe eliminarse y reemplazarse por el análisis real de los datos relevados:</w:t>
            </w:r>
            <w:r>
              <w:rPr>
                <w:rFonts w:ascii="Arial" w:cs="Arial" w:eastAsia="Arial" w:hAnsi="Arial"/>
                <w:b w:val="false"/>
                <w:bCs w:val="false"/>
                <w:i/>
                <w:iCs/>
                <w:color w:val="000000"/>
                <w:sz w:val="20"/>
                <w:szCs w:val="20"/>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00" w:before="220" w:line="240" w:lineRule="auto"/>
        <w:jc w:val="left"/>
      </w:pPr>
      <w:r>
        <w:rPr>
          <w:rFonts w:ascii="Arial" w:cs="Arial" w:eastAsia="Arial" w:hAnsi="Arial"/>
          <w:b/>
          <w:bCs/>
          <w:i/>
          <w:iCs/>
          <w:color w:val="3b3b3b"/>
          <w:sz w:val="24"/>
          <w:szCs w:val="24"/>
        </w:rPr>
        <w:t xml:space="preserve">4.4.4. Datos secundarios de contexto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4.5. Análisis de Mercado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keepNext/>
        <w:spacing w:after="0" w:before="200" w:line="240" w:lineRule="auto"/>
        <w:jc w:val="left"/>
      </w:pPr>
      <w:r>
        <w:rPr>
          <w:rFonts w:ascii="Arial" w:cs="Arial" w:eastAsia="Arial" w:hAnsi="Arial"/>
          <w:b/>
          <w:bCs/>
          <w:i w:val="false"/>
          <w:iCs w:val="false"/>
          <w:color w:val="3b1522"/>
          <w:sz w:val="24"/>
          <w:szCs w:val="24"/>
        </w:rPr>
        <w:t xml:space="preserve">Tabla 5</w:t>
      </w:r>
    </w:p>
    <w:p>
      <w:pPr>
        <w:keepNext/>
        <w:spacing w:after="120" w:before="0" w:line="240" w:lineRule="auto"/>
        <w:jc w:val="left"/>
      </w:pPr>
      <w:r>
        <w:rPr>
          <w:rFonts w:ascii="Arial" w:cs="Arial" w:eastAsia="Arial" w:hAnsi="Arial"/>
          <w:b w:val="false"/>
          <w:bCs w:val="false"/>
          <w:i/>
          <w:iCs/>
          <w:color w:val="000000"/>
          <w:sz w:val="24"/>
          <w:szCs w:val="24"/>
        </w:rPr>
        <w:t xml:space="preserve">Síntesis del perfil del mercado objetivo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69"/>
        <w:gridCol w:w="7635"/>
      </w:tblGrid>
      <w:tr>
        <w:trPr>
          <w:cantSplit/>
        </w:trPr>
        <w:tc>
          <w:tcPr>
            <w:tcW w:type="dxa" w:w="86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w:t>
            </w:r>
          </w:p>
        </w:tc>
        <w:tc>
          <w:tcPr>
            <w:tcW w:type="dxa" w:w="76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Características</w:t>
            </w:r>
          </w:p>
        </w:tc>
      </w:tr>
      <w:tr>
        <w:trPr>
          <w:cantSplit/>
        </w:trPr>
        <w:tc>
          <w:tcPr>
            <w:tcW w:type="dxa" w:w="86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Geográfica</w:t>
            </w:r>
          </w:p>
        </w:tc>
        <w:tc>
          <w:tcPr>
            <w:tcW w:type="dxa" w:w="76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nacionales de Montevideo y el sur del país; mercado regional de proximidad de Entre Ríos (Argentina) y Rio Grande do Sul (Brasil)</w:t>
            </w:r>
          </w:p>
        </w:tc>
      </w:tr>
      <w:tr>
        <w:trPr>
          <w:cantSplit/>
        </w:trPr>
        <w:tc>
          <w:tcPr>
            <w:tcW w:type="dxa" w:w="86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Demográfica</w:t>
            </w:r>
          </w:p>
        </w:tc>
        <w:tc>
          <w:tcPr>
            <w:tcW w:type="dxa" w:w="76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Hombres y mujeres de 30 a 65 años; profesionales o empresarios de nivel socioeconómico medio-alto y alto</w:t>
            </w:r>
          </w:p>
        </w:tc>
      </w:tr>
      <w:tr>
        <w:trPr>
          <w:cantSplit/>
        </w:trPr>
        <w:tc>
          <w:tcPr>
            <w:tcW w:type="dxa" w:w="86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Psicográfica</w:t>
            </w:r>
          </w:p>
        </w:tc>
        <w:tc>
          <w:tcPr>
            <w:tcW w:type="dxa" w:w="76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consumo cultural, historia, arqueología industrial, gastronomía autóctona y bienestar (slow travel); valoración de la autenticidad y la hospitalidad personalizada</w:t>
            </w:r>
          </w:p>
        </w:tc>
      </w:tr>
      <w:tr>
        <w:trPr>
          <w:cantSplit/>
        </w:trPr>
        <w:tc>
          <w:tcPr>
            <w:tcW w:type="dxa" w:w="86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Conductual</w:t>
            </w:r>
          </w:p>
        </w:tc>
        <w:tc>
          <w:tcPr>
            <w:tcW w:type="dxa" w:w="76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Consumidores habituales u ocasionales de vinos finos que viajan a relajarse en las termas, pero que demandan actividades culturales complementarias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la caracterización de mercado desarrollada en este apartado.</w:t>
      </w:r>
    </w:p>
    <w:p>
      <w:pPr>
        <w:pStyle w:val="Heading3"/>
        <w:keepNext/>
        <w:spacing w:after="100" w:before="220" w:line="240" w:lineRule="auto"/>
        <w:jc w:val="left"/>
      </w:pPr>
      <w:r>
        <w:rPr>
          <w:rFonts w:ascii="Arial" w:cs="Arial" w:eastAsia="Arial" w:hAnsi="Arial"/>
          <w:b/>
          <w:bCs/>
          <w:i/>
          <w:iCs/>
          <w:color w:val="3b3b3b"/>
          <w:sz w:val="24"/>
          <w:szCs w:val="24"/>
        </w:rPr>
        <w:t xml:space="preserve">Perfiles de visitante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la segmentación anterior y de la caracterización de beneficiarios directos (5.2), se sintetizan dos perfiles representativos que orientan el diseño de los paquetes del Capítulo 6. El primero es el turista termal complementario: matrimonio o grupo familiar de entre 40 y 65 años, alojado por varias noches en un complejo hotelero de Daymán o Arapey, con el traslado y el alojamiento ya resueltos por la oferta termal, que dispone de tiempo libre en horas de la tarde y busca una actividad de media jornada que rompa la rutina de aguas termales sin exigir una planificación adicional compleja; para este perfil, el factor de decisión central es la conveniencia logística (recogida en el hotel) y la relación entre precio y experiencia, por lo que el Paquete 1 (6.1.2) está diseñado específicamente a su medida. El segundo es el enoturista especializado: viajero de 30 a 55 años, con mayor disposición al gasto y motivación de viaje centrada específicamente en el origen del Tannat y la experiencia enológica, que puede desplazarse desde Montevideo, Buenos Aires o el sur de Brasil con el circuito como motivo principal del viaje y no como actividad complementaria; para este perfil, el factor de decisión central es la profundidad y autenticidad de la experiencia (acceso a los productores, catas de alta gama, narrativa histórica), por lo que el Paquete 2 de jornada completa (6.1.2) resulta más adecuado. Ambos perfiles no son excluyentes: el objetivo estratégico del circuito, en los términos del segundo objetivo específico (1.3.2), es que un porcentaje creciente de turistas termales complementarios migre hacia el segundo perfil en visitas sucesivas, ampliando su gasto y su vínculo con el territorio.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4.6. Análisis FODA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datos oficiales de INAVI (período 2021-2025) reflejan una tendencia de reconversión estructural del rubro vitivinícola en Uruguay, que el último registro disponible confirma que continúa vigente:</w:t>
      </w:r>
    </w:p>
    <w:p>
      <w:pPr>
        <w:keepNext/>
        <w:spacing w:after="0" w:before="200" w:line="240" w:lineRule="auto"/>
        <w:jc w:val="left"/>
      </w:pPr>
      <w:r>
        <w:rPr>
          <w:rFonts w:ascii="Arial" w:cs="Arial" w:eastAsia="Arial" w:hAnsi="Arial"/>
          <w:b/>
          <w:bCs/>
          <w:i w:val="false"/>
          <w:iCs w:val="false"/>
          <w:color w:val="3b1522"/>
          <w:sz w:val="24"/>
          <w:szCs w:val="24"/>
        </w:rPr>
        <w:t xml:space="preserve">Tabla 6</w:t>
      </w:r>
    </w:p>
    <w:p>
      <w:pPr>
        <w:keepNext/>
        <w:spacing w:after="120" w:before="0" w:line="240" w:lineRule="auto"/>
        <w:jc w:val="left"/>
      </w:pPr>
      <w:r>
        <w:rPr>
          <w:rFonts w:ascii="Arial" w:cs="Arial" w:eastAsia="Arial" w:hAnsi="Arial"/>
          <w:b w:val="false"/>
          <w:bCs w:val="false"/>
          <w:i/>
          <w:iCs/>
          <w:color w:val="000000"/>
          <w:sz w:val="24"/>
          <w:szCs w:val="24"/>
        </w:rPr>
        <w:t xml:space="preserve">Evolución de indicadores vitivinícolas nacionales, 2021-2025</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567"/>
        <w:gridCol w:w="867"/>
        <w:gridCol w:w="867"/>
        <w:gridCol w:w="867"/>
        <w:gridCol w:w="867"/>
        <w:gridCol w:w="2468"/>
      </w:tblGrid>
      <w:tr>
        <w:trPr>
          <w:cantSplit/>
        </w:trPr>
        <w:tc>
          <w:tcPr>
            <w:tcW w:type="dxa" w:w="25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nacional</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2021</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2023</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2024</w:t>
            </w:r>
          </w:p>
        </w:tc>
        <w:tc>
          <w:tcPr>
            <w:tcW w:type="dxa" w:w="86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2025</w:t>
            </w:r>
          </w:p>
        </w:tc>
        <w:tc>
          <w:tcPr>
            <w:tcW w:type="dxa" w:w="2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Tendencia (2021-2024)</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vigentes inscritos</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1.183</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1.103</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1.077</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1.048</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-8,96%</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Superficie cultivada (ha)</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5.966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5.905</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5.857</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5.797,80</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-1,83%</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Productores activos</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866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794</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766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-11,55%</w:t>
            </w:r>
          </w:p>
        </w:tc>
      </w:tr>
      <w:tr>
        <w:trPr>
          <w:cantSplit/>
        </w:trPr>
        <w:tc>
          <w:tcPr>
            <w:tcW w:type="dxa" w:w="25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registradas</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788</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726</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698</w:t>
            </w:r>
          </w:p>
        </w:tc>
        <w:tc>
          <w:tcPr>
            <w:tcW w:type="dxa" w:w="86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676</w:t>
            </w:r>
          </w:p>
        </w:tc>
        <w:tc>
          <w:tcPr>
            <w:tcW w:type="dxa" w:w="2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-11,42%</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INAVI (2021, 2023a, 2023b, 2024b, 2025). La columna Tendencia refleja la variación 2021-2024, único período con dato de Productores activos disponible en las cuatro fuentes; s/d: dato no desagregado en el reporte 2025 consultado.</w:t>
      </w:r>
    </w:p>
    <w:p>
      <w:pPr>
        <w:pStyle w:val="Heading3"/>
        <w:keepNext/>
        <w:spacing w:after="100" w:before="220" w:line="240" w:lineRule="auto"/>
        <w:jc w:val="left"/>
      </w:pPr>
      <w:r>
        <w:rPr>
          <w:rFonts w:ascii="Arial" w:cs="Arial" w:eastAsia="Arial" w:hAnsi="Arial"/>
          <w:b/>
          <w:bCs/>
          <w:i/>
          <w:iCs/>
          <w:color w:val="3b3b3b"/>
          <w:sz w:val="24"/>
          <w:szCs w:val="24"/>
        </w:rPr>
        <w:t xml:space="preserve">Fortalezas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00" w:before="220" w:line="240" w:lineRule="auto"/>
        <w:jc w:val="left"/>
      </w:pPr>
      <w:r>
        <w:rPr>
          <w:rFonts w:ascii="Arial" w:cs="Arial" w:eastAsia="Arial" w:hAnsi="Arial"/>
          <w:b/>
          <w:bCs/>
          <w:i/>
          <w:iCs/>
          <w:color w:val="3b3b3b"/>
          <w:sz w:val="24"/>
          <w:szCs w:val="24"/>
        </w:rPr>
        <w:t xml:space="preserve">Debilidades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debilidades se identifica, en primer lugar, la fragmentación de la gobernanza turística departamental: la antigua Mesa Estratégica de Turismo de Salto (METS), que en 2022 reunía en una sola instancia a la Intendencia de Salto, el Centro Comercial e Industrial de Salto (CCIS), la Liga de Turismo de Arapey y el sector hotelero (Intendencia de Salto, s.f.-b), dejó de funcionar como mesa unificada. La articulación actual se sostiene en diálogos bilaterales entre la Comisión de Turismo del CCIS y la Comisión de Turismo de la Junta Departamental de Salto (Diario Cambio, s.f.-d), sin una instancia permanente que integre también a los operadores hoteleros y a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00" w:before="220" w:line="240" w:lineRule="auto"/>
        <w:jc w:val="left"/>
      </w:pPr>
      <w:r>
        <w:rPr>
          <w:rFonts w:ascii="Arial" w:cs="Arial" w:eastAsia="Arial" w:hAnsi="Arial"/>
          <w:b/>
          <w:bCs/>
          <w:i/>
          <w:iCs/>
          <w:color w:val="3b3b3b"/>
          <w:sz w:val="24"/>
          <w:szCs w:val="24"/>
        </w:rPr>
        <w:t xml:space="preserve">Oportunidades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principal oportunidad identificada es la atracción del mercado enoturístico de Brasil, de alta rentabilidad y afinidad con el sector: según los informes de Turismo Receptivo del Observatorio de Turismo Inteligente del MINTUR, el turista brasileño que visita Uruguay presenta sistemáticamente el mayor gasto diario per cápita de los tres mercados regionales de referencia:</w:t>
      </w:r>
    </w:p>
    <w:p>
      <w:pPr>
        <w:keepNext/>
        <w:spacing w:after="0" w:before="200" w:line="240" w:lineRule="auto"/>
        <w:jc w:val="left"/>
      </w:pPr>
      <w:r>
        <w:rPr>
          <w:rFonts w:ascii="Arial" w:cs="Arial" w:eastAsia="Arial" w:hAnsi="Arial"/>
          <w:b/>
          <w:bCs/>
          <w:i w:val="false"/>
          <w:iCs w:val="false"/>
          <w:color w:val="3b1522"/>
          <w:sz w:val="24"/>
          <w:szCs w:val="24"/>
        </w:rPr>
        <w:t xml:space="preserve">Tabla 7</w:t>
      </w:r>
    </w:p>
    <w:p>
      <w:pPr>
        <w:keepNext/>
        <w:spacing w:after="120" w:before="0" w:line="240" w:lineRule="auto"/>
        <w:jc w:val="left"/>
      </w:pPr>
      <w:r>
        <w:rPr>
          <w:rFonts w:ascii="Arial" w:cs="Arial" w:eastAsia="Arial" w:hAnsi="Arial"/>
          <w:b w:val="false"/>
          <w:bCs w:val="false"/>
          <w:i/>
          <w:iCs/>
          <w:color w:val="000000"/>
          <w:sz w:val="24"/>
          <w:szCs w:val="24"/>
        </w:rPr>
        <w:t xml:space="preserve">Gasto diario y estadía promedio de los visitantes de Brasil, Argentina y Chile en Uruguay, por trimestre</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5"/>
        <w:gridCol w:w="1874"/>
        <w:gridCol w:w="1802"/>
        <w:gridCol w:w="1874"/>
      </w:tblGrid>
      <w:tr>
        <w:trPr>
          <w:cantSplit/>
        </w:trPr>
        <w:tc>
          <w:tcPr>
            <w:tcW w:type="dxa" w:w="29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Trimestre (MINTUR, Turismo Receptivo)</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Brasil</w:t>
            </w:r>
          </w:p>
        </w:tc>
        <w:tc>
          <w:tcPr>
            <w:tcW w:type="dxa" w:w="180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Argentina</w:t>
            </w:r>
          </w:p>
        </w:tc>
        <w:tc>
          <w:tcPr>
            <w:tcW w:type="dxa" w:w="187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Chile</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122,6 / 5,1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96,0 / 4,6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112,4 / 4,9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1.º trim. 2026</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112,1 / 7,3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88,2 / 7,6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122,1 / 7,6 días</w:t>
            </w:r>
          </w:p>
        </w:tc>
      </w:tr>
      <w:tr>
        <w:trPr>
          <w:cantSplit/>
        </w:trPr>
        <w:tc>
          <w:tcPr>
            <w:tcW w:type="dxa" w:w="29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4.º trim. 2025</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137,7 / 4,9 días</w:t>
            </w:r>
          </w:p>
        </w:tc>
        <w:tc>
          <w:tcPr>
            <w:tcW w:type="dxa" w:w="180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99,1 / 5,4 días</w:t>
            </w:r>
          </w:p>
        </w:tc>
        <w:tc>
          <w:tcPr>
            <w:tcW w:type="dxa" w:w="187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103,7 / 7,1 días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Ministerio de Turismo de Uruguay (2026a, 2026b, 2026c). Gasto diario por persona (P/P DÍA) en USD corrientes; corresponde a turismo receptivo (visitantes ingresados a Uruguay), no a turismo emisivo.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esto se suman los fondos concursables públicos. El Fondo Concursable para Emprendimientos Turísticos en Destinos Emergentes (MINTUR-ANDE) cubre hasta el 70% del plan de acción, con un tope de $U900.000 no reembolsables (Agencia Nacional de Desarrollo [ANDE] &amp; Ministerio de Turismo, 2026); su convocatoria vigente al momento de este diagnóstico está orientada al turismo náutico, por lo que el circuito debería postularse a una futura edición temática afín al patrimonio y al enoturismo, o bien acceder al fondo por la vía general de destinos emergentes cuando esta se reabra. En paralelo, el Fondo Concursable para el Desarrollo de la Oferta Enoturística del Uruguay (MINTUR, con INAVI en su comité evaluador) cofinanció en su edición 2024 proyectos por hasta $U1.000.000 (Ministerio de Turismo de Uruguay, 2024), monto más ajustado a la inversión inicial estimada para este proyecto que el techo de convocatorias anteriores.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00" w:before="220" w:line="240" w:lineRule="auto"/>
        <w:jc w:val="left"/>
      </w:pPr>
      <w:r>
        <w:rPr>
          <w:rFonts w:ascii="Arial" w:cs="Arial" w:eastAsia="Arial" w:hAnsi="Arial"/>
          <w:b/>
          <w:bCs/>
          <w:i/>
          <w:iCs/>
          <w:color w:val="3b3b3b"/>
          <w:sz w:val="24"/>
          <w:szCs w:val="24"/>
        </w:rPr>
        <w:t xml:space="preserve">Amenazas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Arial" w:cs="Arial" w:eastAsia="Arial" w:hAnsi="Arial"/>
          <w:b/>
          <w:bCs/>
          <w:i w:val="false"/>
          <w:iCs w:val="false"/>
          <w:color w:val="3b1522"/>
          <w:sz w:val="24"/>
          <w:szCs w:val="24"/>
        </w:rPr>
        <w:t xml:space="preserve">Tabla 8</w:t>
      </w:r>
    </w:p>
    <w:p>
      <w:pPr>
        <w:keepNext/>
        <w:spacing w:after="120" w:before="0" w:line="240" w:lineRule="auto"/>
        <w:jc w:val="left"/>
      </w:pPr>
      <w:r>
        <w:rPr>
          <w:rFonts w:ascii="Arial" w:cs="Arial" w:eastAsia="Arial" w:hAnsi="Arial"/>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433"/>
        <w:gridCol w:w="2293"/>
        <w:gridCol w:w="2198"/>
        <w:gridCol w:w="2580"/>
      </w:tblGrid>
      <w:tr>
        <w:trPr>
          <w:cantSplit/>
        </w:trPr>
        <w:tc>
          <w:tcPr>
            <w:tcW w:type="dxa" w:w="143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Fecha (UCU)</w:t>
            </w:r>
          </w:p>
        </w:tc>
        <w:tc>
          <w:tcPr>
            <w:tcW w:type="dxa" w:w="229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Brecha general</w:t>
            </w:r>
          </w:p>
        </w:tc>
        <w:tc>
          <w:tcPr>
            <w:tcW w:type="dxa" w:w="219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Bebidas alcohólicas</w:t>
            </w:r>
          </w:p>
        </w:tc>
        <w:tc>
          <w:tcPr>
            <w:tcW w:type="dxa" w:w="25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Comidas fuera del hogar</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2023</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180,2% (Salto más caro)</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Desequilibrio extremo</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2024</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47,4%</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77%</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82%</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Ene.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40,2%</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52% (vino: 107%)</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74%</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15,1% (mínimo histórico)</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Abr.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41%</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 moderada</w:t>
            </w:r>
          </w:p>
        </w:tc>
      </w:tr>
      <w:tr>
        <w:trPr>
          <w:cantSplit/>
        </w:trPr>
        <w:tc>
          <w:tcPr>
            <w:tcW w:type="dxa" w:w="143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Jul. 2026</w:t>
            </w:r>
          </w:p>
        </w:tc>
        <w:tc>
          <w:tcPr>
            <w:tcW w:type="dxa" w:w="229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25,0%</w:t>
            </w:r>
          </w:p>
        </w:tc>
        <w:tc>
          <w:tcPr>
            <w:tcW w:type="dxa" w:w="21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43,7% (vino: 91,0%)</w:t>
            </w:r>
          </w:p>
        </w:tc>
        <w:tc>
          <w:tcPr>
            <w:tcW w:type="dxa" w:w="25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s/d</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Observatorio Económico, Universidad Católica del Uruguay Campus Salto (2024, 2026a, 2026b) y de la prensa citada en las Referencias Bibliográficas. s/d: dato no disponible en la fuente consultada para ese rubro y período.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Lejos de tratarse de una mejora sostenida, la brecha resultó altamente volátil a lo largo de 2026: tras tocar en marzo su mínimo histórico desde que se calcula el indicador (Observatorio Económico, Universidad Católica del Uruguay Campus Salto, 2026a), volvió a ampliarse hasta 25,0% en julio (Observatorio Económico, Universidad Católica del Uruguay Campus Salto, 2026b), confirmando que la competitividad de precios de Salto frente a Concordia depende de variables cambiarias fuera del control del proyecto y debe monitorearse de forma continua antes que darse por superada. 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00" w:before="220" w:line="240" w:lineRule="auto"/>
        <w:jc w:val="left"/>
      </w:pPr>
      <w:r>
        <w:rPr>
          <w:rFonts w:ascii="Arial" w:cs="Arial" w:eastAsia="Arial" w:hAnsi="Arial"/>
          <w:b/>
          <w:bCs/>
          <w:i/>
          <w:iCs/>
          <w:color w:val="3b3b3b"/>
          <w:sz w:val="24"/>
          <w:szCs w:val="24"/>
        </w:rPr>
        <w:t xml:space="preserve">Conclusiones (análisis cruzado)</w:t>
      </w:r>
    </w:p>
    <w:p>
      <w:pPr>
        <w:keepNext w:val="false"/>
        <w:spacing w:after="200" w:line="240" w:lineRule="auto"/>
        <w:jc w:val="both"/>
      </w:pPr>
      <w:r>
        <w:rPr>
          <w:rFonts w:ascii="Arial" w:cs="Arial" w:eastAsia="Arial" w:hAnsi="Arial"/>
          <w:b/>
          <w:bCs/>
          <w:i w:val="false"/>
          <w:iCs w:val="false"/>
          <w:color w:val="000000"/>
          <w:sz w:val="24"/>
          <w:szCs w:val="24"/>
        </w:rPr>
        <w:t xml:space="preserve">Estrategia ofensiva (F+O).</w:t>
      </w:r>
      <w:r>
        <w:rPr>
          <w:rFonts w:ascii="Arial" w:cs="Arial" w:eastAsia="Arial" w:hAnsi="Arial"/>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200" w:line="240" w:lineRule="auto"/>
        <w:jc w:val="both"/>
      </w:pPr>
      <w:r>
        <w:rPr>
          <w:rFonts w:ascii="Arial" w:cs="Arial" w:eastAsia="Arial" w:hAnsi="Arial"/>
          <w:b/>
          <w:bCs/>
          <w:i w:val="false"/>
          <w:iCs w:val="false"/>
          <w:color w:val="000000"/>
          <w:sz w:val="24"/>
          <w:szCs w:val="24"/>
        </w:rPr>
        <w:t xml:space="preserve">Estrategia de adaptación (D+O).</w:t>
      </w:r>
      <w:r>
        <w:rPr>
          <w:rFonts w:ascii="Arial" w:cs="Arial" w:eastAsia="Arial" w:hAnsi="Arial"/>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200" w:line="240" w:lineRule="auto"/>
        <w:jc w:val="both"/>
      </w:pPr>
      <w:r>
        <w:rPr>
          <w:rFonts w:ascii="Arial" w:cs="Arial" w:eastAsia="Arial" w:hAnsi="Arial"/>
          <w:b/>
          <w:bCs/>
          <w:i w:val="false"/>
          <w:iCs w:val="false"/>
          <w:color w:val="000000"/>
          <w:sz w:val="24"/>
          <w:szCs w:val="24"/>
        </w:rPr>
        <w:t xml:space="preserve">Estrategia defensiva (F+A).</w:t>
      </w:r>
      <w:r>
        <w:rPr>
          <w:rFonts w:ascii="Arial" w:cs="Arial" w:eastAsia="Arial" w:hAnsi="Arial"/>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200" w:line="240" w:lineRule="auto"/>
        <w:jc w:val="both"/>
      </w:pPr>
      <w:r>
        <w:rPr>
          <w:rFonts w:ascii="Arial" w:cs="Arial" w:eastAsia="Arial" w:hAnsi="Arial"/>
          <w:b/>
          <w:bCs/>
          <w:i w:val="false"/>
          <w:iCs w:val="false"/>
          <w:color w:val="000000"/>
          <w:sz w:val="24"/>
          <w:szCs w:val="24"/>
        </w:rPr>
        <w:t xml:space="preserve">Estrategia de supervivencia (D+A).</w:t>
      </w:r>
      <w:r>
        <w:rPr>
          <w:rFonts w:ascii="Arial" w:cs="Arial" w:eastAsia="Arial" w:hAnsi="Arial"/>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Leídas en conjunto, las cuatro estrategias convergen en una misma conclusión: la ventaja competitiva de Salto es de naturaleza histórica y patrimonial, no de escala ni de precio, por lo que toda decisión del plan de acción (Capítulo 6) que empuje al circuito hacia una competencia por volumen o por tarifa —en lugar de por autenticidad y profundidad de la experiencia— erosiona precisamente el único activo que ningún competidor directo puede replicar. Esta conclusión, más que un hallazgo aislado del análisis FODA, funciona como criterio de coherencia interna para evaluar cualquier decisión posterior del proyecto: desde el posicionamiento de marca (6.1.1) hasta la política de precios (6.1.3), pasando por la selección de qué bodegas incorporar en futuras ampliaciones del circuito (Capítulo 7).</w:t>
      </w:r>
    </w:p>
    <w:p>
      <w:pPr>
        <w:pStyle w:val="Heading3"/>
        <w:keepNext/>
        <w:spacing w:after="100" w:before="220" w:line="240" w:lineRule="auto"/>
        <w:jc w:val="left"/>
      </w:pPr>
      <w:r>
        <w:rPr>
          <w:rFonts w:ascii="Arial" w:cs="Arial" w:eastAsia="Arial" w:hAnsi="Arial"/>
          <w:b/>
          <w:bCs/>
          <w:i/>
          <w:iCs/>
          <w:color w:val="3b3b3b"/>
          <w:sz w:val="24"/>
          <w:szCs w:val="24"/>
        </w:rPr>
        <w:t xml:space="preserve">Recomendaciones estratégicas para el Plan de Acción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Comisión de Turismo del Centro Comercial e Industrial de Salto (CCIS), la Comisión de Turismo de la Junta Departamental de Salto, la Asociación de Vitivinicultores de Salto, guías locales y representantes hoteleros —supliendo así, para este circuito específico, la mesa unificada que dejó de operar tras el cierre de la METS—.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5. Propuesta de Valor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5.1. Propuesta de Valor: el itinerario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secuencia de las cuatro estaciones no es arbitraria, sino que responde a una lógica narrativa e interpretativa deliberada, coherente con el concepto de patrimonio como construcción social desarrollado en el punto 2.2: el recorrido comienza en el origen histórico (Estación 1, el Espacio Harriague de 1874), avanza a través de la evolución tecnológica de la vinificación —desde el método artesanal original hasta la vinificación por gravedad de alta gama de la Estación 3— y culmina en la producción familiar contemporánea de la Estación 4, cerrando el círculo entre pasado fundacional y presente productivo. Esta estructura de “origen a actualidad” permite que el visitante no experimente las cuatro paradas como una simple sucesión de degustaciones intercambiables, sino como un relato con principio, desarrollo y cierre, en línea con la interpretación patrimonial activa fundamentada en el Capítulo 2. La secuencia también responde a una lógica geográfica: las cuatro estaciones se ubican a lo largo del corredor que conecta la ciudad de Salto con Parada Daymán, minimizando los tiempos de traslado entre paradas y permitiendo que ambos paquetes (6.1.2) se completen dentro de las ventanas horarias definidas en el itinerario operativo (6.4.1; 6.4.2).</w:t>
      </w:r>
    </w:p>
    <w:p>
      <w:pPr>
        <w:pStyle w:val="Heading3"/>
        <w:keepNext/>
        <w:spacing w:after="100" w:before="220" w:line="240" w:lineRule="auto"/>
        <w:jc w:val="left"/>
      </w:pPr>
      <w:r>
        <w:rPr>
          <w:rFonts w:ascii="Arial" w:cs="Arial" w:eastAsia="Arial" w:hAnsi="Arial"/>
          <w:b/>
          <w:bCs/>
          <w:i/>
          <w:iCs/>
          <w:color w:val="3b3b3b"/>
          <w:sz w:val="24"/>
          <w:szCs w:val="24"/>
        </w:rPr>
        <w:t xml:space="preserve">Estación 1 — El Origen Vasco: Espacio Cultural Bodega Harriague (Salto Ciudad)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Ubicada en Avenida Harriague y Etcheverry, el sitio es conocido oficialmente como Espacio Cultural Bodega Harriague — El Punto Cero del Tannat, denominación que remite al lugar exacto donde Harriague inició en 1874 el cultivo de la cepa (Euskalkultura.eus, s.f.). Su Comisión de Gestión está integrada por el Municipio de Salto, la Asociación de Vitivinicultores de Salto y el Euskal Etxea (Centro Vasco de Salto), lo que convierte a esta estación en el punto de partida institucional, además de histórico, del circuito. La visita es de carácter arqueológico e histórico y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Estación 2 — El Terroir del Río: Bodega Salto Chico (Colonia Osimani)</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00" w:before="220" w:line="240" w:lineRule="auto"/>
        <w:jc w:val="left"/>
      </w:pPr>
      <w:r>
        <w:rPr>
          <w:rFonts w:ascii="Arial" w:cs="Arial" w:eastAsia="Arial" w:hAnsi="Arial"/>
          <w:b/>
          <w:bCs/>
          <w:i/>
          <w:iCs/>
          <w:color w:val="3b3b3b"/>
          <w:sz w:val="24"/>
          <w:szCs w:val="24"/>
        </w:rPr>
        <w:t xml:space="preserve">Estación 3 — Gravedad y Alta Gama: Bodega Bertolini &amp; Broglio (Parada Daymán)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468,5 de la Ruta 3, a 8 km de las Termas del Daymán. Bodega boutique de 14,5 hectáreas de viñedo, con capacidad de producción de 200.000 litros anuales (Por las Catas, 2018); los visitantes observan el proceso de vinificación por gravedad y cierran con una cata de varietales selectos (Viognier, Malbec, Syrah) y el corte Syrah-Tannat de alta gama.</w:t>
      </w:r>
    </w:p>
    <w:p>
      <w:pPr>
        <w:pStyle w:val="Heading3"/>
        <w:keepNext/>
        <w:spacing w:after="100" w:before="220" w:line="240" w:lineRule="auto"/>
        <w:jc w:val="left"/>
      </w:pPr>
      <w:r>
        <w:rPr>
          <w:rFonts w:ascii="Arial" w:cs="Arial" w:eastAsia="Arial" w:hAnsi="Arial"/>
          <w:b/>
          <w:bCs/>
          <w:i/>
          <w:iCs/>
          <w:color w:val="3b3b3b"/>
          <w:sz w:val="24"/>
          <w:szCs w:val="24"/>
        </w:rPr>
        <w:t xml:space="preserve">Estación 4 — Tradición y Autor: Mori Maglio Wines (El Asombrado)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5.2. Público Objetivo</w:t>
      </w:r>
    </w:p>
    <w:p>
      <w:pPr>
        <w:pStyle w:val="Heading3"/>
        <w:keepNext/>
        <w:spacing w:after="100" w:before="220" w:line="240" w:lineRule="auto"/>
        <w:jc w:val="left"/>
      </w:pPr>
      <w:r>
        <w:rPr>
          <w:rFonts w:ascii="Arial" w:cs="Arial" w:eastAsia="Arial" w:hAnsi="Arial"/>
          <w:b/>
          <w:bCs/>
          <w:i/>
          <w:iCs/>
          <w:color w:val="3b3b3b"/>
          <w:sz w:val="24"/>
          <w:szCs w:val="24"/>
        </w:rPr>
        <w:t xml:space="preserve">Beneficiarios 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00" w:before="220" w:line="240" w:lineRule="auto"/>
        <w:jc w:val="left"/>
      </w:pPr>
      <w:r>
        <w:rPr>
          <w:rFonts w:ascii="Arial" w:cs="Arial" w:eastAsia="Arial" w:hAnsi="Arial"/>
          <w:b/>
          <w:bCs/>
          <w:i/>
          <w:iCs/>
          <w:color w:val="3b3b3b"/>
          <w:sz w:val="24"/>
          <w:szCs w:val="24"/>
        </w:rPr>
        <w:t xml:space="preserve">Beneficiarios indirectos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5.3. Misión y Visión</w:t>
      </w:r>
    </w:p>
    <w:p>
      <w:pPr>
        <w:keepNext w:val="false"/>
        <w:spacing w:after="200" w:line="240" w:lineRule="auto"/>
        <w:jc w:val="both"/>
      </w:pPr>
      <w:r>
        <w:rPr>
          <w:rFonts w:ascii="Arial" w:cs="Arial" w:eastAsia="Arial" w:hAnsi="Arial"/>
          <w:b/>
          <w:bCs/>
          <w:i w:val="false"/>
          <w:iCs w:val="false"/>
          <w:color w:val="000000"/>
          <w:sz w:val="24"/>
          <w:szCs w:val="24"/>
        </w:rPr>
        <w:t xml:space="preserve">Misión.</w:t>
      </w:r>
      <w:r>
        <w:rPr>
          <w:rFonts w:ascii="Arial" w:cs="Arial" w:eastAsia="Arial" w:hAnsi="Arial"/>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200" w:line="240" w:lineRule="auto"/>
        <w:jc w:val="both"/>
      </w:pPr>
      <w:r>
        <w:rPr>
          <w:rFonts w:ascii="Arial" w:cs="Arial" w:eastAsia="Arial" w:hAnsi="Arial"/>
          <w:b/>
          <w:bCs/>
          <w:i w:val="false"/>
          <w:iCs w:val="false"/>
          <w:color w:val="000000"/>
          <w:sz w:val="24"/>
          <w:szCs w:val="24"/>
        </w:rPr>
        <w:t xml:space="preserve">Visión.</w:t>
      </w:r>
      <w:r>
        <w:rPr>
          <w:rFonts w:ascii="Arial" w:cs="Arial" w:eastAsia="Arial" w:hAnsi="Arial"/>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keepNext w:val="false"/>
        <w:spacing w:after="200" w:line="240" w:lineRule="auto"/>
        <w:jc w:val="both"/>
      </w:pPr>
      <w:r>
        <w:rPr>
          <w:rFonts w:ascii="Arial" w:cs="Arial" w:eastAsia="Arial" w:hAnsi="Arial"/>
          <w:b/>
          <w:bCs/>
          <w:i w:val="false"/>
          <w:iCs w:val="false"/>
          <w:color w:val="000000"/>
          <w:sz w:val="24"/>
          <w:szCs w:val="24"/>
        </w:rPr>
        <w:t xml:space="preserve">Valores.</w:t>
      </w:r>
      <w:r>
        <w:rPr>
          <w:rFonts w:ascii="Arial" w:cs="Arial" w:eastAsia="Arial" w:hAnsi="Arial"/>
          <w:b w:val="false"/>
          <w:bCs w:val="false"/>
          <w:i w:val="false"/>
          <w:iCs w:val="false"/>
          <w:color w:val="000000"/>
          <w:sz w:val="24"/>
          <w:szCs w:val="24"/>
        </w:rPr>
        <w:t xml:space="preserve"> Del marco teórico (Capítulo 2) y del diagnóstico de situación (Capítulo 4) se desprenden cuatro valores que orientan la operación cotidiana del circuito y que el Consejo Consultivo Técnico (5.4) debe velar por sostener en el tiempo. La autenticidad, entendida en los términos de Prats (1997) como fidelidad a la memoria histórica del territorio antes que a una narrativa comercialmente conveniente pero inexacta, rige el contenido de todos los guiones interpretativos (5.1). La sostenibilidad, en su triple dimensión económica, social y ambiental (Elkington, 1997; 6.2), condiciona tanto las decisiones de abastecimiento como los criterios de certificación de las bodegas asociadas. La asociatividad, fundamentada en los principios de acción colectiva de Ostrom (1990; 2.4), prioriza el beneficio conjunto del circuito por sobre el interés individual de cada bodega participante. Y la accesibilidad, exigida por el Art. 3.º de la Ley N.° 19.253 (5.5), garantiza que la experiencia patrimonial e interpretativa esté disponible para visitantes con movilidad reducida en cada una de las cuatro estaciones del itinerario.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5.4. Estructura Organizativa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Arial" w:cs="Arial" w:eastAsia="Arial" w:hAnsi="Arial"/>
          <w:b/>
          <w:bCs/>
          <w:i w:val="false"/>
          <w:iCs w:val="false"/>
          <w:color w:val="3b1522"/>
          <w:sz w:val="24"/>
          <w:szCs w:val="24"/>
        </w:rPr>
        <w:t xml:space="preserve">Tabla 9</w:t>
      </w:r>
    </w:p>
    <w:p>
      <w:pPr>
        <w:keepNext/>
        <w:spacing w:after="120" w:before="0" w:line="240" w:lineRule="auto"/>
        <w:jc w:val="left"/>
      </w:pPr>
      <w:r>
        <w:rPr>
          <w:rFonts w:ascii="Arial" w:cs="Arial" w:eastAsia="Arial" w:hAnsi="Arial"/>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479"/>
        <w:gridCol w:w="5034"/>
        <w:gridCol w:w="991"/>
      </w:tblGrid>
      <w:tr>
        <w:trPr>
          <w:cantSplit/>
        </w:trPr>
        <w:tc>
          <w:tcPr>
            <w:tcW w:type="dxa" w:w="24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Nivel</w:t>
            </w:r>
          </w:p>
        </w:tc>
        <w:tc>
          <w:tcPr>
            <w:tcW w:type="dxa" w:w="503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Función principal</w:t>
            </w:r>
          </w:p>
        </w:tc>
        <w:tc>
          <w:tcPr>
            <w:tcW w:type="dxa" w:w="99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Frecuencia</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Coordina el calendario de salidas, el flujo de reservas de la app y la distribución de comisiones a hoteles y agencias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Semanal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Audita las prácticas agrícolas de las bodegas, actualiza la formación de guías y vela por la rigurosidad histórica de las narrativas</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w:t>
            </w:r>
          </w:p>
        </w:tc>
      </w:tr>
      <w:tr>
        <w:trPr>
          <w:cantSplit/>
        </w:trPr>
        <w:tc>
          <w:tcPr>
            <w:tcW w:type="dxa" w:w="24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Comisión de Turismo del CCIS y de la Junta Departamental — enlace</w:t>
            </w:r>
          </w:p>
        </w:tc>
        <w:tc>
          <w:tcPr>
            <w:tcW w:type="dxa" w:w="50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Articula al Comité con la política turística departamental</w:t>
            </w:r>
          </w:p>
        </w:tc>
        <w:tc>
          <w:tcPr>
            <w:tcW w:type="dxa" w:w="99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Según agenda departamental</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estructura de tres niveles opera, en la práctica, como una respuesta directa a los principios de diseño institucional descritos por Ostrom (1990) y presentados en el punto 2.4. La membresía del Comité queda acotada a los actores directamente involucrados en la operación del circuito —las tres bodegas asociadas, el sector hotelero comisionista, los guías habilitados y, a través del enlace con la Comisión de Turismo del CCIS y la Junta Departamental, el sector público—, evitando tanto la captura del Comité por un único actor dominante como la dilución de responsabilidades en una mesa excesivamente amplia. La Dirección Ejecutiva concentra las decisiones operativas de corto plazo (reservas, comisiones, calendario), mientras que el Consejo Consultivo Técnico —de sesión semestral— ejerce una función de monitoreo entre pares sobre las prácticas agrícolas y la rigurosidad de las narrativas interpretativas, un mecanismo de supervisión gestionado por los propios participantes del sistema y no por un regulador externo, en línea con lo que Ostrom identifica como condición necesaria para la sostenibilidad de los acuerdos de acción colectiva. La ausencia, en esta primera etapa, de un mecanismo formal de resolución de conflictos entre bodegas asociadas constituye una limitación reconocida de la estructura organizativa propuesta, y se recomienda incorporarlo como cláusula explícita en los convenios anuales mencionados en el punto 6.4.3.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5.5. Marco Legal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 Esta última exigencia se reglamenta en concreto mediante el Decreto N.° 278/015 (Uruguay. Poder Ejecutivo, 2015), que regula a las empresas de transporte turístico —aplicable al servicio de minibuses previsto en el itinerario operativo (6.4)— y condiciona su actividad a la inscripción anual ante el MINTUR y a la constitución de una garantía de funcionamiento.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keepNext/>
        <w:spacing w:after="0" w:before="200" w:line="240" w:lineRule="auto"/>
        <w:jc w:val="left"/>
      </w:pPr>
      <w:r>
        <w:rPr>
          <w:rFonts w:ascii="Arial" w:cs="Arial" w:eastAsia="Arial" w:hAnsi="Arial"/>
          <w:b/>
          <w:bCs/>
          <w:i w:val="false"/>
          <w:iCs w:val="false"/>
          <w:color w:val="3b1522"/>
          <w:sz w:val="24"/>
          <w:szCs w:val="24"/>
        </w:rPr>
        <w:t xml:space="preserve">Tabla 10</w:t>
      </w:r>
    </w:p>
    <w:p>
      <w:pPr>
        <w:keepNext/>
        <w:spacing w:after="120" w:before="0" w:line="240" w:lineRule="auto"/>
        <w:jc w:val="left"/>
      </w:pPr>
      <w:r>
        <w:rPr>
          <w:rFonts w:ascii="Arial" w:cs="Arial" w:eastAsia="Arial" w:hAnsi="Arial"/>
          <w:b w:val="false"/>
          <w:bCs w:val="false"/>
          <w:i/>
          <w:iCs/>
          <w:color w:val="000000"/>
          <w:sz w:val="24"/>
          <w:szCs w:val="24"/>
        </w:rPr>
        <w:t xml:space="preserve">Síntesis del marco normativo aplicable al circuito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131"/>
        <w:gridCol w:w="2178"/>
        <w:gridCol w:w="5195"/>
      </w:tblGrid>
      <w:tr>
        <w:trPr>
          <w:cantSplit/>
        </w:trPr>
        <w:tc>
          <w:tcPr>
            <w:tcW w:type="dxa" w:w="11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Instrumento</w:t>
            </w:r>
          </w:p>
        </w:tc>
        <w:tc>
          <w:tcPr>
            <w:tcW w:type="dxa" w:w="217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Ámbito de aplicación</w:t>
            </w:r>
          </w:p>
        </w:tc>
        <w:tc>
          <w:tcPr>
            <w:tcW w:type="dxa" w:w="519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Exigencia principal para el circuito</w:t>
            </w:r>
          </w:p>
        </w:tc>
      </w:tr>
      <w:tr>
        <w:trPr>
          <w:cantSplit/>
        </w:trPr>
        <w:tc>
          <w:tcPr>
            <w:tcW w:type="dxa" w:w="11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Ley N.° 19.253 (IMPO, 2014)</w:t>
            </w:r>
          </w:p>
        </w:tc>
        <w:tc>
          <w:tcPr>
            <w:tcW w:type="dxa" w:w="217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Marco general de la actividad turística nacional</w:t>
            </w:r>
          </w:p>
        </w:tc>
        <w:tc>
          <w:tcPr>
            <w:tcW w:type="dxa" w:w="51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Principios rectores de sostenibilidad, cooperación, calidad y accesibilidad (Art. 3.º)</w:t>
            </w:r>
          </w:p>
        </w:tc>
      </w:tr>
      <w:tr>
        <w:trPr>
          <w:cantSplit/>
        </w:trPr>
        <w:tc>
          <w:tcPr>
            <w:tcW w:type="dxa" w:w="11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Decreto N.° 278/015 (2015)</w:t>
            </w:r>
          </w:p>
        </w:tc>
        <w:tc>
          <w:tcPr>
            <w:tcW w:type="dxa" w:w="217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de transporte turístico</w:t>
            </w:r>
          </w:p>
        </w:tc>
        <w:tc>
          <w:tcPr>
            <w:tcW w:type="dxa" w:w="51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Inscripción anual ante el MINTUR y garantía de funcionamiento para el servicio de minibuses (6.4)</w:t>
            </w:r>
          </w:p>
        </w:tc>
      </w:tr>
      <w:tr>
        <w:trPr>
          <w:cantSplit/>
        </w:trPr>
        <w:tc>
          <w:tcPr>
            <w:tcW w:type="dxa" w:w="11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Decreto N.° 370/010 (2010)</w:t>
            </w:r>
          </w:p>
        </w:tc>
        <w:tc>
          <w:tcPr>
            <w:tcW w:type="dxa" w:w="217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Turismo enológico y de bodegas</w:t>
            </w:r>
          </w:p>
        </w:tc>
        <w:tc>
          <w:tcPr>
            <w:tcW w:type="dxa" w:w="51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 de Operadores del MINTUR; acreditación notarial, certificados de BPS y DGI, croquis del predio y habilitación INAVI</w:t>
            </w:r>
          </w:p>
        </w:tc>
      </w:tr>
      <w:tr>
        <w:trPr>
          <w:cantSplit/>
        </w:trPr>
        <w:tc>
          <w:tcPr>
            <w:tcW w:type="dxa" w:w="11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Ley N.° 15.903 (1987)</w:t>
            </w:r>
          </w:p>
        </w:tc>
        <w:tc>
          <w:tcPr>
            <w:tcW w:type="dxa" w:w="217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Regulación del Instituto Nacional de Vitivinicultura</w:t>
            </w:r>
          </w:p>
        </w:tc>
        <w:tc>
          <w:tcPr>
            <w:tcW w:type="dxa" w:w="51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Controles de calidad y circulación aplicables a la cata, venta y etiquetado del vino</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la normativa citada en este apartado.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síntesis normativa evidencia que la operación del circuito no requiere de un marco legal nuevo o excepcional, sino la articulación coordinada de instrumentos ya vigentes y dispersos entre distintos organismos —MINTUR, INAVI, BPS y DGI—, lo que refuerza la función del Comité de Gestión (5.4) como responsable de centralizar el cumplimiento normativo de las tres bodegas asociadas y del servicio de transporte contratado, evitando que cada prestador deba gestionar de forma individual y descoordinada su habilitación ante cada organismo.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6. Plan de Acción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6.1. Estrategia de Marketing</w:t>
      </w:r>
    </w:p>
    <w:p>
      <w:pPr>
        <w:pStyle w:val="Heading3"/>
        <w:keepNext/>
        <w:spacing w:after="100" w:before="220" w:line="240" w:lineRule="auto"/>
        <w:jc w:val="left"/>
      </w:pPr>
      <w:r>
        <w:rPr>
          <w:rFonts w:ascii="Arial" w:cs="Arial" w:eastAsia="Arial" w:hAnsi="Arial"/>
          <w:b/>
          <w:bCs/>
          <w:i/>
          <w:iCs/>
          <w:color w:val="3b3b3b"/>
          <w:sz w:val="24"/>
          <w:szCs w:val="24"/>
        </w:rPr>
        <w:t xml:space="preserve">6.1.1. Posicionamiento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Siguiendo el concepto de posicionamiento de Ries y Trout (1981), el objetivo no es ocupar un espacio genérico dentro de la categoría “enoturismo”, sino instalar en la mente del visitante una asociación única e irrepetible: Salto como la única “Cuna del Tannat” del país, un atributo que —a diferencia del precio, la escala de producción o la infraestructura hotelera— ningún competidor directo (4.3) puede reclamar de forma creíble. Esta decisión de posicionamiento tiene una consecuencia directa sobre toda la estrategia de marketing: en lugar de competir por participación de mercado dentro de la categoría enoturística nacional, el circuito busca crear y liderar una subcategoría propia —el turismo termal-patrimonial— dentro de la cual no enfrenta competencia directa, tal como se concluyó en el análisis competitivo del punto 4.3.</w:t>
      </w:r>
    </w:p>
    <w:p>
      <w:pPr>
        <w:pStyle w:val="Heading3"/>
        <w:keepNext/>
        <w:spacing w:after="100" w:before="220" w:line="240" w:lineRule="auto"/>
        <w:jc w:val="left"/>
      </w:pPr>
      <w:r>
        <w:rPr>
          <w:rFonts w:ascii="Arial" w:cs="Arial" w:eastAsia="Arial" w:hAnsi="Arial"/>
          <w:b/>
          <w:bCs/>
          <w:i/>
          <w:iCs/>
          <w:color w:val="3b3b3b"/>
          <w:sz w:val="24"/>
          <w:szCs w:val="24"/>
        </w:rPr>
        <w:t xml:space="preserve">6.1.2. Producto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00" w:before="220" w:line="240" w:lineRule="auto"/>
        <w:jc w:val="left"/>
      </w:pPr>
      <w:r>
        <w:rPr>
          <w:rFonts w:ascii="Arial" w:cs="Arial" w:eastAsia="Arial" w:hAnsi="Arial"/>
          <w:b/>
          <w:bCs/>
          <w:i/>
          <w:iCs/>
          <w:color w:val="3b3b3b"/>
          <w:sz w:val="24"/>
          <w:szCs w:val="24"/>
        </w:rPr>
        <w:t xml:space="preserve">6.1.3. Precio</w:t>
      </w:r>
    </w:p>
    <w:p>
      <w:pPr>
        <w:keepNext/>
        <w:spacing w:after="0" w:before="200" w:line="240" w:lineRule="auto"/>
        <w:jc w:val="left"/>
      </w:pPr>
      <w:r>
        <w:rPr>
          <w:rFonts w:ascii="Arial" w:cs="Arial" w:eastAsia="Arial" w:hAnsi="Arial"/>
          <w:b/>
          <w:bCs/>
          <w:i w:val="false"/>
          <w:iCs w:val="false"/>
          <w:color w:val="3b1522"/>
          <w:sz w:val="24"/>
          <w:szCs w:val="24"/>
        </w:rPr>
        <w:t xml:space="preserve">Tabla 11</w:t>
      </w:r>
    </w:p>
    <w:p>
      <w:pPr>
        <w:keepNext/>
        <w:spacing w:after="120" w:before="0" w:line="240" w:lineRule="auto"/>
        <w:jc w:val="left"/>
      </w:pPr>
      <w:r>
        <w:rPr>
          <w:rFonts w:ascii="Arial" w:cs="Arial" w:eastAsia="Arial" w:hAnsi="Arial"/>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20"/>
        <w:gridCol w:w="1646"/>
        <w:gridCol w:w="1097"/>
        <w:gridCol w:w="1509"/>
        <w:gridCol w:w="2332"/>
      </w:tblGrid>
      <w:tr>
        <w:trPr>
          <w:cantSplit/>
        </w:trPr>
        <w:tc>
          <w:tcPr>
            <w:tcW w:type="dxa" w:w="192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Producto</w:t>
            </w:r>
          </w:p>
        </w:tc>
        <w:tc>
          <w:tcPr>
            <w:tcW w:type="dxa" w:w="164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Costo variable (USD)</w:t>
            </w:r>
          </w:p>
        </w:tc>
        <w:tc>
          <w:tcPr>
            <w:tcW w:type="dxa" w:w="109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Margen (USD)</w:t>
            </w:r>
          </w:p>
        </w:tc>
        <w:tc>
          <w:tcPr>
            <w:tcW w:type="dxa" w:w="15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Precio venta (USD)</w:t>
            </w:r>
          </w:p>
        </w:tc>
        <w:tc>
          <w:tcPr>
            <w:tcW w:type="dxa" w:w="233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Agencias receptivas y sitio web</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6.1.4. Plaza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00" w:before="220" w:line="240" w:lineRule="auto"/>
        <w:jc w:val="left"/>
      </w:pPr>
      <w:r>
        <w:rPr>
          <w:rFonts w:ascii="Arial" w:cs="Arial" w:eastAsia="Arial" w:hAnsi="Arial"/>
          <w:b/>
          <w:bCs/>
          <w:i/>
          <w:iCs/>
          <w:color w:val="3b3b3b"/>
          <w:sz w:val="24"/>
          <w:szCs w:val="24"/>
        </w:rPr>
        <w:t xml:space="preserve">6.1.5. Promoción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En tercer lugar, la presencia en ferias internacionales, con stand propio en el espacio INAVI “Uruguay Wine” de la Expo Turismo de Uruguay, en Festuris (Gramado, Brasil) y en la London Wine Fair. Y en cuarto lugar, la vinculación con el Salón del Vino Fino de Salto, evento anual ya consolidado —organizado por el Rotary Club Salto Noreste, con unas veinte bodegas participantes y una convocatoria regional de entre 500 y 700 personas provenientes de Uruguay, Argentina y Brasil (Radio Libertadores, s.f.)—, en el que el Comité de Gestión promocionará directamente los paquetes de la ruta ante un público ya sensibilizado hacia el enoturismo.</w:t>
      </w:r>
    </w:p>
    <w:p>
      <w:pPr>
        <w:pStyle w:val="Heading3"/>
        <w:keepNext/>
        <w:spacing w:after="100" w:before="220" w:line="240" w:lineRule="auto"/>
        <w:jc w:val="left"/>
      </w:pPr>
      <w:r>
        <w:rPr>
          <w:rFonts w:ascii="Arial" w:cs="Arial" w:eastAsia="Arial" w:hAnsi="Arial"/>
          <w:b/>
          <w:bCs/>
          <w:i/>
          <w:iCs/>
          <w:color w:val="3b3b3b"/>
          <w:sz w:val="24"/>
          <w:szCs w:val="24"/>
        </w:rPr>
        <w:t xml:space="preserve">6.1.6. Presupuesto de Marketing</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componente de marketing se financia con cargo a la partida de “campaña de prelanzamiento” de la inversión inicial (6.5.4), cuyo desglose por rubro se detalla en la Tabla 12.</w:t>
      </w:r>
    </w:p>
    <w:p>
      <w:pPr>
        <w:keepNext/>
        <w:spacing w:after="0" w:before="200" w:line="240" w:lineRule="auto"/>
        <w:jc w:val="left"/>
      </w:pPr>
      <w:r>
        <w:rPr>
          <w:rFonts w:ascii="Arial" w:cs="Arial" w:eastAsia="Arial" w:hAnsi="Arial"/>
          <w:b/>
          <w:bCs/>
          <w:i w:val="false"/>
          <w:iCs w:val="false"/>
          <w:color w:val="3b1522"/>
          <w:sz w:val="24"/>
          <w:szCs w:val="24"/>
        </w:rPr>
        <w:t xml:space="preserve">Tabla 12</w:t>
      </w:r>
    </w:p>
    <w:p>
      <w:pPr>
        <w:keepNext/>
        <w:spacing w:after="120" w:before="0" w:line="240" w:lineRule="auto"/>
        <w:jc w:val="left"/>
      </w:pPr>
      <w:r>
        <w:rPr>
          <w:rFonts w:ascii="Arial" w:cs="Arial" w:eastAsia="Arial" w:hAnsi="Arial"/>
          <w:b w:val="false"/>
          <w:bCs w:val="false"/>
          <w:i/>
          <w:iCs/>
          <w:color w:val="000000"/>
          <w:sz w:val="24"/>
          <w:szCs w:val="24"/>
        </w:rPr>
        <w:t xml:space="preserve">Desglose de la inversión inicial por rubro y de la campaña de prelanzamiento por canal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7003"/>
        <w:gridCol w:w="1501"/>
      </w:tblGrid>
      <w:tr>
        <w:trPr>
          <w:cantSplit/>
        </w:trPr>
        <w:tc>
          <w:tcPr>
            <w:tcW w:type="dxa" w:w="700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Rubro de la inversión inicial (USD 45.000)</w:t>
            </w:r>
          </w:p>
        </w:tc>
        <w:tc>
          <w:tcPr>
            <w:tcW w:type="dxa" w:w="150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Monto (USD)</w:t>
            </w:r>
          </w:p>
        </w:tc>
      </w:tr>
      <w:tr>
        <w:trPr>
          <w:cantSplit/>
        </w:trPr>
        <w:tc>
          <w:tcPr>
            <w:tcW w:type="dxa" w:w="700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 la plataforma de reservas (web, app y pasarela de pago)</w:t>
            </w:r>
          </w:p>
        </w:tc>
        <w:tc>
          <w:tcPr>
            <w:tcW w:type="dxa" w:w="150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20.000</w:t>
            </w:r>
          </w:p>
        </w:tc>
      </w:tr>
      <w:tr>
        <w:trPr>
          <w:cantSplit/>
        </w:trPr>
        <w:tc>
          <w:tcPr>
            <w:tcW w:type="dxa" w:w="700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Cartelería interpretativa (guiones y paneles de las cuatro estaciones)</w:t>
            </w:r>
          </w:p>
        </w:tc>
        <w:tc>
          <w:tcPr>
            <w:tcW w:type="dxa" w:w="150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10.000</w:t>
            </w:r>
          </w:p>
        </w:tc>
      </w:tr>
      <w:tr>
        <w:trPr>
          <w:cantSplit/>
        </w:trPr>
        <w:tc>
          <w:tcPr>
            <w:tcW w:type="dxa" w:w="700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Mobiliario de cata</w:t>
            </w:r>
          </w:p>
        </w:tc>
        <w:tc>
          <w:tcPr>
            <w:tcW w:type="dxa" w:w="150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8.000</w:t>
            </w:r>
          </w:p>
        </w:tc>
      </w:tr>
      <w:tr>
        <w:trPr>
          <w:cantSplit/>
        </w:trPr>
        <w:tc>
          <w:tcPr>
            <w:tcW w:type="dxa" w:w="700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w:t>
            </w:r>
          </w:p>
        </w:tc>
        <w:tc>
          <w:tcPr>
            <w:tcW w:type="dxa" w:w="150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7003"/>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Canal de la campaña de prelanzamiento (USD 7.000)</w:t>
            </w:r>
          </w:p>
        </w:tc>
        <w:tc>
          <w:tcPr>
            <w:tcW w:type="dxa" w:w="1501"/>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Monto (USD)</w:t>
            </w:r>
          </w:p>
        </w:tc>
      </w:tr>
      <w:tr>
        <w:trPr>
          <w:cantSplit/>
        </w:trPr>
        <w:tc>
          <w:tcPr>
            <w:tcW w:type="dxa" w:w="700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Publicidad digital segmentada (Instagram, Facebook, YouTube)</w:t>
            </w:r>
          </w:p>
        </w:tc>
        <w:tc>
          <w:tcPr>
            <w:tcW w:type="dxa" w:w="150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r>
      <w:tr>
        <w:trPr>
          <w:cantSplit/>
        </w:trPr>
        <w:tc>
          <w:tcPr>
            <w:tcW w:type="dxa" w:w="700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Presencia binacional en la Semana de Harriague</w:t>
            </w:r>
          </w:p>
        </w:tc>
        <w:tc>
          <w:tcPr>
            <w:tcW w:type="dxa" w:w="150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r>
      <w:tr>
        <w:trPr>
          <w:cantSplit/>
        </w:trPr>
        <w:tc>
          <w:tcPr>
            <w:tcW w:type="dxa" w:w="700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Participación en ferias internacionales (stand INAVI, Festuris)</w:t>
            </w:r>
          </w:p>
        </w:tc>
        <w:tc>
          <w:tcPr>
            <w:tcW w:type="dxa" w:w="150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r>
      <w:tr>
        <w:trPr>
          <w:cantSplit/>
        </w:trPr>
        <w:tc>
          <w:tcPr>
            <w:tcW w:type="dxa" w:w="700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Vinculación con el Salón del Vino Fino de Salto</w:t>
            </w:r>
          </w:p>
        </w:tc>
        <w:tc>
          <w:tcPr>
            <w:tcW w:type="dxa" w:w="150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El desglose por canal corresponde a la apertura de la partida "Campaña de prelanzamiento digital" del cuadro superior.</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apertura por rubro permite anticipar dos cuestiones de gestión que exceden el simple encuadre contable. En primer lugar, la mayor asignación recae sobre la plataforma de reservas (44% del total), coherente con el diagnóstico del punto 4.1, que identificó la ausencia de un motor de reservas en tiempo real como una de las principales brechas digitales del circuito. En segundo lugar, dentro de la campaña de prelanzamiento, el mayor peso corresponde a la publicidad digital segmentada, lo que resulta consistente con la estrategia de posicionamiento definida en el punto 6.1.1: alcanzar de forma eficiente a los segmentos geográficos de Montevideo, Buenos Aires y el sur de Brasil identificados en el punto 4.5, sin incurrir en los costos fijos más elevados que implicaría una campaña de medios masivos tradicionales.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6.2. Estrategia de Sostenibilidad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Estas tres líneas de acción no son iniciativas aisladas, sino la traducción operativa del criterio de triple resultado (Elkington, 1997), según el cual la sostenibilidad de un emprendimiento debe evaluarse simultáneamente en su desempeño económico, social y ambiental, y no únicamente en su rentabilidad financiera. La certificación bajo el Plan de Uva Sostenible de INAVI atiende la dimensión ambiental, en línea con lo ya fundamentado en el punto 2.1; el abastecimiento local de insumos gastronómicos atiende la dimensión social, al retener en el territorio el gasto generado por el circuito y fortalecer a los pequeños productores de Colonia Osimani y Parada Daymán identificados como beneficiarios indirectos (5.2); y el fideicomiso de caminería rural atiende, de forma directa, una de las principales debilidades de infraestructura diagnosticadas en el Capítulo 4, financiando su mitigación con recursos generados por el propio circuito y no exclusivamente con fondos públicos. Esta estructura tripartita permite que la sostenibilidad del proyecto no dependa de la buena voluntad de sus gestores, sino que quede incorporada en su propio modelo de ingresos y costos.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6.3. Estrategia de Calidad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6.4. Estrategia de Operaciones</w:t>
      </w:r>
    </w:p>
    <w:p>
      <w:pPr>
        <w:pStyle w:val="Heading3"/>
        <w:keepNext/>
        <w:spacing w:after="100" w:before="220" w:line="240" w:lineRule="auto"/>
        <w:jc w:val="left"/>
      </w:pPr>
      <w:r>
        <w:rPr>
          <w:rFonts w:ascii="Arial" w:cs="Arial" w:eastAsia="Arial" w:hAnsi="Arial"/>
          <w:b/>
          <w:bCs/>
          <w:i/>
          <w:iCs/>
          <w:color w:val="3b3b3b"/>
          <w:sz w:val="24"/>
          <w:szCs w:val="24"/>
        </w:rPr>
        <w:t xml:space="preserve">6.4.1. Itinerario operativo — Paquete 1 (media jornada)</w:t>
      </w:r>
    </w:p>
    <w:p>
      <w:pPr>
        <w:keepNext/>
        <w:spacing w:after="0" w:before="200" w:line="240" w:lineRule="auto"/>
        <w:jc w:val="left"/>
      </w:pPr>
      <w:r>
        <w:rPr>
          <w:rFonts w:ascii="Arial" w:cs="Arial" w:eastAsia="Arial" w:hAnsi="Arial"/>
          <w:b/>
          <w:bCs/>
          <w:i w:val="false"/>
          <w:iCs w:val="false"/>
          <w:color w:val="3b1522"/>
          <w:sz w:val="24"/>
          <w:szCs w:val="24"/>
        </w:rPr>
        <w:t xml:space="preserve">Tabla 13</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9"/>
        <w:gridCol w:w="2135"/>
        <w:gridCol w:w="5480"/>
      </w:tblGrid>
      <w:tr>
        <w:trPr>
          <w:cantSplit/>
        </w:trPr>
        <w:tc>
          <w:tcPr>
            <w:tcW w:type="dxa" w:w="88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1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54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09:30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Descenso de pasajeros en sus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6.4.2. Itinerario operativo — Paquete 2 (jornada completa)</w:t>
      </w:r>
    </w:p>
    <w:p>
      <w:pPr>
        <w:keepNext/>
        <w:spacing w:after="0" w:before="200" w:line="240" w:lineRule="auto"/>
        <w:jc w:val="left"/>
      </w:pPr>
      <w:r>
        <w:rPr>
          <w:rFonts w:ascii="Arial" w:cs="Arial" w:eastAsia="Arial" w:hAnsi="Arial"/>
          <w:b/>
          <w:bCs/>
          <w:i w:val="false"/>
          <w:iCs w:val="false"/>
          <w:color w:val="3b1522"/>
          <w:sz w:val="24"/>
          <w:szCs w:val="24"/>
        </w:rPr>
        <w:t xml:space="preserve">Tabla 14</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617"/>
        <w:gridCol w:w="4987"/>
      </w:tblGrid>
      <w:tr>
        <w:trPr>
          <w:cantSplit/>
        </w:trPr>
        <w:tc>
          <w:tcPr>
            <w:tcW w:type="dxa" w:w="90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61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498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12:15</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14:00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17:30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a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bCs/>
          <w:i w:val="false"/>
          <w:iCs w:val="false"/>
          <w:color w:val="000000"/>
          <w:sz w:val="24"/>
          <w:szCs w:val="24"/>
        </w:rPr>
        <w:t xml:space="preserve">Calendario operativo.</w:t>
      </w:r>
      <w:r>
        <w:rPr>
          <w:rFonts w:ascii="Arial" w:cs="Arial" w:eastAsia="Arial" w:hAnsi="Arial"/>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6.4.3. Gestión de proveedores y reservas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00" w:before="220" w:line="240" w:lineRule="auto"/>
        <w:jc w:val="left"/>
      </w:pPr>
      <w:r>
        <w:rPr>
          <w:rFonts w:ascii="Arial" w:cs="Arial" w:eastAsia="Arial" w:hAnsi="Arial"/>
          <w:b/>
          <w:bCs/>
          <w:i/>
          <w:iCs/>
          <w:color w:val="3b3b3b"/>
          <w:sz w:val="24"/>
          <w:szCs w:val="24"/>
        </w:rPr>
        <w:t xml:space="preserve">6.4.4. Protocolos de seguridad, accesibilidad y contingencia climática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3"/>
        <w:keepNext/>
        <w:spacing w:after="100" w:before="220" w:line="240" w:lineRule="auto"/>
        <w:jc w:val="left"/>
      </w:pPr>
      <w:r>
        <w:rPr>
          <w:rFonts w:ascii="Arial" w:cs="Arial" w:eastAsia="Arial" w:hAnsi="Arial"/>
          <w:b/>
          <w:bCs/>
          <w:i/>
          <w:iCs/>
          <w:color w:val="3b3b3b"/>
          <w:sz w:val="24"/>
          <w:szCs w:val="24"/>
        </w:rPr>
        <w:t xml:space="preserve">6.4.5. Requisitos de Habilitación y Cobertura de Riesgos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operativa del circuito depende de un conjunto de habilitaciones y coberturas que deben estar vigentes antes de la salida operativa piloto prevista en el calendario de implantación (6.6). En materia de transporte, la empresa de minibuses contratada por el Comité de Gestión debe contar con la habilitación turística nacional exigida por el Decreto N.° 278/015 (5.5), inscripta ante el MINTUR con reinscripción anual, así como con cobertura de seguro de responsabilidad civil que alcance tanto a terceros como a los pasajeros transportados. En materia de las bodegas asociadas, la condición de prestador de servicios turísticos habilitado bajo el Decreto N.° 370/010 (5.5) exige mantener vigente el registro ante el MINTUR y la habilitación sanitaria del INAVI para la venta de botellas cerradas y la realización de catas comerciales. En materia de responsabilidad civil general, el Comité de Gestión contrata una póliza colectiva que cubre eventuales accidentes durante las visitas guiadas en cada una de las cuatro estaciones (5.1.3), incluida la manipulación de maquinaria de vinificación durante los recorridos técnicos de las Estaciones 2 y 3. Finalmente, el personal gastronómico que participa en las degustaciones y maridajes —tanto el propio de las bodegas como el de los proveedores locales de quesos y panificados (6.2)— debe contar con carné de manipulación de alimentos vigente, en cumplimiento de la normativa bromatológica departamental. La verificación de estos cuatro requisitos se incorpora como condición previa a la firma de los convenios anuales entre el Comité de Gestión y cada proveedor (6.4.3), y su seguimiento queda a cargo del Consejo Consultivo Técnico (5.4) como parte de sus funciones semestrales de auditoría.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6.5. Planificación Financiera</w:t>
      </w:r>
    </w:p>
    <w:p>
      <w:pPr>
        <w:pStyle w:val="Heading3"/>
        <w:keepNext/>
        <w:spacing w:after="100" w:before="220" w:line="240" w:lineRule="auto"/>
        <w:jc w:val="left"/>
      </w:pPr>
      <w:r>
        <w:rPr>
          <w:rFonts w:ascii="Arial" w:cs="Arial" w:eastAsia="Arial" w:hAnsi="Arial"/>
          <w:b/>
          <w:bCs/>
          <w:i/>
          <w:iCs/>
          <w:color w:val="3b3b3b"/>
          <w:sz w:val="24"/>
          <w:szCs w:val="24"/>
        </w:rPr>
        <w:t xml:space="preserve">6.5.1. Análisis de Costos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00" w:before="220" w:line="240" w:lineRule="auto"/>
        <w:jc w:val="left"/>
      </w:pPr>
      <w:r>
        <w:rPr>
          <w:rFonts w:ascii="Arial" w:cs="Arial" w:eastAsia="Arial" w:hAnsi="Arial"/>
          <w:b/>
          <w:bCs/>
          <w:i/>
          <w:iCs/>
          <w:color w:val="3b3b3b"/>
          <w:sz w:val="24"/>
          <w:szCs w:val="24"/>
        </w:rPr>
        <w:t xml:space="preserve">6.5.2. Proyecciones</w:t>
      </w:r>
    </w:p>
    <w:p>
      <w:pPr>
        <w:keepNext/>
        <w:spacing w:after="0" w:before="200" w:line="240" w:lineRule="auto"/>
        <w:jc w:val="left"/>
      </w:pPr>
      <w:r>
        <w:rPr>
          <w:rFonts w:ascii="Arial" w:cs="Arial" w:eastAsia="Arial" w:hAnsi="Arial"/>
          <w:b/>
          <w:bCs/>
          <w:i w:val="false"/>
          <w:iCs w:val="false"/>
          <w:color w:val="3b1522"/>
          <w:sz w:val="24"/>
          <w:szCs w:val="24"/>
        </w:rPr>
        <w:t xml:space="preserve">Tabla 15</w:t>
      </w:r>
    </w:p>
    <w:p>
      <w:pPr>
        <w:keepNext/>
        <w:spacing w:after="120" w:before="0" w:line="240" w:lineRule="auto"/>
        <w:jc w:val="left"/>
      </w:pPr>
      <w:r>
        <w:rPr>
          <w:rFonts w:ascii="Arial" w:cs="Arial" w:eastAsia="Arial" w:hAnsi="Arial"/>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109"/>
        <w:gridCol w:w="1109"/>
        <w:gridCol w:w="1109"/>
        <w:gridCol w:w="1109"/>
        <w:gridCol w:w="1109"/>
      </w:tblGrid>
      <w:tr>
        <w:trPr>
          <w:cantSplit/>
        </w:trPr>
        <w:tc>
          <w:tcPr>
            <w:tcW w:type="dxa" w:w="295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Concepto</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1</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2</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3</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4</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5.400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30.450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71.200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85.600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112.000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00" w:before="220" w:line="240" w:lineRule="auto"/>
        <w:jc w:val="left"/>
      </w:pPr>
      <w:r>
        <w:rPr>
          <w:rFonts w:ascii="Arial" w:cs="Arial" w:eastAsia="Arial" w:hAnsi="Arial"/>
          <w:b/>
          <w:bCs/>
          <w:i/>
          <w:iCs/>
          <w:color w:val="3b3b3b"/>
          <w:sz w:val="24"/>
          <w:szCs w:val="24"/>
        </w:rPr>
        <w:t xml:space="preserve">6.5.3. Punto de Equilibrio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00" w:before="220" w:line="240" w:lineRule="auto"/>
        <w:jc w:val="left"/>
      </w:pPr>
      <w:r>
        <w:rPr>
          <w:rFonts w:ascii="Arial" w:cs="Arial" w:eastAsia="Arial" w:hAnsi="Arial"/>
          <w:b/>
          <w:bCs/>
          <w:i/>
          <w:iCs/>
          <w:color w:val="3b3b3b"/>
          <w:sz w:val="24"/>
          <w:szCs w:val="24"/>
        </w:rPr>
        <w:t xml:space="preserve">6.5.4. ROI e Indicadores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Dado que la proyección de 3.630 turistas para el Año 1 constituye un supuesto de demanda no validado empíricamente (3.3), resulta pertinente estimar la sensibilidad del ROI ante desvíos de esa proyección, aplicando la misma fórmula del punto 6.5.4 bajo dos escenarios alternativos que mantienen constantes el precio (USD 45), el costo variable unitario (USD 30) y los costos fijos anuales (USD 24.000). En un escenario pesimista, con una captación 20% menor a la proyectada (2.904 turistas), los ingresos totales serían de USD 130.680, los costos variables de USD 87.120 y el flujo de caja neto de USD 19.560, lo que arroja un ROI de aproximadamente 43,5%; es relevante notar que, incluso en este escenario adverso, la captación de 2.904 turistas permanece muy por encima del punto de equilibrio de 1.600 turistas anuales (6.5.3), por lo que el proyecto conserva su viabilidad operativa. En un escenario optimista, con una captación 20% mayor (4.356 turistas), los ingresos ascenderían a USD 196.020, los costos variables a USD 130.680 y el flujo de caja neto a USD 41.340, con un ROI cercano al 91,9%. Este ejercicio de sensibilidad confirma que el modelo de negocio tolera una variación considerable en sus supuestos de demanda sin comprometer su sostenibilidad financiera básica, lo que refuerza la recomendación —ya planteada en el Capítulo 7— de iniciar la operación con el Paquete 1 a modo de piloto antes de comprometer la totalidad de la inversión en la oferta completa.</w:t>
      </w:r>
    </w:p>
    <w:p>
      <w:pPr>
        <w:keepNext/>
        <w:spacing w:after="0" w:before="200" w:line="240" w:lineRule="auto"/>
        <w:jc w:val="left"/>
      </w:pPr>
      <w:r>
        <w:rPr>
          <w:rFonts w:ascii="Arial" w:cs="Arial" w:eastAsia="Arial" w:hAnsi="Arial"/>
          <w:b/>
          <w:bCs/>
          <w:i w:val="false"/>
          <w:iCs w:val="false"/>
          <w:color w:val="3b1522"/>
          <w:sz w:val="24"/>
          <w:szCs w:val="24"/>
        </w:rPr>
        <w:t xml:space="preserve">Tabla 16</w:t>
      </w:r>
    </w:p>
    <w:p>
      <w:pPr>
        <w:keepNext/>
        <w:spacing w:after="120" w:before="0" w:line="240" w:lineRule="auto"/>
        <w:jc w:val="left"/>
      </w:pPr>
      <w:r>
        <w:rPr>
          <w:rFonts w:ascii="Arial" w:cs="Arial" w:eastAsia="Arial" w:hAnsi="Arial"/>
          <w:b w:val="false"/>
          <w:bCs w:val="false"/>
          <w:i/>
          <w:iCs/>
          <w:color w:val="000000"/>
          <w:sz w:val="24"/>
          <w:szCs w:val="24"/>
        </w:rPr>
        <w:t xml:space="preserve">Análisis de sensibilidad del ROI Año 1 ante variaciones en la demanda proyectada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180"/>
        <w:gridCol w:w="1635"/>
        <w:gridCol w:w="1816"/>
        <w:gridCol w:w="1998"/>
        <w:gridCol w:w="875"/>
      </w:tblGrid>
      <w:tr>
        <w:trPr>
          <w:cantSplit/>
        </w:trPr>
        <w:tc>
          <w:tcPr>
            <w:tcW w:type="dxa" w:w="21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Escenario</w:t>
            </w:r>
          </w:p>
        </w:tc>
        <w:tc>
          <w:tcPr>
            <w:tcW w:type="dxa" w:w="16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Turistas Año 1</w:t>
            </w:r>
          </w:p>
        </w:tc>
        <w:tc>
          <w:tcPr>
            <w:tcW w:type="dxa" w:w="18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Ingresos totales</w:t>
            </w:r>
          </w:p>
        </w:tc>
        <w:tc>
          <w:tcPr>
            <w:tcW w:type="dxa" w:w="199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Flujo de caja neto</w:t>
            </w:r>
          </w:p>
        </w:tc>
        <w:tc>
          <w:tcPr>
            <w:tcW w:type="dxa" w:w="87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ROI</w:t>
            </w:r>
          </w:p>
        </w:tc>
      </w:tr>
      <w:tr>
        <w:trPr>
          <w:cantSplit/>
        </w:trPr>
        <w:tc>
          <w:tcPr>
            <w:tcW w:type="dxa" w:w="21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Pesimista (-20%)</w:t>
            </w:r>
          </w:p>
        </w:tc>
        <w:tc>
          <w:tcPr>
            <w:tcW w:type="dxa" w:w="16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2.904</w:t>
            </w:r>
          </w:p>
        </w:tc>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USD 130.680</w:t>
            </w:r>
          </w:p>
        </w:tc>
        <w:tc>
          <w:tcPr>
            <w:tcW w:type="dxa" w:w="19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USD 19.560</w:t>
            </w:r>
          </w:p>
        </w:tc>
        <w:tc>
          <w:tcPr>
            <w:tcW w:type="dxa" w:w="87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w:t>
            </w:r>
          </w:p>
        </w:tc>
      </w:tr>
      <w:tr>
        <w:trPr>
          <w:cantSplit/>
        </w:trPr>
        <w:tc>
          <w:tcPr>
            <w:tcW w:type="dxa" w:w="21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Base (proyectado, 6.5.2)</w:t>
            </w:r>
          </w:p>
        </w:tc>
        <w:tc>
          <w:tcPr>
            <w:tcW w:type="dxa" w:w="16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USD 163.350</w:t>
            </w:r>
          </w:p>
        </w:tc>
        <w:tc>
          <w:tcPr>
            <w:tcW w:type="dxa" w:w="19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USD 30.450</w:t>
            </w:r>
          </w:p>
        </w:tc>
        <w:tc>
          <w:tcPr>
            <w:tcW w:type="dxa" w:w="87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67,7%</w:t>
            </w:r>
          </w:p>
        </w:tc>
      </w:tr>
      <w:tr>
        <w:trPr>
          <w:cantSplit/>
        </w:trPr>
        <w:tc>
          <w:tcPr>
            <w:tcW w:type="dxa" w:w="21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Optimista (+20%)</w:t>
            </w:r>
          </w:p>
        </w:tc>
        <w:tc>
          <w:tcPr>
            <w:tcW w:type="dxa" w:w="16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4.356</w:t>
            </w:r>
          </w:p>
        </w:tc>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USD 196.020</w:t>
            </w:r>
          </w:p>
        </w:tc>
        <w:tc>
          <w:tcPr>
            <w:tcW w:type="dxa" w:w="199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USD 41.340</w:t>
            </w:r>
          </w:p>
        </w:tc>
        <w:tc>
          <w:tcPr>
            <w:tcW w:type="dxa" w:w="87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91,9%</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En los tres escenarios la captación se mantiene por encima del punto de equilibrio de 1.600 turistas anuales (6.5.3).</w:t>
      </w:r>
    </w:p>
    <w:p>
      <w:pPr>
        <w:pStyle w:val="Heading3"/>
        <w:keepNext/>
        <w:spacing w:after="100" w:before="220" w:line="240" w:lineRule="auto"/>
        <w:jc w:val="left"/>
      </w:pPr>
      <w:r>
        <w:rPr>
          <w:rFonts w:ascii="Arial" w:cs="Arial" w:eastAsia="Arial" w:hAnsi="Arial"/>
          <w:b/>
          <w:bCs/>
          <w:i/>
          <w:iCs/>
          <w:color w:val="3b3b3b"/>
          <w:sz w:val="24"/>
          <w:szCs w:val="24"/>
        </w:rPr>
        <w:t xml:space="preserve">6.5.5. Fuentes de Inversión</w:t>
      </w:r>
    </w:p>
    <w:p>
      <w:pPr>
        <w:keepNext/>
        <w:spacing w:after="0" w:before="200" w:line="240" w:lineRule="auto"/>
        <w:jc w:val="left"/>
      </w:pPr>
      <w:r>
        <w:rPr>
          <w:rFonts w:ascii="Arial" w:cs="Arial" w:eastAsia="Arial" w:hAnsi="Arial"/>
          <w:b/>
          <w:bCs/>
          <w:i w:val="false"/>
          <w:iCs w:val="false"/>
          <w:color w:val="3b1522"/>
          <w:sz w:val="24"/>
          <w:szCs w:val="24"/>
        </w:rPr>
        <w:t xml:space="preserve">Tabla 17</w:t>
      </w:r>
    </w:p>
    <w:p>
      <w:pPr>
        <w:keepNext/>
        <w:spacing w:after="120" w:before="0" w:line="240" w:lineRule="auto"/>
        <w:jc w:val="left"/>
      </w:pPr>
      <w:r>
        <w:rPr>
          <w:rFonts w:ascii="Arial" w:cs="Arial" w:eastAsia="Arial" w:hAnsi="Arial"/>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610"/>
        <w:gridCol w:w="979"/>
        <w:gridCol w:w="3916"/>
      </w:tblGrid>
      <w:tr>
        <w:trPr>
          <w:cantSplit/>
        </w:trPr>
        <w:tc>
          <w:tcPr>
            <w:tcW w:type="dxa" w:w="36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w:t>
            </w:r>
          </w:p>
        </w:tc>
        <w:tc>
          <w:tcPr>
            <w:tcW w:type="dxa" w:w="9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 / Monto</w:t>
            </w:r>
          </w:p>
        </w:tc>
        <w:tc>
          <w:tcPr>
            <w:tcW w:type="dxa" w:w="39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Acondicionamiento de accesos y seguridad en el Espacio Harriague</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6.6. Calendario de Implantación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Arial" w:cs="Arial" w:eastAsia="Arial" w:hAnsi="Arial"/>
          <w:b/>
          <w:bCs/>
          <w:i w:val="false"/>
          <w:iCs w:val="false"/>
          <w:color w:val="3b1522"/>
          <w:sz w:val="24"/>
          <w:szCs w:val="24"/>
        </w:rPr>
        <w:t xml:space="preserve">Tabla 18</w:t>
      </w:r>
    </w:p>
    <w:p>
      <w:pPr>
        <w:keepNext/>
        <w:spacing w:after="120" w:before="0" w:line="240" w:lineRule="auto"/>
        <w:jc w:val="left"/>
      </w:pPr>
      <w:r>
        <w:rPr>
          <w:rFonts w:ascii="Arial" w:cs="Arial" w:eastAsia="Arial" w:hAnsi="Arial"/>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42"/>
        <w:gridCol w:w="843"/>
        <w:gridCol w:w="5206"/>
        <w:gridCol w:w="1613"/>
      </w:tblGrid>
      <w:tr>
        <w:trPr>
          <w:cantSplit/>
        </w:trPr>
        <w:tc>
          <w:tcPr>
            <w:tcW w:type="dxa" w:w="8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Fase</w:t>
            </w:r>
          </w:p>
        </w:tc>
        <w:tc>
          <w:tcPr>
            <w:tcW w:type="dxa" w:w="84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Plazo estimado</w:t>
            </w:r>
          </w:p>
        </w:tc>
        <w:tc>
          <w:tcPr>
            <w:tcW w:type="dxa" w:w="520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Actividades principales</w:t>
            </w:r>
          </w:p>
        </w:tc>
        <w:tc>
          <w:tcPr>
            <w:tcW w:type="dxa" w:w="161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Responsable</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Constitución formal del Comité de Gestión; convenios preliminares con las 3 bodegas, el Centro Vasco y hoteles de Daymán</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 / Comisión de Turismo CCIS</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1-2</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Postulación al Fondo Concursable MINTUR-ANDE y al Fondo de Oferta Enoturística MINTUR</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2-3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Inicio de certificación Uruguay Sustainable Winegrowing en las bodegas participantes; adecuación de accesos peatonales en el Espacio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asociadas / Intendencia de Salto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portal web y la app móvil con motor de reservas y pasarela de pagos</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Proveedor TI contratado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Capacitación de 120 horas para guías, choferes y personal de bodegas (CENUR Litoral Norte / UTU)</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 y presentación en la Semana de Harriague</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r>
        <w:trPr>
          <w:cantSplit/>
        </w:trPr>
        <w:tc>
          <w:tcPr>
            <w:tcW w:type="dxa" w:w="8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w:t>
            </w:r>
          </w:p>
        </w:tc>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 en adelante</w:t>
            </w:r>
          </w:p>
        </w:tc>
        <w:tc>
          <w:tcPr>
            <w:tcW w:type="dxa" w:w="52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Salida operativa piloto (Paquete 1), evaluación con el bucle QR y ajuste de la operativa antes de sumar el Paquete 2 completo</w:t>
            </w:r>
          </w:p>
        </w:tc>
        <w:tc>
          <w:tcPr>
            <w:tcW w:type="dxa" w:w="161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6.7. Análisis de Riesgos y Contingencias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formulación del plan de acción exige sistematizar los riesgos identificados a lo largo del diagnóstico (Capítulo 4) en una matriz que oriente su seguimiento durante la implementación, en lugar de dejarlos dispersos entre distintos capítulos.</w:t>
      </w:r>
    </w:p>
    <w:p>
      <w:pPr>
        <w:keepNext/>
        <w:spacing w:after="0" w:before="200" w:line="240" w:lineRule="auto"/>
        <w:jc w:val="left"/>
      </w:pPr>
      <w:r>
        <w:rPr>
          <w:rFonts w:ascii="Arial" w:cs="Arial" w:eastAsia="Arial" w:hAnsi="Arial"/>
          <w:b/>
          <w:bCs/>
          <w:i w:val="false"/>
          <w:iCs w:val="false"/>
          <w:color w:val="3b1522"/>
          <w:sz w:val="24"/>
          <w:szCs w:val="24"/>
        </w:rPr>
        <w:t xml:space="preserve">Tabla 19</w:t>
      </w:r>
    </w:p>
    <w:p>
      <w:pPr>
        <w:keepNext/>
        <w:spacing w:after="120" w:before="0" w:line="240" w:lineRule="auto"/>
        <w:jc w:val="left"/>
      </w:pPr>
      <w:r>
        <w:rPr>
          <w:rFonts w:ascii="Arial" w:cs="Arial" w:eastAsia="Arial" w:hAnsi="Arial"/>
          <w:b w:val="false"/>
          <w:bCs w:val="false"/>
          <w:i/>
          <w:iCs/>
          <w:color w:val="000000"/>
          <w:sz w:val="24"/>
          <w:szCs w:val="24"/>
        </w:rPr>
        <w:t xml:space="preserve">Matriz de riesgos del proyecto y estrategias de mitigación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224"/>
        <w:gridCol w:w="888"/>
        <w:gridCol w:w="2409"/>
        <w:gridCol w:w="2983"/>
      </w:tblGrid>
      <w:tr>
        <w:trPr>
          <w:cantSplit/>
        </w:trPr>
        <w:tc>
          <w:tcPr>
            <w:tcW w:type="dxa" w:w="222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Riesgo</w:t>
            </w:r>
          </w:p>
        </w:tc>
        <w:tc>
          <w:tcPr>
            <w:tcW w:type="dxa" w:w="8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Probabilidad</w:t>
            </w:r>
          </w:p>
        </w:tc>
        <w:tc>
          <w:tcPr>
            <w:tcW w:type="dxa" w:w="24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Impacto</w:t>
            </w:r>
          </w:p>
        </w:tc>
        <w:tc>
          <w:tcPr>
            <w:tcW w:type="dxa" w:w="298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 de mitigación</w:t>
            </w:r>
          </w:p>
        </w:tc>
      </w:tr>
      <w:tr>
        <w:trPr>
          <w:cantSplit/>
        </w:trPr>
        <w:tc>
          <w:tcPr>
            <w:tcW w:type="dxa" w:w="222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Volatilidad cambiaria y reversión de la brecha de precios con Argentina (4.6; Tabla 8)</w:t>
            </w:r>
          </w:p>
        </w:tc>
        <w:tc>
          <w:tcPr>
            <w:tcW w:type="dxa" w:w="8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(comportamiento ya observado en 2026)</w:t>
            </w:r>
          </w:p>
        </w:tc>
        <w:tc>
          <w:tcPr>
            <w:tcW w:type="dxa" w:w="24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Medio-alto: reduce el atractivo de precio relativo de Salto frente a Concordia</w:t>
            </w:r>
          </w:p>
        </w:tc>
        <w:tc>
          <w:tcPr>
            <w:tcW w:type="dxa" w:w="298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Diferenciación por autenticidad patrimonial en lugar de competencia por precio (5.1); monitoreo trimestral del IPF de la UCU como indicador de alerta temprana</w:t>
            </w:r>
          </w:p>
        </w:tc>
      </w:tr>
      <w:tr>
        <w:trPr>
          <w:cantSplit/>
        </w:trPr>
        <w:tc>
          <w:tcPr>
            <w:tcW w:type="dxa" w:w="222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Persistencia de la fragmentación de la gobernanza turística tras el cese de la METS (4.6)</w:t>
            </w:r>
          </w:p>
        </w:tc>
        <w:tc>
          <w:tcPr>
            <w:tcW w:type="dxa" w:w="8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Media</w:t>
            </w:r>
          </w:p>
        </w:tc>
        <w:tc>
          <w:tcPr>
            <w:tcW w:type="dxa" w:w="24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Alto: sin coordinación multisectorial, el Comité de Gestión podría operar aislado del resto de la política turística departamental</w:t>
            </w:r>
          </w:p>
        </w:tc>
        <w:tc>
          <w:tcPr>
            <w:tcW w:type="dxa" w:w="298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Formalización temprana del enlace institucional con la Comisión de Turismo del CCIS y de la Junta Departamental (5.4) mediante convenio escrito, no solo informal</w:t>
            </w:r>
          </w:p>
        </w:tc>
      </w:tr>
      <w:tr>
        <w:trPr>
          <w:cantSplit/>
        </w:trPr>
        <w:tc>
          <w:tcPr>
            <w:tcW w:type="dxa" w:w="222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Elegibilidad no inmediata a los fondos públicos concursables por desalineación temática de la convocatoria vigente (4.6)</w:t>
            </w:r>
          </w:p>
        </w:tc>
        <w:tc>
          <w:tcPr>
            <w:tcW w:type="dxa" w:w="8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en el corto plazo</w:t>
            </w:r>
          </w:p>
        </w:tc>
        <w:tc>
          <w:tcPr>
            <w:tcW w:type="dxa" w:w="24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Medio: retrasa, pero no impide, el acceso a financiamiento no reembolsable</w:t>
            </w:r>
          </w:p>
        </w:tc>
        <w:tc>
          <w:tcPr>
            <w:tcW w:type="dxa" w:w="298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Diversificación de fuentes de inversión inicial (6.5.5) para no depender de una única convocatoria; monitoreo del calendario de llamados de ANDE y MINTUR</w:t>
            </w:r>
          </w:p>
        </w:tc>
      </w:tr>
      <w:tr>
        <w:trPr>
          <w:cantSplit/>
        </w:trPr>
        <w:tc>
          <w:tcPr>
            <w:tcW w:type="dxa" w:w="222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Sobreestimación de la demanda proyectada para el Año 1 (6.5.2)</w:t>
            </w:r>
          </w:p>
        </w:tc>
        <w:tc>
          <w:tcPr>
            <w:tcW w:type="dxa" w:w="8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Media</w:t>
            </w:r>
          </w:p>
        </w:tc>
        <w:tc>
          <w:tcPr>
            <w:tcW w:type="dxa" w:w="24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Alto: compromete el punto de equilibrio si la captación real es menor al 0,8% del corredor termal proyectado</w:t>
            </w:r>
          </w:p>
        </w:tc>
        <w:tc>
          <w:tcPr>
            <w:tcW w:type="dxa" w:w="298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Operación piloto acotada al Paquete 1 antes de escalar al Paquete 2 completo (6.6, fase 6); ajuste de metas con base en los resultados del cuestionario QR</w:t>
            </w:r>
          </w:p>
        </w:tc>
      </w:tr>
      <w:tr>
        <w:trPr>
          <w:cantSplit/>
        </w:trPr>
        <w:tc>
          <w:tcPr>
            <w:tcW w:type="dxa" w:w="222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Vulnerabilidad climática de la caminería rural secundaria (4.1; 6.4.4)</w:t>
            </w:r>
          </w:p>
        </w:tc>
        <w:tc>
          <w:tcPr>
            <w:tcW w:type="dxa" w:w="8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en temporada de lluvias</w:t>
            </w:r>
          </w:p>
        </w:tc>
        <w:tc>
          <w:tcPr>
            <w:tcW w:type="dxa" w:w="24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Medio: afecta la operativa de un día puntual, no la viabilidad del negocio</w:t>
            </w:r>
          </w:p>
        </w:tc>
        <w:tc>
          <w:tcPr>
            <w:tcW w:type="dxa" w:w="298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Protocolo de contingencia ya definido (6.4.4): rutas alternativas pavimentadas y comunicación inmediata a pasajeros</w:t>
            </w:r>
          </w:p>
        </w:tc>
      </w:tr>
      <w:tr>
        <w:trPr>
          <w:cantSplit/>
        </w:trPr>
        <w:tc>
          <w:tcPr>
            <w:tcW w:type="dxa" w:w="222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limitada de las bodegas familiares para atender grupos grandes (4.6)</w:t>
            </w:r>
          </w:p>
        </w:tc>
        <w:tc>
          <w:tcPr>
            <w:tcW w:type="dxa" w:w="8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Media</w:t>
            </w:r>
          </w:p>
        </w:tc>
        <w:tc>
          <w:tcPr>
            <w:tcW w:type="dxa" w:w="24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Medio: puede generar una experiencia de menor calidad en picos de demanda</w:t>
            </w:r>
          </w:p>
        </w:tc>
        <w:tc>
          <w:tcPr>
            <w:tcW w:type="dxa" w:w="298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Cupos máximos por salida acordados en los convenios anuales (6.4.3) y escalonamiento de turnos entre las tres bodegas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los riesgos identificados en el diagnóstico de los Capítulos 1, 4 y 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Del análisis se desprende que ninguno de los riesgos identificados es, por sí solo, de magnitud suficiente para comprometer la viabilidad del proyecto, pero varios de ellos —en particular la volatilidad cambiaria y la fragmentación de la gobernanza— son de naturaleza estructural y exceden la capacidad de control directo del Comité de Gestión. Por ello, el seguimiento periódico de estos indicadores debe incorporarse como una función explícita del Consejo Consultivo Técnico (5.4), y no tratarse como un ejercicio de diagnóstico único realizado únicamente en la etapa de formulación del proyecto.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6.8. Indicadores de Desempeño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distintos capítulos de este proyecto definen, de forma dispersa, un conjunto de métricas que permiten monitorear su desempeño una vez iniciada la operación. Sistematizarlas en un único tablero de indicadores facilita su seguimiento periódico por parte del Comité de Gestión.</w:t>
      </w:r>
    </w:p>
    <w:p>
      <w:pPr>
        <w:keepNext/>
        <w:spacing w:after="0" w:before="200" w:line="240" w:lineRule="auto"/>
        <w:jc w:val="left"/>
      </w:pPr>
      <w:r>
        <w:rPr>
          <w:rFonts w:ascii="Arial" w:cs="Arial" w:eastAsia="Arial" w:hAnsi="Arial"/>
          <w:b/>
          <w:bCs/>
          <w:i w:val="false"/>
          <w:iCs w:val="false"/>
          <w:color w:val="3b1522"/>
          <w:sz w:val="24"/>
          <w:szCs w:val="24"/>
        </w:rPr>
        <w:t xml:space="preserve">Tabla 20</w:t>
      </w:r>
    </w:p>
    <w:p>
      <w:pPr>
        <w:keepNext/>
        <w:spacing w:after="120" w:before="0" w:line="240" w:lineRule="auto"/>
        <w:jc w:val="left"/>
      </w:pPr>
      <w:r>
        <w:rPr>
          <w:rFonts w:ascii="Arial" w:cs="Arial" w:eastAsia="Arial" w:hAnsi="Arial"/>
          <w:b w:val="false"/>
          <w:bCs w:val="false"/>
          <w:i/>
          <w:iCs/>
          <w:color w:val="000000"/>
          <w:sz w:val="24"/>
          <w:szCs w:val="24"/>
        </w:rPr>
        <w:t xml:space="preserve">Tablero de indicadores de desempeño del circuito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234"/>
        <w:gridCol w:w="2556"/>
        <w:gridCol w:w="2864"/>
        <w:gridCol w:w="1851"/>
      </w:tblGrid>
      <w:tr>
        <w:trPr>
          <w:cantSplit/>
        </w:trPr>
        <w:tc>
          <w:tcPr>
            <w:tcW w:type="dxa" w:w="123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w:t>
            </w:r>
          </w:p>
        </w:tc>
        <w:tc>
          <w:tcPr>
            <w:tcW w:type="dxa" w:w="25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w:t>
            </w:r>
          </w:p>
        </w:tc>
        <w:tc>
          <w:tcPr>
            <w:tcW w:type="dxa" w:w="286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Meta Año 1</w:t>
            </w:r>
          </w:p>
        </w:tc>
        <w:tc>
          <w:tcPr>
            <w:tcW w:type="dxa" w:w="185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2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Comercial</w:t>
            </w:r>
          </w:p>
        </w:tc>
        <w:tc>
          <w:tcPr>
            <w:tcW w:type="dxa" w:w="25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286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 (6.5.2)</w:t>
            </w:r>
          </w:p>
        </w:tc>
        <w:tc>
          <w:tcPr>
            <w:tcW w:type="dxa" w:w="18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Motor de reservas de la app (6.1.4)</w:t>
            </w:r>
          </w:p>
        </w:tc>
      </w:tr>
      <w:tr>
        <w:trPr>
          <w:cantSplit/>
        </w:trPr>
        <w:tc>
          <w:tcPr>
            <w:tcW w:type="dxa" w:w="12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Comercial</w:t>
            </w:r>
          </w:p>
        </w:tc>
        <w:tc>
          <w:tcPr>
            <w:tcW w:type="dxa" w:w="25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Participación en la demanda del corredor termal</w:t>
            </w:r>
          </w:p>
        </w:tc>
        <w:tc>
          <w:tcPr>
            <w:tcW w:type="dxa" w:w="286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 de 453.936 visitantes (1.1; 6.5.2)</w:t>
            </w:r>
          </w:p>
        </w:tc>
        <w:tc>
          <w:tcPr>
            <w:tcW w:type="dxa" w:w="18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Comparación con datos de CERES (2026)</w:t>
            </w:r>
          </w:p>
        </w:tc>
      </w:tr>
      <w:tr>
        <w:trPr>
          <w:cantSplit/>
        </w:trPr>
        <w:tc>
          <w:tcPr>
            <w:tcW w:type="dxa" w:w="12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Financiero</w:t>
            </w:r>
          </w:p>
        </w:tc>
        <w:tc>
          <w:tcPr>
            <w:tcW w:type="dxa" w:w="25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Punto de equilibrio anual</w:t>
            </w:r>
          </w:p>
        </w:tc>
        <w:tc>
          <w:tcPr>
            <w:tcW w:type="dxa" w:w="286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 turistas (6.5.3)</w:t>
            </w:r>
          </w:p>
        </w:tc>
        <w:tc>
          <w:tcPr>
            <w:tcW w:type="dxa" w:w="18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Reportes contables del Comité de Gestión</w:t>
            </w:r>
          </w:p>
        </w:tc>
      </w:tr>
      <w:tr>
        <w:trPr>
          <w:cantSplit/>
        </w:trPr>
        <w:tc>
          <w:tcPr>
            <w:tcW w:type="dxa" w:w="12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Financiero</w:t>
            </w:r>
          </w:p>
        </w:tc>
        <w:tc>
          <w:tcPr>
            <w:tcW w:type="dxa" w:w="25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ROI Año 1</w:t>
            </w:r>
          </w:p>
        </w:tc>
        <w:tc>
          <w:tcPr>
            <w:tcW w:type="dxa" w:w="286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67,7% (6.5.4)</w:t>
            </w:r>
          </w:p>
        </w:tc>
        <w:tc>
          <w:tcPr>
            <w:tcW w:type="dxa" w:w="18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Reportes contables del Comité de Gestión</w:t>
            </w:r>
          </w:p>
        </w:tc>
      </w:tr>
      <w:tr>
        <w:trPr>
          <w:cantSplit/>
        </w:trPr>
        <w:tc>
          <w:tcPr>
            <w:tcW w:type="dxa" w:w="12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Calidad de servicio</w:t>
            </w:r>
          </w:p>
        </w:tc>
        <w:tc>
          <w:tcPr>
            <w:tcW w:type="dxa" w:w="25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Satisfacción general del tour</w:t>
            </w:r>
          </w:p>
        </w:tc>
        <w:tc>
          <w:tcPr>
            <w:tcW w:type="dxa" w:w="286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Escala 1-5 estrellas</w:t>
            </w:r>
          </w:p>
        </w:tc>
        <w:tc>
          <w:tcPr>
            <w:tcW w:type="dxa" w:w="18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2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Calidad de servicio</w:t>
            </w:r>
          </w:p>
        </w:tc>
        <w:tc>
          <w:tcPr>
            <w:tcW w:type="dxa" w:w="25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Tasa de recomendación (NPS aproximado)</w:t>
            </w:r>
          </w:p>
        </w:tc>
        <w:tc>
          <w:tcPr>
            <w:tcW w:type="dxa" w:w="286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 definir con la primera cohorte piloto</w:t>
            </w:r>
          </w:p>
        </w:tc>
        <w:tc>
          <w:tcPr>
            <w:tcW w:type="dxa" w:w="18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r>
        <w:trPr>
          <w:cantSplit/>
        </w:trPr>
        <w:tc>
          <w:tcPr>
            <w:tcW w:type="dxa" w:w="12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Patrimonial e interpretativo</w:t>
            </w:r>
          </w:p>
        </w:tc>
        <w:tc>
          <w:tcPr>
            <w:tcW w:type="dxa" w:w="25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286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del Tannat</w:t>
            </w:r>
          </w:p>
        </w:tc>
        <w:tc>
          <w:tcPr>
            <w:tcW w:type="dxa" w:w="18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2)</w:t>
            </w:r>
          </w:p>
        </w:tc>
      </w:tr>
      <w:tr>
        <w:trPr>
          <w:cantSplit/>
        </w:trPr>
        <w:tc>
          <w:tcPr>
            <w:tcW w:type="dxa" w:w="12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Sostenibilidad</w:t>
            </w:r>
          </w:p>
        </w:tc>
        <w:tc>
          <w:tcPr>
            <w:tcW w:type="dxa" w:w="25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certificadas en el Plan de Uva Sostenible de INAVI</w:t>
            </w:r>
          </w:p>
        </w:tc>
        <w:tc>
          <w:tcPr>
            <w:tcW w:type="dxa" w:w="286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de 3 bodegas en proceso de certificación en el Año 1</w:t>
            </w:r>
          </w:p>
        </w:tc>
        <w:tc>
          <w:tcPr>
            <w:tcW w:type="dxa" w:w="18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 de certificación INAVI-LSQA (6.2)</w:t>
            </w:r>
          </w:p>
        </w:tc>
      </w:tr>
      <w:tr>
        <w:trPr>
          <w:cantSplit/>
        </w:trPr>
        <w:tc>
          <w:tcPr>
            <w:tcW w:type="dxa" w:w="123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Gobernanza</w:t>
            </w:r>
          </w:p>
        </w:tc>
        <w:tc>
          <w:tcPr>
            <w:tcW w:type="dxa" w:w="25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Frecuencia de sesión del Consejo Consultivo Técnico</w:t>
            </w:r>
          </w:p>
        </w:tc>
        <w:tc>
          <w:tcPr>
            <w:tcW w:type="dxa" w:w="286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 (5.4)</w:t>
            </w:r>
          </w:p>
        </w:tc>
        <w:tc>
          <w:tcPr>
            <w:tcW w:type="dxa" w:w="18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Actas del 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las metas e instrumentos ya definidos en los Capítulos 1, 5 y 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tablero cumple una doble función: por un lado, opera como un mecanismo de rendición de cuentas del Comité de Gestión frente a las bodegas asociadas, el sector hotelero y las instituciones públicas que respaldan financieramente el proyecto (6.5.5); por otro, constituye el insumo empírico necesario para revisar, al cierre de cada temporada, los supuestos de demanda utilizados en las proyecciones financieras (6.5.2) y ajustar el plan de acción del año siguiente en función de resultados reales y no de estimaciones iniciales.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7. Reflexiones Finales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trabajo no agota, sin embargo, las líneas de indagación que el proyecto abre. Tal como se reconoce en el punto 3.3, el diagnóstico de mercado se apoyó en una muestra no probabilística y en un número acotado de entrevistas institucionales, por lo que una futura etapa de investigación debería ampliar el relevamiento de campo —en particular, la encuesta a turistas termales— antes de comprometer la inversión inicial descrita en el punto 6.5.5. Asimismo, quedan como líneas de trabajo futuro la evaluación de la incorporación de nuevas bodegas y productores artesanales de la región al circuito una vez consolidada la operación piloto con las tres bodegas fundadoras, y el estudio de la replicabilidad de este modelo asociativo de gobernanza en otras zonas del litoral norte uruguayo que enfrentan una desconexión similar entre su patrimonio productivo y su oferta turística consolidada. En síntesis, "La Ruta del Tannat: Cepa, origen e identidad" se presenta no como un producto turístico cerrado, sino como el punto de partida de un proceso de desarrollo territorial que deberá revisarse y ajustarse de forma continua a partir de la evidencia que la propia operación del circuito genere.</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Referencias Bibliográficas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Boisier, S. (2003). El desarrollo en su lugar (el territorio en la sociedad del conocimiento). Instituto de Geografía, Pontificia Universidad Católica de Chile.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Comercial e Industrial de Salto [CCIS]. (s.f.). Comisión Turismo. https://www.ccisalto.com.uy/comision-turismo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(s.f.-d). Diálogo estratégico abordó la situación del turismo y normativas para el sector. https://www.diariocambio.com.uy/dialogo-estrategico-abordo-la-situacion-del-turismo-y-normativas-para-el-sector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Elkington, J. (1997). Cannibals with forks: The triple bottom line of 21st century business. Capstone Publishing.</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Hernández Sampieri, R., Fernández Collado, C., &amp; Baptista Lucio, P. (2014). Metodología de la investigación (6.ª ed.). McGraw-Hill.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(2025). Reporte anual, Registro de Viñedos Uruguay 2025. https://www.inavi.com.uy/uploads/vinedo/744a55025d144bfb1b83e7f6e8c1966f451672c9.pdf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Kotler, P., &amp; Keller, K. L. (2016). Marketing management (15.ª ed.). Pearson.</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(2024). Se anunciaron beneficiarios de Fondos Concursables para el Desarrollo de la Oferta Enoturística. https://www.gub.uy/ministerio-turismo/comunicacion/noticias/se-anunciaron-beneficiarios-fondos-concursables-para-desarrollo-oferta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(2026a). Turismo receptivo: Cuarto trimestre 2025. Observatorio de Turismo Inteligente. https://www.gub.uy/ministerio-turismo/sites/ministerio-turismo/files/2026-04/Turismo_Receptivo_Cuarto_Trimestre_2025.pdf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(2026b). Turismo receptivo: Primer trimestre 2026. Observatorio de Turismo Inteligente. https://www.gub.uy/ministerio-turismo/sites/ministerio-turismo/files/2026-05/ReceptivoQ1_2026%20-%20R_1T26.pdf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(2026c). Turismo receptivo: Segundo trimestre 2026. Observatorio de Turismo Inteligente. https://www.gub.uy/ministerio-turismo/sites/ministerio-turismo/files/2026-08/R-2T2026.pdf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(2026a). Indicador de Precios Fronterizos, marzo 2026. https://www.ucu.edu.uy/Institucionales/INFORMES-uc1313/7434/Informe-IPF-MAR26.pdf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(2026b). Indicador de Precios Fronterizos, julio 2026. https://www.ucu.edu.uy/Institucionales/INFORMES-uc1313/8017/Informe-IPF-JUL26.pdf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Ostrom, E. (1990). Governing the commons: The evolution of institutions for collective action. Cambridge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Porter, M. E. (1980). Competitive strategy: Techniques for analyzing industries and competitors. Free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Prats, L. (1997). Antropología y patrimonio. Ariel.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Libertadores. (s.f.). El Rotary Club Salto Noreste realiza una nueva edición del Salón del Vino Fino en La Calandria. https://radiolibertadores.com/el-rotary-club-salto-noreste-realiza-una-nueva-edicion-del-salon-del-vino-fino/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Ries, A., &amp; Trout, J. (1981). Positioning: The battle for your mind. McGraw-Hill.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Tierra de Valores [INAVI &amp; Comisión de Patrimonio Cultural de la Nación]. (2024). 150 años de vitivinicultura en Uruguay. https://tierradevalores.com.uy/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(2015). Decreto N.° 278/015: Reglamentación de la Ley N.° 19.253 relativa a la regulación de la actividad turística (empresas de transporte turístico). Diario Oficial, 20 de octubre de 2015. IMPO. https://www.impo.com.uy/bases/decretos/278-2015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Anexos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1 — Ficha de Inventario de Activos Vitivinícolas e Históricos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4756"/>
        <w:gridCol w:w="3748"/>
      </w:tblGrid>
      <w:tr>
        <w:trPr>
          <w:cantSplit/>
        </w:trPr>
        <w:tc>
          <w:tcPr>
            <w:tcW w:type="dxa" w:w="47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Campo</w:t>
            </w:r>
          </w:p>
        </w:tc>
        <w:tc>
          <w:tcPr>
            <w:tcW w:type="dxa" w:w="374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31"/>
        <w:gridCol w:w="4596"/>
        <w:gridCol w:w="1977"/>
      </w:tblGrid>
      <w:tr>
        <w:trPr>
          <w:cantSplit/>
        </w:trPr>
        <w:tc>
          <w:tcPr>
            <w:tcW w:type="dxa" w:w="19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Variable conceptual</w:t>
            </w:r>
          </w:p>
        </w:tc>
        <w:tc>
          <w:tcPr>
            <w:tcW w:type="dxa" w:w="459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operativo</w:t>
            </w:r>
          </w:p>
        </w:tc>
        <w:tc>
          <w:tcPr>
            <w:tcW w:type="dxa" w:w="197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3 — Instrumentos de Recolección de Datos</w:t>
      </w:r>
    </w:p>
    <w:p>
      <w:pPr>
        <w:pStyle w:val="Heading3"/>
        <w:keepNext/>
        <w:spacing w:after="100" w:before="220" w:line="240" w:lineRule="auto"/>
        <w:jc w:val="left"/>
      </w:pPr>
      <w:r>
        <w:rPr>
          <w:rFonts w:ascii="Arial" w:cs="Arial" w:eastAsia="Arial" w:hAnsi="Arial"/>
          <w:b/>
          <w:bCs/>
          <w:i/>
          <w:iCs/>
          <w:color w:val="3b3b3b"/>
          <w:sz w:val="24"/>
          <w:szCs w:val="24"/>
        </w:rPr>
        <w:t xml:space="preserve">A. Cuestionario a turistas (versión imprimible)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____  Nivel educativo: ____  Grupo de viaje: solo/a / pareja / familia / amigos</w:t>
      </w:r>
    </w:p>
    <w:p>
      <w:pPr>
        <w:pStyle w:val="Heading3"/>
        <w:keepNext/>
        <w:spacing w:after="100" w:before="220" w:line="240" w:lineRule="auto"/>
        <w:jc w:val="left"/>
      </w:pPr>
      <w:r>
        <w:rPr>
          <w:rFonts w:ascii="Arial" w:cs="Arial" w:eastAsia="Arial" w:hAnsi="Arial"/>
          <w:b/>
          <w:bCs/>
          <w:i/>
          <w:iCs/>
          <w:color w:val="3b3b3b"/>
          <w:sz w:val="24"/>
          <w:szCs w:val="24"/>
        </w:rPr>
        <w:t xml:space="preserve">B. Guía de entrevista en profundidad (bodegas y Centro Vasco)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62"/>
        <w:gridCol w:w="3399"/>
        <w:gridCol w:w="4242"/>
      </w:tblGrid>
      <w:tr>
        <w:trPr>
          <w:cantSplit/>
        </w:trPr>
        <w:tc>
          <w:tcPr>
            <w:tcW w:type="dxa" w:w="86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Cruce</w:t>
            </w:r>
          </w:p>
        </w:tc>
        <w:tc>
          <w:tcPr>
            <w:tcW w:type="dxa" w:w="339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w:t>
            </w:r>
          </w:p>
        </w:tc>
        <w:tc>
          <w:tcPr>
            <w:tcW w:type="dxa" w:w="424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Acción derivada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 — Ofensiva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histórica + terroir + bodegas boutique, frente al crecimiento del mercado brasileño y los fondos concursables</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Postular al Fondo de Oferta Enoturística (MINTUR) y monitorear una futura convocatoria afín del Fondo MINTUR-ANDE; campaña dirigida a Rio Grande do Sul</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DO — Adaptación</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Brecha digital de las bodegas, resuelta con fondos no reembolsables; débil asociatividad, resuelta vía proyecto U-riharri</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motor de reservas compartido; activación del Espacio Harriague como “kilómetro cero”</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FA — Defensiva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Fuga de turistas hacia Entre Ríos por brecha cambiaria, enfrentada con diferenciación por autenticidad, no por precio</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Reposicionar la oferta termal como experiencia híbrida de bienestar, historia y alta enología</w:t>
            </w:r>
          </w:p>
        </w:tc>
      </w:tr>
      <w:tr>
        <w:trPr>
          <w:cantSplit/>
        </w:trPr>
        <w:tc>
          <w:tcPr>
            <w:tcW w:type="dxa" w:w="86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DA — Supervivencia</w:t>
            </w:r>
          </w:p>
        </w:tc>
        <w:tc>
          <w:tcPr>
            <w:tcW w:type="dxa" w:w="339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Marca departamental centrada en “Destino Termas” + deficiencias de caminería y señalética</w:t>
            </w:r>
          </w:p>
        </w:tc>
        <w:tc>
          <w:tcPr>
            <w:tcW w:type="dxa" w:w="424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Gestionar ante el MINTUR la señalética de Ruta 3; fondo de caminería rural (3% del ingreso neto, punto 6.2)</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0"/>
        <w:gridCol w:w="4468"/>
        <w:gridCol w:w="3156"/>
      </w:tblGrid>
      <w:tr>
        <w:trPr>
          <w:cantSplit/>
        </w:trPr>
        <w:tc>
          <w:tcPr>
            <w:tcW w:type="dxa" w:w="8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Estación</w:t>
            </w:r>
          </w:p>
        </w:tc>
        <w:tc>
          <w:tcPr>
            <w:tcW w:type="dxa" w:w="4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Guión interpretativo (síntesis)</w:t>
            </w:r>
          </w:p>
        </w:tc>
        <w:tc>
          <w:tcPr>
            <w:tcW w:type="dxa" w:w="31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Grupo reducido; adaptar el taller práctico para participación desde silla de ruedas</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6 — Plantilla de Cálculo Financiero y Modelo de Cuestionario QR</w:t>
      </w:r>
    </w:p>
    <w:p>
      <w:pPr>
        <w:pStyle w:val="Heading3"/>
        <w:keepNext/>
        <w:spacing w:after="100" w:before="220" w:line="240" w:lineRule="auto"/>
        <w:jc w:val="left"/>
      </w:pPr>
      <w:r>
        <w:rPr>
          <w:rFonts w:ascii="Arial" w:cs="Arial" w:eastAsia="Arial" w:hAnsi="Arial"/>
          <w:b/>
          <w:bCs/>
          <w:i/>
          <w:iCs/>
          <w:color w:val="3b3b3b"/>
          <w:sz w:val="24"/>
          <w:szCs w:val="24"/>
        </w:rPr>
        <w:t xml:space="preserve">A. Detalle de fórmulas financieras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Punto de equilibrio: PE = CF ÷ (PVU − CVU) = 24.000 ÷ (45 − 30) = 1.600 turistas/año.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ROI Año 1: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00" w:before="220" w:line="240" w:lineRule="auto"/>
        <w:jc w:val="left"/>
      </w:pPr>
      <w:r>
        <w:rPr>
          <w:rFonts w:ascii="Arial" w:cs="Arial" w:eastAsia="Arial" w:hAnsi="Arial"/>
          <w:b/>
          <w:bCs/>
          <w:i/>
          <w:iCs/>
          <w:color w:val="3b3b3b"/>
          <w:sz w:val="24"/>
          <w:szCs w:val="24"/>
        </w:rPr>
        <w:t xml:space="preserve">B. Modelo de cuestionario QR de satisfacción (post-visita)</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Sugerencias para mejorar la experiencia: ____</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footerReference w:type="default" r:id="rId8"/>
      <w:pgSz w:w="11906" w:h="16838" w:orient="portrait"/>
      <w:pgMar w:top="1417" w:right="1701" w:bottom="1417" w:left="1701"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6"/>
        <w:szCs w:val="16"/>
      </w:rPr>
      <w:t xml:space="preserve">La Ruta del Tannat — Proyecto de Egreso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line="240" w:lineRule="auto"/>
      <w:jc w:val="center"/>
    </w:pPr>
    <w:r>
      <w:drawing>
        <wp:inline distT="0" distB="0" distL="0" distR="0">
          <wp:extent cx="19050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76225"/>
                  </a:xfrm>
                  <a:prstGeom prst="rect">
                    <a:avLst/>
                  </a:prstGeom>
                </pic:spPr>
              </pic:pic>
            </a:graphicData>
          </a:graphic>
        </wp:inline>
      </w:drawing>
    </w:r>
    <w:r>
      <w:rPr>
        <w:rFonts w:ascii="Arial" w:cs="Arial" w:eastAsia="Arial" w:hAnsi="Arial"/>
        <w:b w:val="false"/>
        <w:bCs w:val="false"/>
        <w:i w:val="false"/>
        <w:iCs w:val="false"/>
        <w:color w:val="000000"/>
        <w:sz w:val="24"/>
        <w:szCs w:val="24"/>
      </w:rPr>
      <w:t xml:space="preserve">      </w:t>
    </w: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95300"/>
                  </a:xfrm>
                  <a:prstGeom prst="rect">
                    <a:avLst/>
                  </a:prstGeom>
                </pic:spPr>
              </pic:pic>
            </a:graphicData>
          </a:graphic>
        </wp:inline>
      </w:drawing>
    </w:r>
  </w:p>
  <w:p>
    <w:pPr>
      <w:pBdr>
        <w:bottom w:val="single" w:color="5b2333" w:sz="6" w:space="4"/>
      </w:pBdr>
      <w:spacing w:after="0" w:line="240" w:lineRule="auto"/>
      <w:jc w:val="center"/>
    </w:pPr>
    <w:r>
      <w:rPr>
        <w:rFonts w:ascii="Arial" w:cs="Arial" w:eastAsia="Arial" w:hAnsi="Arial"/>
        <w:b/>
        <w:bCs/>
        <w:i w:val="false"/>
        <w:iCs w:val="false"/>
        <w:color w:val="3b1522"/>
        <w:sz w:val="16"/>
        <w:szCs w:val="16"/>
      </w:rPr>
      <w:t xml:space="preserve">PROGRAMA DE EDUCACIÓN TERCIARIA — Polo Educativo Tecnológico, Salto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20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2ef38f78c3a3cc8d5dfa593787353ea0b26dfb.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f08dbb1e9a24aace6cf0c5b1548797d31f6ee7d.png"/><Relationship Id="rId1" Type="http://schemas.openxmlformats.org/officeDocument/2006/relationships/image" Target="media/ab8c84ada8e10c322b6ba577a5636542bab3007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2026-09-04T20:33:56.964Z</dcterms:created>
  <dcterms:modified xsi:type="dcterms:W3CDTF">2026-09-04T20:33:56.966Z</dcterms:modified>
</cp:coreProperties>
</file>

<file path=docProps/custom.xml><?xml version="1.0" encoding="utf-8"?>
<Properties xmlns="http://schemas.openxmlformats.org/officeDocument/2006/custom-properties" xmlns:vt="http://schemas.openxmlformats.org/officeDocument/2006/docPropsVTypes"/>
</file>