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5B5B5B"/>
          <w:sz w:val="20"/>
          <w:szCs w:val="20"/>
        </w:rPr>
        <w:t xml:space="preserve">TECNICATURA EN DISEÑO DE ITINERARIOS TURÍSTICOS SOSTENIBLES</w:t>
      </w:r>
    </w:p>
    <w:p>
      <w:pPr>
        <w:spacing w:after="500"/>
        <w:jc w:val="center"/>
      </w:pPr>
      <w:r>
        <w:rPr>
          <w:color w:val="5B5B5B"/>
          <w:sz w:val="20"/>
          <w:szCs w:val="20"/>
        </w:rPr>
        <w:t xml:space="preserve">Polo Educativo Tecnológico Salto · DGETP - UTU</w:t>
      </w:r>
    </w:p>
    <w:p>
      <w:pPr>
        <w:spacing w:after="100"/>
        <w:jc w:val="center"/>
      </w:pPr>
      <w:r>
        <w:rPr>
          <w:rFonts w:ascii="Georgia" w:cs="Georgia" w:eastAsia="Georgia" w:hAnsi="Georgia"/>
          <w:b/>
          <w:bCs/>
          <w:color w:val="6B1220"/>
          <w:sz w:val="64"/>
          <w:szCs w:val="64"/>
        </w:rPr>
        <w:t xml:space="preserve">LA RUTA DEL TANNAT</w:t>
      </w:r>
    </w:p>
    <w:p>
      <w:pPr>
        <w:spacing w:after="700"/>
        <w:jc w:val="center"/>
      </w:pPr>
      <w:r>
        <w:rPr>
          <w:rFonts w:ascii="Georgia" w:cs="Georgia" w:eastAsia="Georgia" w:hAnsi="Georgia"/>
          <w:i/>
          <w:iCs/>
          <w:color w:val="9C7A28"/>
          <w:sz w:val="32"/>
          <w:szCs w:val="32"/>
        </w:rPr>
        <w:t xml:space="preserve">Cepa, origen e identidad</w:t>
      </w:r>
    </w:p>
    <w:p>
      <w:pPr>
        <w:pBdr>
          <w:top w:val="single" w:color="9C7A28" w:sz="4" w:space="8"/>
        </w:pBdr>
        <w:spacing w:after="60"/>
        <w:jc w:val="center"/>
      </w:pPr>
      <w:r>
        <w:rPr>
          <w:b/>
          <w:bCs/>
          <w:color w:val="3A0A17"/>
          <w:sz w:val="22"/>
          <w:szCs w:val="22"/>
        </w:rPr>
        <w:t xml:space="preserve">DOCUMENTO DE PRESENTACIÓN Y FUNDAMENTACIÓN ANTE TRIBUNAL</w:t>
      </w:r>
    </w:p>
    <w:p>
      <w:pPr>
        <w:spacing w:after="900" w:before="100"/>
        <w:jc w:val="center"/>
      </w:pPr>
      <w:r>
        <w:rPr>
          <w:i/>
          <w:iCs/>
          <w:color w:val="5B5B5B"/>
          <w:sz w:val="20"/>
          <w:szCs w:val="20"/>
        </w:rPr>
        <w:t xml:space="preserve">Justificación y desarrollo de los componentes clave del sitio web del proyecto</w:t>
      </w:r>
    </w:p>
    <w:p>
      <w:pPr>
        <w:spacing w:after="40"/>
        <w:jc w:val="center"/>
      </w:pPr>
      <w:r>
        <w:rPr>
          <w:b/>
          <w:bCs/>
          <w:color w:val="6B1220"/>
          <w:sz w:val="20"/>
          <w:szCs w:val="20"/>
        </w:rPr>
        <w:t xml:space="preserve">Equipo del proyecto</w:t>
      </w:r>
    </w:p>
    <w:p>
      <w:pPr>
        <w:spacing w:after="400"/>
        <w:jc w:val="center"/>
      </w:pPr>
      <w:r>
        <w:rPr>
          <w:color w:val="222222"/>
          <w:sz w:val="22"/>
          <w:szCs w:val="22"/>
        </w:rPr>
        <w:t xml:space="preserve">Federico Camara  ·  Homero Texeira  ·  Anthony Moreira</w:t>
      </w:r>
    </w:p>
    <w:p>
      <w:pPr>
        <w:spacing w:after="40"/>
        <w:jc w:val="center"/>
      </w:pPr>
      <w:r>
        <w:rPr>
          <w:color w:val="5B5B5B"/>
          <w:sz w:val="18"/>
          <w:szCs w:val="18"/>
        </w:rPr>
        <w:t xml:space="preserve">Sitio web en producción</w:t>
      </w:r>
    </w:p>
    <w:p>
      <w:pPr>
        <w:spacing w:after="900"/>
        <w:jc w:val="center"/>
      </w:pPr>
      <w:r>
        <w:rPr>
          <w:color w:val="9C7A28"/>
          <w:sz w:val="18"/>
          <w:szCs w:val="18"/>
        </w:rPr>
        <w:t xml:space="preserve">https://homerotexeira04-ship-it.github.io/ruta-del-tannat/</w:t>
      </w:r>
    </w:p>
    <w:p>
      <w:pPr>
        <w:jc w:val="center"/>
      </w:pPr>
      <w:r>
        <w:rPr>
          <w:color w:val="5B5B5B"/>
          <w:sz w:val="18"/>
          <w:szCs w:val="18"/>
        </w:rPr>
        <w:t xml:space="preserve">Salto, Uruguay · Setiembre de 2026</w:t>
      </w:r>
    </w:p>
    <w:p>
      <w:r>
        <w:br w:type="page"/>
      </w:r>
    </w:p>
    <w:p>
      <w:pPr>
        <w:pStyle w:val="Heading1"/>
        <w:pBdr>
          <w:bottom w:val="single" w:color="9C7A28" w:sz="6" w:space="4"/>
        </w:pBdr>
        <w:spacing w:after="200" w:before="420"/>
      </w:pPr>
      <w:r>
        <w:rPr>
          <w:rFonts w:ascii="Georgia" w:cs="Georgia" w:eastAsia="Georgia" w:hAnsi="Georgia"/>
          <w:b/>
          <w:bCs/>
          <w:color w:val="6B1220"/>
          <w:sz w:val="30"/>
          <w:szCs w:val="30"/>
        </w:rPr>
        <w:t xml:space="preserve">Índice</w:t>
      </w:r>
    </w:p>
    <w:p>
      <w:pPr>
        <w:spacing w:after="200"/>
      </w:pPr>
      <w:r>
        <w:rPr>
          <w:i/>
          <w:iCs/>
          <w:color w:val="5B5B5B"/>
          <w:sz w:val="18"/>
          <w:szCs w:val="18"/>
        </w:rPr>
        <w:t xml:space="preserve">Este índice se genera a partir de los títulos del documento. Para actualizar la numeración de página en Word: clic derecho sobre el índice → "Actualizar campo" (o F9).</w:t>
      </w:r>
    </w:p>
    <w:sdt>
      <w:sdtPr>
        <w:alias w:val="Índice"/>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9C7A28" w:sz="6" w:space="4"/>
        </w:pBdr>
        <w:spacing w:after="200" w:before="420"/>
      </w:pPr>
      <w:r>
        <w:rPr>
          <w:rFonts w:ascii="Georgia" w:cs="Georgia" w:eastAsia="Georgia" w:hAnsi="Georgia"/>
          <w:b/>
          <w:bCs/>
          <w:color w:val="6B1220"/>
          <w:sz w:val="30"/>
          <w:szCs w:val="30"/>
        </w:rPr>
        <w:t xml:space="preserve">Introducción</w:t>
      </w:r>
    </w:p>
    <w:p>
      <w:pPr>
        <w:spacing w:after="160" w:line="300"/>
        <w:jc w:val="both"/>
      </w:pPr>
      <w:r>
        <w:rPr>
          <w:b w:val="false"/>
          <w:bCs w:val="false"/>
          <w:i w:val="false"/>
          <w:iCs w:val="false"/>
          <w:color w:val="222222"/>
          <w:sz w:val="22"/>
          <w:szCs w:val="22"/>
        </w:rPr>
        <w:t xml:space="preserve">Este documento acompaña la defensa oral del proyecto "La Ruta del Tannat" ante el tribunal evaluador. Su objetivo es desarrollar y justificar, con criterio de diseño turístico y técnico, las decisiones detrás de seis componentes centrales del sitio web: la sección de apertura ("Cepa, origen e identidad"), la ficha de la Bodega Bertolini &amp; Broglio, la sección de estacionalidad ("¿Cuándo Vivir la Experiencia?"), los paquetes y visitas guiadas, la sección "Voces del Circuito" y la declaración de Misión y Visión del proyecto.</w:t>
      </w:r>
    </w:p>
    <w:p>
      <w:pPr>
        <w:spacing w:after="160" w:line="300"/>
        <w:jc w:val="both"/>
      </w:pPr>
      <w:r>
        <w:rPr>
          <w:b w:val="false"/>
          <w:bCs w:val="false"/>
          <w:i w:val="false"/>
          <w:iCs w:val="false"/>
          <w:color w:val="222222"/>
          <w:sz w:val="22"/>
          <w:szCs w:val="22"/>
        </w:rPr>
        <w:t xml:space="preserve">A este desarrollo se suma un apartado técnico que describe cómo está construido el sitio: arquitectura, integraciones reales, accesibilidad, rendimiento y los criterios de veracidad de contenido que guiaron cada decisión editorial. La intención es que el tribunal pueda evaluar no solo el resultado visible, sino el razonamiento de diseño, turístico y técnico que lo sostiene.</w:t>
      </w:r>
    </w:p>
    <w:p>
      <w:pPr>
        <w:spacing w:after="160" w:line="300"/>
        <w:jc w:val="both"/>
      </w:pPr>
      <w:r>
        <w:rPr>
          <w:b w:val="false"/>
          <w:bCs w:val="false"/>
          <w:i w:val="false"/>
          <w:iCs w:val="false"/>
          <w:color w:val="222222"/>
          <w:sz w:val="22"/>
          <w:szCs w:val="22"/>
        </w:rPr>
        <w:t xml:space="preserve">El sitio está publicado y en funcionamiento en https://homerotexeira04-ship-it.github.io/ruta-del-tannat/, y todo el contenido descrito a continuación corresponde exactamente a lo que hoy puede visitarse en esa dirección.</w:t>
      </w:r>
    </w:p>
    <w:p>
      <w:r>
        <w:br w:type="page"/>
      </w:r>
    </w:p>
    <w:p>
      <w:pPr>
        <w:pStyle w:val="Heading1"/>
        <w:pBdr>
          <w:bottom w:val="single" w:color="9C7A28" w:sz="6" w:space="4"/>
        </w:pBdr>
        <w:spacing w:after="200" w:before="420"/>
      </w:pPr>
      <w:r>
        <w:rPr>
          <w:rFonts w:ascii="Georgia" w:cs="Georgia" w:eastAsia="Georgia" w:hAnsi="Georgia"/>
          <w:b/>
          <w:bCs/>
          <w:color w:val="6B1220"/>
          <w:sz w:val="30"/>
          <w:szCs w:val="30"/>
        </w:rPr>
        <w:t xml:space="preserve">1. Cepa, Origen e Identidad — La Sección de Apertura</w:t>
      </w:r>
    </w:p>
    <w:p>
      <w:pPr>
        <w:pStyle w:val="Heading2"/>
        <w:spacing w:after="120" w:before="260"/>
      </w:pPr>
      <w:r>
        <w:rPr>
          <w:rFonts w:ascii="Georgia" w:cs="Georgia" w:eastAsia="Georgia" w:hAnsi="Georgia"/>
          <w:b/>
          <w:bCs/>
          <w:color w:val="3A0A17"/>
          <w:sz w:val="24"/>
          <w:szCs w:val="24"/>
        </w:rPr>
        <w:t xml:space="preserve">Qué es</w:t>
      </w:r>
    </w:p>
    <w:p>
      <w:pPr>
        <w:spacing w:after="160" w:line="300"/>
        <w:jc w:val="both"/>
      </w:pPr>
      <w:r>
        <w:rPr>
          <w:b w:val="false"/>
          <w:bCs w:val="false"/>
          <w:i w:val="false"/>
          <w:iCs w:val="false"/>
          <w:color w:val="222222"/>
          <w:sz w:val="22"/>
          <w:szCs w:val="22"/>
        </w:rPr>
        <w:t xml:space="preserve">Es la primera pantalla del sitio ("hero"): el título "La Ruta del Tannat" junto al subtítulo "Cepa, origen e identidad", una fotografía real de viñedo en luz de otoño, una frase de valor que resume el circuito, dos botones de acción ("Explorar las 4 Estaciones" y "Ver Paquetes y Tarifas") y una franja de tres micro-pruebas de confianza: "4 Bodegas Oficiales", "Guías enoturísticos UTU" y "Sostenible &amp; Certificado".</w:t>
      </w:r>
    </w:p>
    <w:p>
      <w:pPr>
        <w:pStyle w:val="Heading2"/>
        <w:spacing w:after="120" w:before="260"/>
      </w:pPr>
      <w:r>
        <w:rPr>
          <w:rFonts w:ascii="Georgia" w:cs="Georgia" w:eastAsia="Georgia" w:hAnsi="Georgia"/>
          <w:b/>
          <w:bCs/>
          <w:color w:val="3A0A17"/>
          <w:sz w:val="24"/>
          <w:szCs w:val="24"/>
        </w:rPr>
        <w:t xml:space="preserve">Justificación del diseño</w:t>
      </w:r>
    </w:p>
    <w:p>
      <w:pPr>
        <w:spacing w:after="160" w:line="300"/>
        <w:jc w:val="both"/>
      </w:pPr>
      <w:r>
        <w:rPr>
          <w:b w:val="false"/>
          <w:bCs w:val="false"/>
          <w:i w:val="false"/>
          <w:iCs w:val="false"/>
          <w:color w:val="222222"/>
          <w:sz w:val="22"/>
          <w:szCs w:val="22"/>
        </w:rPr>
        <w:t xml:space="preserve">En diseño de sitios de turismo, los primeros cinco segundos de una página de aterrizaje deciden si el visitante sigue navegando o se va. Por eso esta sección concentra, en una sola pantalla, las tres preguntas que cualquier viajero se hace de inmediato: qué es esto, por qué es auténtico y qué puedo hacer ahora mismo.</w:t>
      </w:r>
    </w:p>
    <w:p>
      <w:pPr>
        <w:pStyle w:val="ListParagraph"/>
        <w:numPr>
          <w:ilvl w:val="0"/>
          <w:numId w:val="2"/>
        </w:numPr>
        <w:spacing w:after="90" w:line="280"/>
      </w:pPr>
      <w:r>
        <w:rPr>
          <w:b/>
          <w:bCs/>
          <w:color w:val="3A0A17"/>
          <w:sz w:val="21"/>
          <w:szCs w:val="21"/>
        </w:rPr>
        <w:t xml:space="preserve">Identidad antes que decoración — </w:t>
      </w:r>
      <w:r>
        <w:rPr>
          <w:color w:val="222222"/>
          <w:sz w:val="21"/>
          <w:szCs w:val="21"/>
        </w:rPr>
        <w:t xml:space="preserve">el subtítulo "Cepa, origen e identidad" no es una frase de relleno: ancla todo el proyecto al hecho histórico de 1874, cuando Pascual Harriague plantó las primeras cepas de Tannat en Salto — el dato que sostiene el resto del sitio (secciones de Historia, El Pionero y Estaciones).</w:t>
      </w:r>
    </w:p>
    <w:p>
      <w:pPr>
        <w:pStyle w:val="ListParagraph"/>
        <w:numPr>
          <w:ilvl w:val="0"/>
          <w:numId w:val="2"/>
        </w:numPr>
        <w:spacing w:after="90" w:line="280"/>
      </w:pPr>
      <w:r>
        <w:rPr>
          <w:b/>
          <w:bCs/>
          <w:color w:val="3A0A17"/>
          <w:sz w:val="21"/>
          <w:szCs w:val="21"/>
        </w:rPr>
        <w:t xml:space="preserve">Doble llamado a la acción — </w:t>
      </w:r>
      <w:r>
        <w:rPr>
          <w:color w:val="222222"/>
          <w:sz w:val="21"/>
          <w:szCs w:val="21"/>
        </w:rPr>
        <w:t xml:space="preserve">se ofrecen dos caminos distintos a propósito: "Explorar" para quien todavía está decidiendo, y "Ver Paquetes" para quien ya quiere reservar. Es una técnica estándar de páginas de conversión turística: no forzar a todos los visitantes por el mismo camino.</w:t>
      </w:r>
    </w:p>
    <w:p>
      <w:pPr>
        <w:pStyle w:val="ListParagraph"/>
        <w:numPr>
          <w:ilvl w:val="0"/>
          <w:numId w:val="2"/>
        </w:numPr>
        <w:spacing w:after="90" w:line="280"/>
      </w:pPr>
      <w:r>
        <w:rPr>
          <w:b/>
          <w:bCs/>
          <w:color w:val="3A0A17"/>
          <w:sz w:val="21"/>
          <w:szCs w:val="21"/>
        </w:rPr>
        <w:t xml:space="preserve">Prueba social institucional, no genérica — </w:t>
      </w:r>
      <w:r>
        <w:rPr>
          <w:color w:val="222222"/>
          <w:sz w:val="21"/>
          <w:szCs w:val="21"/>
        </w:rPr>
        <w:t xml:space="preserve">en vez de frases vacías tipo "la mejor experiencia", la franja de confianza usa hechos verificables: cuatro bodegas reales, guías formados en la propia UTU y certificación de sostenibilidad — credibilidad que se puede constatar más abajo en el propio sitio.</w:t>
      </w:r>
    </w:p>
    <w:p>
      <w:pPr>
        <w:pStyle w:val="ListParagraph"/>
        <w:numPr>
          <w:ilvl w:val="0"/>
          <w:numId w:val="2"/>
        </w:numPr>
        <w:spacing w:after="90" w:line="280"/>
      </w:pPr>
      <w:r>
        <w:rPr>
          <w:b/>
          <w:bCs/>
          <w:color w:val="3A0A17"/>
          <w:sz w:val="21"/>
          <w:szCs w:val="21"/>
        </w:rPr>
        <w:t xml:space="preserve">Fotografía real y acreditada — </w:t>
      </w:r>
      <w:r>
        <w:rPr>
          <w:color w:val="222222"/>
          <w:sz w:val="21"/>
          <w:szCs w:val="21"/>
        </w:rPr>
        <w:t xml:space="preserve">la imagen de fondo es una fotografía de viñedo verificada (Wikimedia Commons, licencia CC BY-SA, con crédito visible al pie), no un banco de imágenes genérico sin trazabilidad.</w:t>
      </w:r>
    </w:p>
    <w:p>
      <w:pPr>
        <w:pStyle w:val="Heading2"/>
        <w:spacing w:after="120" w:before="260"/>
      </w:pPr>
      <w:r>
        <w:rPr>
          <w:rFonts w:ascii="Georgia" w:cs="Georgia" w:eastAsia="Georgia" w:hAnsi="Georgia"/>
          <w:b/>
          <w:bCs/>
          <w:color w:val="3A0A17"/>
          <w:sz w:val="24"/>
          <w:szCs w:val="24"/>
        </w:rPr>
        <w:t xml:space="preserve">Datos clave que sostiene esta sección</w:t>
      </w:r>
    </w:p>
    <w:p>
      <w:pPr>
        <w:pStyle w:val="ListParagraph"/>
        <w:numPr>
          <w:ilvl w:val="0"/>
          <w:numId w:val="2"/>
        </w:numPr>
        <w:spacing w:after="90" w:line="280"/>
      </w:pPr>
      <w:r>
        <w:rPr>
          <w:b/>
          <w:bCs/>
          <w:color w:val="3A0A17"/>
          <w:sz w:val="21"/>
          <w:szCs w:val="21"/>
        </w:rPr>
        <w:t xml:space="preserve"/>
      </w:r>
      <w:r>
        <w:rPr>
          <w:color w:val="222222"/>
          <w:sz w:val="21"/>
          <w:szCs w:val="21"/>
        </w:rPr>
        <w:t xml:space="preserve">Año de referencia: 1874, plantación de las primeras cepas de Tannat por Pascual Harriague en Salto.</w:t>
      </w:r>
    </w:p>
    <w:p>
      <w:pPr>
        <w:pStyle w:val="ListParagraph"/>
        <w:numPr>
          <w:ilvl w:val="0"/>
          <w:numId w:val="2"/>
        </w:numPr>
        <w:spacing w:after="90" w:line="280"/>
      </w:pPr>
      <w:r>
        <w:rPr>
          <w:b/>
          <w:bCs/>
          <w:color w:val="3A0A17"/>
          <w:sz w:val="21"/>
          <w:szCs w:val="21"/>
        </w:rPr>
        <w:t xml:space="preserve"/>
      </w:r>
      <w:r>
        <w:rPr>
          <w:color w:val="222222"/>
          <w:sz w:val="21"/>
          <w:szCs w:val="21"/>
        </w:rPr>
        <w:t xml:space="preserve">Cuatro bodegas oficiales integran el circuito: Bodega Harriague (Punto Cero), Bodega Salto Chico, Bertolini &amp; Broglio y Mori Maglio Wines.</w:t>
      </w:r>
    </w:p>
    <w:p>
      <w:pPr>
        <w:pStyle w:val="ListParagraph"/>
        <w:numPr>
          <w:ilvl w:val="0"/>
          <w:numId w:val="2"/>
        </w:numPr>
        <w:spacing w:after="90" w:line="280"/>
      </w:pPr>
      <w:r>
        <w:rPr>
          <w:b/>
          <w:bCs/>
          <w:color w:val="3A0A17"/>
          <w:sz w:val="21"/>
          <w:szCs w:val="21"/>
        </w:rPr>
        <w:t xml:space="preserve"/>
      </w:r>
      <w:r>
        <w:rPr>
          <w:color w:val="222222"/>
          <w:sz w:val="21"/>
          <w:szCs w:val="21"/>
        </w:rPr>
        <w:t xml:space="preserve">Los guías del circuito se forman en la Tecnicatura en Diseño de Itinerarios Turísticos Sostenibles de UTU — la misma carrera que sostiene este proyecto.</w:t>
      </w:r>
    </w:p>
    <w:p>
      <w:r>
        <w:br w:type="page"/>
      </w:r>
    </w:p>
    <w:p>
      <w:pPr>
        <w:pStyle w:val="Heading1"/>
        <w:pBdr>
          <w:bottom w:val="single" w:color="9C7A28" w:sz="6" w:space="4"/>
        </w:pBdr>
        <w:spacing w:after="200" w:before="420"/>
      </w:pPr>
      <w:r>
        <w:rPr>
          <w:rFonts w:ascii="Georgia" w:cs="Georgia" w:eastAsia="Georgia" w:hAnsi="Georgia"/>
          <w:b/>
          <w:bCs/>
          <w:color w:val="6B1220"/>
          <w:sz w:val="30"/>
          <w:szCs w:val="30"/>
        </w:rPr>
        <w:t xml:space="preserve">2. Estación 03 — Bodega Bertolini &amp; Broglio</w:t>
      </w:r>
    </w:p>
    <w:p>
      <w:pPr>
        <w:pStyle w:val="Heading2"/>
        <w:spacing w:after="120" w:before="260"/>
      </w:pPr>
      <w:r>
        <w:rPr>
          <w:rFonts w:ascii="Georgia" w:cs="Georgia" w:eastAsia="Georgia" w:hAnsi="Georgia"/>
          <w:b/>
          <w:bCs/>
          <w:color w:val="3A0A17"/>
          <w:sz w:val="24"/>
          <w:szCs w:val="24"/>
        </w:rPr>
        <w:t xml:space="preserve">Qué es</w:t>
      </w:r>
    </w:p>
    <w:p>
      <w:pPr>
        <w:spacing w:after="160" w:line="300"/>
        <w:jc w:val="both"/>
      </w:pPr>
      <w:r>
        <w:rPr>
          <w:b w:val="false"/>
          <w:bCs w:val="false"/>
          <w:i w:val="false"/>
          <w:iCs w:val="false"/>
          <w:color w:val="222222"/>
          <w:sz w:val="22"/>
          <w:szCs w:val="22"/>
        </w:rPr>
        <w:t xml:space="preserve">Es la tercera de las cuatro "estaciones" del circuito: una tarjeta con foto, ubicación y descripción breve que, al hacer clic, abre una ficha ampliada (modal) con reseña histórica, tres puntos destacados de la visita, coordenadas GPS reales enlazadas a Google Maps y un botón de reserva directa.</w:t>
      </w:r>
    </w:p>
    <w:p>
      <w:pPr>
        <w:pStyle w:val="Heading2"/>
        <w:spacing w:after="120" w:before="260"/>
      </w:pPr>
      <w:r>
        <w:rPr>
          <w:rFonts w:ascii="Georgia" w:cs="Georgia" w:eastAsia="Georgia" w:hAnsi="Georgia"/>
          <w:b/>
          <w:bCs/>
          <w:color w:val="3A0A17"/>
          <w:sz w:val="24"/>
          <w:szCs w:val="24"/>
        </w:rPr>
        <w:t xml:space="preserve">Justificación del diseño</w:t>
      </w:r>
    </w:p>
    <w:p>
      <w:pPr>
        <w:spacing w:after="160" w:line="300"/>
        <w:jc w:val="both"/>
      </w:pPr>
      <w:r>
        <w:rPr>
          <w:b w:val="false"/>
          <w:bCs w:val="false"/>
          <w:i w:val="false"/>
          <w:iCs w:val="false"/>
          <w:color w:val="222222"/>
          <w:sz w:val="22"/>
          <w:szCs w:val="22"/>
        </w:rPr>
        <w:t xml:space="preserve">Bertolini &amp; Broglio se ubica deliberadamente como tercera parada del circuito, entre las bodegas fundacionales (Harriague, Salto Chico) y el cierre en Mori Maglio: representa el salto de la bodega histórica a la bodega boutique con tecnología de vinificación contemporánea, mostrando que la Ruta del Tannat no es solo patrimonio del siglo XIX, sino una industria viva y en desarrollo.</w:t>
      </w:r>
    </w:p>
    <w:p>
      <w:pPr>
        <w:pStyle w:val="ListParagraph"/>
        <w:numPr>
          <w:ilvl w:val="0"/>
          <w:numId w:val="2"/>
        </w:numPr>
        <w:spacing w:after="90" w:line="280"/>
      </w:pPr>
      <w:r>
        <w:rPr>
          <w:b/>
          <w:bCs/>
          <w:color w:val="3A0A17"/>
          <w:sz w:val="21"/>
          <w:szCs w:val="21"/>
        </w:rPr>
        <w:t xml:space="preserve">De la genérica a la específica — </w:t>
      </w:r>
      <w:r>
        <w:rPr>
          <w:color w:val="222222"/>
          <w:sz w:val="21"/>
          <w:szCs w:val="21"/>
        </w:rPr>
        <w:t xml:space="preserve">en lugar de una descripción de relleno, la ficha usa datos productivos concretos y verificables: 19 hectáreas de viñedo conducido en parrales, pionera en vinificación por gravedad y creadora del Tannat Exotic, distinguido con medallas de oro en concursos internacionales.</w:t>
      </w:r>
    </w:p>
    <w:p>
      <w:pPr>
        <w:pStyle w:val="ListParagraph"/>
        <w:numPr>
          <w:ilvl w:val="0"/>
          <w:numId w:val="2"/>
        </w:numPr>
        <w:spacing w:after="90" w:line="280"/>
      </w:pPr>
      <w:r>
        <w:rPr>
          <w:b/>
          <w:bCs/>
          <w:color w:val="3A0A17"/>
          <w:sz w:val="21"/>
          <w:szCs w:val="21"/>
        </w:rPr>
        <w:t xml:space="preserve">Ubicación real y accionable — </w:t>
      </w:r>
      <w:r>
        <w:rPr>
          <w:color w:val="222222"/>
          <w:sz w:val="21"/>
          <w:szCs w:val="21"/>
        </w:rPr>
        <w:t xml:space="preserve">la tarjeta indica la dirección exacta (Ruta 3 Km 468.500, Parada Daymán) y el enlace de Google Maps usa las coordenadas GPS reales del establecimiento, confirmadas contra su dirección publicada — no un pin aproximado.</w:t>
      </w:r>
    </w:p>
    <w:p>
      <w:pPr>
        <w:pStyle w:val="ListParagraph"/>
        <w:numPr>
          <w:ilvl w:val="0"/>
          <w:numId w:val="2"/>
        </w:numPr>
        <w:spacing w:after="90" w:line="280"/>
      </w:pPr>
      <w:r>
        <w:rPr>
          <w:b/>
          <w:bCs/>
          <w:color w:val="3A0A17"/>
          <w:sz w:val="21"/>
          <w:szCs w:val="21"/>
        </w:rPr>
        <w:t xml:space="preserve">De la información a la reserva — </w:t>
      </w:r>
      <w:r>
        <w:rPr>
          <w:color w:val="222222"/>
          <w:sz w:val="21"/>
          <w:szCs w:val="21"/>
        </w:rPr>
        <w:t xml:space="preserve">cada ficha de estación termina en un botón "Reservar Visita a esta Estación", conectando el contenido informativo directamente con la función transaccional del sitio (a través de WhatsApp), sin que el visitante tenga que buscar cómo contactar.</w:t>
      </w:r>
    </w:p>
    <w:p>
      <w:pPr>
        <w:pStyle w:val="Heading2"/>
        <w:spacing w:after="120" w:before="260"/>
      </w:pPr>
      <w:r>
        <w:rPr>
          <w:rFonts w:ascii="Georgia" w:cs="Georgia" w:eastAsia="Georgia" w:hAnsi="Georgia"/>
          <w:b/>
          <w:bCs/>
          <w:color w:val="3A0A17"/>
          <w:sz w:val="24"/>
          <w:szCs w:val="24"/>
        </w:rPr>
        <w:t xml:space="preserve">Datos clave de la ficha</w:t>
      </w:r>
    </w:p>
    <w:p>
      <w:pPr>
        <w:pStyle w:val="ListParagraph"/>
        <w:numPr>
          <w:ilvl w:val="0"/>
          <w:numId w:val="2"/>
        </w:numPr>
        <w:spacing w:after="90" w:line="280"/>
      </w:pPr>
      <w:r>
        <w:rPr>
          <w:b/>
          <w:bCs/>
          <w:color w:val="3A0A17"/>
          <w:sz w:val="21"/>
          <w:szCs w:val="21"/>
        </w:rPr>
        <w:t xml:space="preserve"/>
      </w:r>
      <w:r>
        <w:rPr>
          <w:color w:val="222222"/>
          <w:sz w:val="21"/>
          <w:szCs w:val="21"/>
        </w:rPr>
        <w:t xml:space="preserve">Superficie: 19 hectáreas de viñedo, conducción en parrales.</w:t>
      </w:r>
    </w:p>
    <w:p>
      <w:pPr>
        <w:pStyle w:val="ListParagraph"/>
        <w:numPr>
          <w:ilvl w:val="0"/>
          <w:numId w:val="2"/>
        </w:numPr>
        <w:spacing w:after="90" w:line="280"/>
      </w:pPr>
      <w:r>
        <w:rPr>
          <w:b/>
          <w:bCs/>
          <w:color w:val="3A0A17"/>
          <w:sz w:val="21"/>
          <w:szCs w:val="21"/>
        </w:rPr>
        <w:t xml:space="preserve"/>
      </w:r>
      <w:r>
        <w:rPr>
          <w:color w:val="222222"/>
          <w:sz w:val="21"/>
          <w:szCs w:val="21"/>
        </w:rPr>
        <w:t xml:space="preserve">Diferencial técnico: pionera en vinificación por gravedad; crianza en barricas de roble americano y francés.</w:t>
      </w:r>
    </w:p>
    <w:p>
      <w:pPr>
        <w:pStyle w:val="ListParagraph"/>
        <w:numPr>
          <w:ilvl w:val="0"/>
          <w:numId w:val="2"/>
        </w:numPr>
        <w:spacing w:after="90" w:line="280"/>
      </w:pPr>
      <w:r>
        <w:rPr>
          <w:b/>
          <w:bCs/>
          <w:color w:val="3A0A17"/>
          <w:sz w:val="21"/>
          <w:szCs w:val="21"/>
        </w:rPr>
        <w:t xml:space="preserve"/>
      </w:r>
      <w:r>
        <w:rPr>
          <w:color w:val="222222"/>
          <w:sz w:val="21"/>
          <w:szCs w:val="21"/>
        </w:rPr>
        <w:t xml:space="preserve">Producto insignia: Tannat Exotic, con medallas de oro en concursos enológicos internacionales.</w:t>
      </w:r>
    </w:p>
    <w:p>
      <w:pPr>
        <w:pStyle w:val="ListParagraph"/>
        <w:numPr>
          <w:ilvl w:val="0"/>
          <w:numId w:val="2"/>
        </w:numPr>
        <w:spacing w:after="90" w:line="280"/>
      </w:pPr>
      <w:r>
        <w:rPr>
          <w:b/>
          <w:bCs/>
          <w:color w:val="3A0A17"/>
          <w:sz w:val="21"/>
          <w:szCs w:val="21"/>
        </w:rPr>
        <w:t xml:space="preserve"/>
      </w:r>
      <w:r>
        <w:rPr>
          <w:color w:val="222222"/>
          <w:sz w:val="21"/>
          <w:szCs w:val="21"/>
        </w:rPr>
        <w:t xml:space="preserve">Ubicación: Ruta 3 Km 468.500, Parada Daymán, Salto.</w:t>
      </w:r>
    </w:p>
    <w:p>
      <w:r>
        <w:br w:type="page"/>
      </w:r>
    </w:p>
    <w:p>
      <w:pPr>
        <w:pStyle w:val="Heading1"/>
        <w:pBdr>
          <w:bottom w:val="single" w:color="9C7A28" w:sz="6" w:space="4"/>
        </w:pBdr>
        <w:spacing w:after="200" w:before="420"/>
      </w:pPr>
      <w:r>
        <w:rPr>
          <w:rFonts w:ascii="Georgia" w:cs="Georgia" w:eastAsia="Georgia" w:hAnsi="Georgia"/>
          <w:b/>
          <w:bCs/>
          <w:color w:val="6B1220"/>
          <w:sz w:val="30"/>
          <w:szCs w:val="30"/>
        </w:rPr>
        <w:t xml:space="preserve">3. ¿Cuándo Vivir la Experiencia? — Estacionalidad</w:t>
      </w:r>
    </w:p>
    <w:p>
      <w:pPr>
        <w:pStyle w:val="Heading2"/>
        <w:spacing w:after="120" w:before="260"/>
      </w:pPr>
      <w:r>
        <w:rPr>
          <w:rFonts w:ascii="Georgia" w:cs="Georgia" w:eastAsia="Georgia" w:hAnsi="Georgia"/>
          <w:b/>
          <w:bCs/>
          <w:color w:val="3A0A17"/>
          <w:sz w:val="24"/>
          <w:szCs w:val="24"/>
        </w:rPr>
        <w:t xml:space="preserve">Qué es</w:t>
      </w:r>
    </w:p>
    <w:p>
      <w:pPr>
        <w:spacing w:after="160" w:line="300"/>
        <w:jc w:val="both"/>
      </w:pPr>
      <w:r>
        <w:rPr>
          <w:b w:val="false"/>
          <w:bCs w:val="false"/>
          <w:i w:val="false"/>
          <w:iCs w:val="false"/>
          <w:color w:val="222222"/>
          <w:sz w:val="22"/>
          <w:szCs w:val="22"/>
        </w:rPr>
        <w:t xml:space="preserve">Cuatro tarjetas — una por estación del año — que explican qué encuentra el visitante en cada época: vendimia en verano, la Semana de Harriague en otoño, cavas y fogones en invierno, y brotación en primavera. Una de las tarjetas se resalta automáticamente con la etiqueta "Es Ahora" según la fecha real del visitante.</w:t>
      </w:r>
    </w:p>
    <w:p>
      <w:pPr>
        <w:pStyle w:val="Heading2"/>
        <w:spacing w:after="120" w:before="260"/>
      </w:pPr>
      <w:r>
        <w:rPr>
          <w:rFonts w:ascii="Georgia" w:cs="Georgia" w:eastAsia="Georgia" w:hAnsi="Georgia"/>
          <w:b/>
          <w:bCs/>
          <w:color w:val="3A0A17"/>
          <w:sz w:val="24"/>
          <w:szCs w:val="24"/>
        </w:rPr>
        <w:t xml:space="preserve">Justificación del diseño</w:t>
      </w:r>
    </w:p>
    <w:p>
      <w:pPr>
        <w:spacing w:after="160" w:line="300"/>
        <w:jc w:val="both"/>
      </w:pPr>
      <w:r>
        <w:rPr>
          <w:b w:val="false"/>
          <w:bCs w:val="false"/>
          <w:i w:val="false"/>
          <w:iCs w:val="false"/>
          <w:color w:val="222222"/>
          <w:sz w:val="22"/>
          <w:szCs w:val="22"/>
        </w:rPr>
        <w:t xml:space="preserve">La pregunta "¿cuándo ir?" es, en la práctica de diseño turístico, una de las principales barreras de decisión de un visitante potencial: un circuito enoturístico no se vive igual en enero que en julio, y no explicitarlo deja al viajero adivinando o, peor, llegando en el momento equivocado. Esta sección convierte la estacionalidad — normalmente un dato técnico interno del sector — en contenido central y atractivo del sitio.</w:t>
      </w:r>
    </w:p>
    <w:p>
      <w:pPr>
        <w:pStyle w:val="ListParagraph"/>
        <w:numPr>
          <w:ilvl w:val="0"/>
          <w:numId w:val="2"/>
        </w:numPr>
        <w:spacing w:after="90" w:line="280"/>
      </w:pPr>
      <w:r>
        <w:rPr>
          <w:b/>
          <w:bCs/>
          <w:color w:val="3A0A17"/>
          <w:sz w:val="21"/>
          <w:szCs w:val="21"/>
        </w:rPr>
        <w:t xml:space="preserve">Cobertura de los cuatro momentos del año — </w:t>
      </w:r>
      <w:r>
        <w:rPr>
          <w:color w:val="222222"/>
          <w:sz w:val="21"/>
          <w:szCs w:val="21"/>
        </w:rPr>
        <w:t xml:space="preserve">ningún mes queda sin propuesta: se cubre explícitamente todo el calendario, de modo que cualquier fecha de visita tenga una razón concreta para viajar.</w:t>
      </w:r>
    </w:p>
    <w:p>
      <w:pPr>
        <w:pStyle w:val="ListParagraph"/>
        <w:numPr>
          <w:ilvl w:val="0"/>
          <w:numId w:val="2"/>
        </w:numPr>
        <w:spacing w:after="90" w:line="280"/>
      </w:pPr>
      <w:r>
        <w:rPr>
          <w:b/>
          <w:bCs/>
          <w:color w:val="3A0A17"/>
          <w:sz w:val="21"/>
          <w:szCs w:val="21"/>
        </w:rPr>
        <w:t xml:space="preserve">Un evento ancla por estación — </w:t>
      </w:r>
      <w:r>
        <w:rPr>
          <w:color w:val="222222"/>
          <w:sz w:val="21"/>
          <w:szCs w:val="21"/>
        </w:rPr>
        <w:t xml:space="preserve">cada tarjeta tiene un hito no negociable que la hace memorable: la cosecha y pisada de uvas en verano, el 14 de abril (Día Nacional del Tannat, en homenaje al nacimiento de Pascual Harriague) en otoño, las catas junto al fuego en invierno y los paseos en bicicleta y picnics en primavera.</w:t>
      </w:r>
    </w:p>
    <w:p>
      <w:pPr>
        <w:pStyle w:val="ListParagraph"/>
        <w:numPr>
          <w:ilvl w:val="0"/>
          <w:numId w:val="2"/>
        </w:numPr>
        <w:spacing w:after="90" w:line="280"/>
      </w:pPr>
      <w:r>
        <w:rPr>
          <w:b/>
          <w:bCs/>
          <w:color w:val="3A0A17"/>
          <w:sz w:val="21"/>
          <w:szCs w:val="21"/>
        </w:rPr>
        <w:t xml:space="preserve">Personalización en tiempo real — </w:t>
      </w:r>
      <w:r>
        <w:rPr>
          <w:color w:val="222222"/>
          <w:sz w:val="21"/>
          <w:szCs w:val="21"/>
        </w:rPr>
        <w:t xml:space="preserve">la insignia "Es Ahora" se calcula del lado del cliente según la fecha del dispositivo del visitante: no es un dato estático de una campaña de marketing vieja, siempre refleja el momento real en que se está mirando la página.</w:t>
      </w:r>
    </w:p>
    <w:p>
      <w:pPr>
        <w:pStyle w:val="ListParagraph"/>
        <w:numPr>
          <w:ilvl w:val="0"/>
          <w:numId w:val="2"/>
        </w:numPr>
        <w:spacing w:after="90" w:line="280"/>
      </w:pPr>
      <w:r>
        <w:rPr>
          <w:b/>
          <w:bCs/>
          <w:color w:val="3A0A17"/>
          <w:sz w:val="21"/>
          <w:szCs w:val="21"/>
        </w:rPr>
        <w:t xml:space="preserve">Cuenta regresiva al Día del Tannat — </w:t>
      </w:r>
      <w:r>
        <w:rPr>
          <w:color w:val="222222"/>
          <w:sz w:val="21"/>
          <w:szCs w:val="21"/>
        </w:rPr>
        <w:t xml:space="preserve">dentro de la tarjeta de otoño, un contador en vivo indica cuántos días faltan para el 14 de abril, reforzando ese hito como el evento más importante del calendario del proyecto.</w:t>
      </w:r>
    </w:p>
    <w:p>
      <w:pPr>
        <w:pStyle w:val="Heading2"/>
        <w:spacing w:after="120" w:before="260"/>
      </w:pPr>
      <w:r>
        <w:rPr>
          <w:rFonts w:ascii="Georgia" w:cs="Georgia" w:eastAsia="Georgia" w:hAnsi="Georgia"/>
          <w:b/>
          <w:bCs/>
          <w:color w:val="3A0A17"/>
          <w:sz w:val="24"/>
          <w:szCs w:val="24"/>
        </w:rPr>
        <w:t xml:space="preserve">Las cuatro estaciones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5580"/>
      </w:tblGrid>
      <w:tr>
        <w:trPr>
          <w:tblHeader/>
        </w:trPr>
        <w:tc>
          <w:tcPr>
            <w:tcW w:type="dxa" w:w="2400"/>
            <w:shd w:fill="6B1220" w:color="auto" w:val="clear"/>
            <w:tcMar>
              <w:top w:type="dxa" w:w="100"/>
              <w:left w:type="dxa" w:w="120"/>
              <w:bottom w:type="dxa" w:w="100"/>
              <w:right w:type="dxa" w:w="120"/>
            </w:tcMar>
            <w:vAlign w:val="center"/>
          </w:tcPr>
          <w:p>
            <w:pPr>
              <w:jc w:val="left"/>
            </w:pPr>
            <w:r>
              <w:rPr>
                <w:b/>
                <w:bCs/>
                <w:color w:val="FFFFFF"/>
                <w:sz w:val="19"/>
                <w:szCs w:val="19"/>
              </w:rPr>
              <w:t xml:space="preserve">Estación</w:t>
            </w:r>
          </w:p>
        </w:tc>
        <w:tc>
          <w:tcPr>
            <w:tcW w:type="dxa" w:w="2300"/>
            <w:shd w:fill="6B1220" w:color="auto" w:val="clear"/>
            <w:tcMar>
              <w:top w:type="dxa" w:w="100"/>
              <w:left w:type="dxa" w:w="120"/>
              <w:bottom w:type="dxa" w:w="100"/>
              <w:right w:type="dxa" w:w="120"/>
            </w:tcMar>
            <w:vAlign w:val="center"/>
          </w:tcPr>
          <w:p>
            <w:pPr>
              <w:jc w:val="left"/>
            </w:pPr>
            <w:r>
              <w:rPr>
                <w:b/>
                <w:bCs/>
                <w:color w:val="FFFFFF"/>
                <w:sz w:val="19"/>
                <w:szCs w:val="19"/>
              </w:rPr>
              <w:t xml:space="preserve">Meses</w:t>
            </w:r>
          </w:p>
        </w:tc>
        <w:tc>
          <w:tcPr>
            <w:tcW w:type="dxa" w:w="5580"/>
            <w:shd w:fill="6B1220" w:color="auto" w:val="clear"/>
            <w:tcMar>
              <w:top w:type="dxa" w:w="100"/>
              <w:left w:type="dxa" w:w="120"/>
              <w:bottom w:type="dxa" w:w="100"/>
              <w:right w:type="dxa" w:w="120"/>
            </w:tcMar>
            <w:vAlign w:val="center"/>
          </w:tcPr>
          <w:p>
            <w:pPr>
              <w:jc w:val="left"/>
            </w:pPr>
            <w:r>
              <w:rPr>
                <w:b/>
                <w:bCs/>
                <w:color w:val="FFFFFF"/>
                <w:sz w:val="19"/>
                <w:szCs w:val="19"/>
              </w:rPr>
              <w:t xml:space="preserve">Propuesta central</w:t>
            </w:r>
          </w:p>
        </w:tc>
      </w:tr>
      <w:tr>
        <w:tc>
          <w:tcPr>
            <w:tcW w:type="dxa" w:w="2400"/>
            <w:tcMar>
              <w:top w:type="dxa" w:w="100"/>
              <w:left w:type="dxa" w:w="120"/>
              <w:bottom w:type="dxa" w:w="100"/>
              <w:right w:type="dxa" w:w="120"/>
            </w:tcMar>
            <w:vAlign w:val="center"/>
          </w:tcPr>
          <w:p>
            <w:pPr>
              <w:jc w:val="left"/>
            </w:pPr>
            <w:r>
              <w:rPr>
                <w:b/>
                <w:bCs/>
                <w:color w:val="222222"/>
                <w:sz w:val="19"/>
                <w:szCs w:val="19"/>
              </w:rPr>
              <w:t xml:space="preserve">Temporada de Vendimia</w:t>
            </w:r>
          </w:p>
        </w:tc>
        <w:tc>
          <w:tcPr>
            <w:tcW w:type="dxa" w:w="2300"/>
            <w:tcMar>
              <w:top w:type="dxa" w:w="100"/>
              <w:left w:type="dxa" w:w="120"/>
              <w:bottom w:type="dxa" w:w="100"/>
              <w:right w:type="dxa" w:w="120"/>
            </w:tcMar>
            <w:vAlign w:val="center"/>
          </w:tcPr>
          <w:p>
            <w:pPr>
              <w:jc w:val="left"/>
            </w:pPr>
            <w:r>
              <w:rPr>
                <w:b w:val="false"/>
                <w:bCs w:val="false"/>
                <w:color w:val="222222"/>
                <w:sz w:val="19"/>
                <w:szCs w:val="19"/>
              </w:rPr>
              <w:t xml:space="preserve">Dic – Mar (Verano)</w:t>
            </w:r>
          </w:p>
        </w:tc>
        <w:tc>
          <w:tcPr>
            <w:tcW w:type="dxa" w:w="5580"/>
            <w:tcMar>
              <w:top w:type="dxa" w:w="100"/>
              <w:left w:type="dxa" w:w="120"/>
              <w:bottom w:type="dxa" w:w="100"/>
              <w:right w:type="dxa" w:w="120"/>
            </w:tcMar>
            <w:vAlign w:val="center"/>
          </w:tcPr>
          <w:p>
            <w:pPr>
              <w:jc w:val="left"/>
            </w:pPr>
            <w:r>
              <w:rPr>
                <w:b w:val="false"/>
                <w:bCs w:val="false"/>
                <w:color w:val="222222"/>
                <w:sz w:val="19"/>
                <w:szCs w:val="19"/>
              </w:rPr>
              <w:t xml:space="preserve">Cosecha manual al amanecer, degustación de uvas y pisada tradicional en lagares.</w:t>
            </w:r>
          </w:p>
        </w:tc>
      </w:tr>
      <w:tr>
        <w:tc>
          <w:tcPr>
            <w:tcW w:type="dxa" w:w="2400"/>
            <w:shd w:fill="F5EFE0" w:color="auto" w:val="clear"/>
            <w:tcMar>
              <w:top w:type="dxa" w:w="100"/>
              <w:left w:type="dxa" w:w="120"/>
              <w:bottom w:type="dxa" w:w="100"/>
              <w:right w:type="dxa" w:w="120"/>
            </w:tcMar>
            <w:vAlign w:val="center"/>
          </w:tcPr>
          <w:p>
            <w:pPr>
              <w:jc w:val="left"/>
            </w:pPr>
            <w:r>
              <w:rPr>
                <w:b/>
                <w:bCs/>
                <w:color w:val="222222"/>
                <w:sz w:val="19"/>
                <w:szCs w:val="19"/>
              </w:rPr>
              <w:t xml:space="preserve">Semana de Harriague</w:t>
            </w:r>
          </w:p>
        </w:tc>
        <w:tc>
          <w:tcPr>
            <w:tcW w:type="dxa" w:w="2300"/>
            <w:shd w:fill="F5EFE0" w:color="auto" w:val="clear"/>
            <w:tcMar>
              <w:top w:type="dxa" w:w="100"/>
              <w:left w:type="dxa" w:w="120"/>
              <w:bottom w:type="dxa" w:w="100"/>
              <w:right w:type="dxa" w:w="120"/>
            </w:tcMar>
            <w:vAlign w:val="center"/>
          </w:tcPr>
          <w:p>
            <w:pPr>
              <w:jc w:val="left"/>
            </w:pPr>
            <w:r>
              <w:rPr>
                <w:b w:val="false"/>
                <w:bCs w:val="false"/>
                <w:color w:val="222222"/>
                <w:sz w:val="19"/>
                <w:szCs w:val="19"/>
              </w:rPr>
              <w:t xml:space="preserve">Abr – May (Otoño)</w:t>
            </w:r>
          </w:p>
        </w:tc>
        <w:tc>
          <w:tcPr>
            <w:tcW w:type="dxa" w:w="5580"/>
            <w:shd w:fill="F5EFE0" w:color="auto" w:val="clear"/>
            <w:tcMar>
              <w:top w:type="dxa" w:w="100"/>
              <w:left w:type="dxa" w:w="120"/>
              <w:bottom w:type="dxa" w:w="100"/>
              <w:right w:type="dxa" w:w="120"/>
            </w:tcMar>
            <w:vAlign w:val="center"/>
          </w:tcPr>
          <w:p>
            <w:pPr>
              <w:jc w:val="left"/>
            </w:pPr>
            <w:r>
              <w:rPr>
                <w:b w:val="false"/>
                <w:bCs w:val="false"/>
                <w:color w:val="222222"/>
                <w:sz w:val="19"/>
                <w:szCs w:val="19"/>
              </w:rPr>
              <w:t xml:space="preserve">14 de abril: Día Nacional del Tannat en homenaje a Pascual Harriague; festivales vascos.</w:t>
            </w:r>
          </w:p>
        </w:tc>
      </w:tr>
      <w:tr>
        <w:tc>
          <w:tcPr>
            <w:tcW w:type="dxa" w:w="2400"/>
            <w:tcMar>
              <w:top w:type="dxa" w:w="100"/>
              <w:left w:type="dxa" w:w="120"/>
              <w:bottom w:type="dxa" w:w="100"/>
              <w:right w:type="dxa" w:w="120"/>
            </w:tcMar>
            <w:vAlign w:val="center"/>
          </w:tcPr>
          <w:p>
            <w:pPr>
              <w:jc w:val="left"/>
            </w:pPr>
            <w:r>
              <w:rPr>
                <w:b/>
                <w:bCs/>
                <w:color w:val="222222"/>
                <w:sz w:val="19"/>
                <w:szCs w:val="19"/>
              </w:rPr>
              <w:t xml:space="preserve">Poda, Cavas &amp; Fogones</w:t>
            </w:r>
          </w:p>
        </w:tc>
        <w:tc>
          <w:tcPr>
            <w:tcW w:type="dxa" w:w="2300"/>
            <w:tcMar>
              <w:top w:type="dxa" w:w="100"/>
              <w:left w:type="dxa" w:w="120"/>
              <w:bottom w:type="dxa" w:w="100"/>
              <w:right w:type="dxa" w:w="120"/>
            </w:tcMar>
            <w:vAlign w:val="center"/>
          </w:tcPr>
          <w:p>
            <w:pPr>
              <w:jc w:val="left"/>
            </w:pPr>
            <w:r>
              <w:rPr>
                <w:b w:val="false"/>
                <w:bCs w:val="false"/>
                <w:color w:val="222222"/>
                <w:sz w:val="19"/>
                <w:szCs w:val="19"/>
              </w:rPr>
              <w:t xml:space="preserve">Jun – Ago (Invierno)</w:t>
            </w:r>
          </w:p>
        </w:tc>
        <w:tc>
          <w:tcPr>
            <w:tcW w:type="dxa" w:w="5580"/>
            <w:tcMar>
              <w:top w:type="dxa" w:w="100"/>
              <w:left w:type="dxa" w:w="120"/>
              <w:bottom w:type="dxa" w:w="100"/>
              <w:right w:type="dxa" w:w="120"/>
            </w:tcMar>
            <w:vAlign w:val="center"/>
          </w:tcPr>
          <w:p>
            <w:pPr>
              <w:jc w:val="left"/>
            </w:pPr>
            <w:r>
              <w:rPr>
                <w:b w:val="false"/>
                <w:bCs w:val="false"/>
                <w:color w:val="222222"/>
                <w:sz w:val="19"/>
                <w:szCs w:val="19"/>
              </w:rPr>
              <w:t xml:space="preserve">Catas de Gran Reserva junto al fuego, maridaje de cordero salteño al asador.</w:t>
            </w:r>
          </w:p>
        </w:tc>
      </w:tr>
      <w:tr>
        <w:tc>
          <w:tcPr>
            <w:tcW w:type="dxa" w:w="2400"/>
            <w:shd w:fill="F5EFE0" w:color="auto" w:val="clear"/>
            <w:tcMar>
              <w:top w:type="dxa" w:w="100"/>
              <w:left w:type="dxa" w:w="120"/>
              <w:bottom w:type="dxa" w:w="100"/>
              <w:right w:type="dxa" w:w="120"/>
            </w:tcMar>
            <w:vAlign w:val="center"/>
          </w:tcPr>
          <w:p>
            <w:pPr>
              <w:jc w:val="left"/>
            </w:pPr>
            <w:r>
              <w:rPr>
                <w:b/>
                <w:bCs/>
                <w:color w:val="222222"/>
                <w:sz w:val="19"/>
                <w:szCs w:val="19"/>
              </w:rPr>
              <w:t xml:space="preserve">Brotación &amp; Envero</w:t>
            </w:r>
          </w:p>
        </w:tc>
        <w:tc>
          <w:tcPr>
            <w:tcW w:type="dxa" w:w="2300"/>
            <w:shd w:fill="F5EFE0" w:color="auto" w:val="clear"/>
            <w:tcMar>
              <w:top w:type="dxa" w:w="100"/>
              <w:left w:type="dxa" w:w="120"/>
              <w:bottom w:type="dxa" w:w="100"/>
              <w:right w:type="dxa" w:w="120"/>
            </w:tcMar>
            <w:vAlign w:val="center"/>
          </w:tcPr>
          <w:p>
            <w:pPr>
              <w:jc w:val="left"/>
            </w:pPr>
            <w:r>
              <w:rPr>
                <w:b w:val="false"/>
                <w:bCs w:val="false"/>
                <w:color w:val="222222"/>
                <w:sz w:val="19"/>
                <w:szCs w:val="19"/>
              </w:rPr>
              <w:t xml:space="preserve">Sep – Nov (Primavera)</w:t>
            </w:r>
          </w:p>
        </w:tc>
        <w:tc>
          <w:tcPr>
            <w:tcW w:type="dxa" w:w="5580"/>
            <w:shd w:fill="F5EFE0" w:color="auto" w:val="clear"/>
            <w:tcMar>
              <w:top w:type="dxa" w:w="100"/>
              <w:left w:type="dxa" w:w="120"/>
              <w:bottom w:type="dxa" w:w="100"/>
              <w:right w:type="dxa" w:w="120"/>
            </w:tcMar>
            <w:vAlign w:val="center"/>
          </w:tcPr>
          <w:p>
            <w:pPr>
              <w:jc w:val="left"/>
            </w:pPr>
            <w:r>
              <w:rPr>
                <w:b w:val="false"/>
                <w:bCs w:val="false"/>
                <w:color w:val="222222"/>
                <w:sz w:val="19"/>
                <w:szCs w:val="19"/>
              </w:rPr>
              <w:t xml:space="preserve">Renacimiento del viñedo, paseos en bicicleta y picnics enoturísticos al aire libre.</w:t>
            </w:r>
          </w:p>
        </w:tc>
      </w:tr>
    </w:tbl>
    <w:p>
      <w:pPr>
        <w:spacing w:after="240" w:before="60"/>
      </w:pPr>
      <w:r>
        <w:rPr>
          <w:i/>
          <w:iCs/>
          <w:color w:val="5B5B5B"/>
          <w:sz w:val="18"/>
          <w:szCs w:val="18"/>
        </w:rPr>
        <w:t xml:space="preserve">Tabla 1. Las cuatro tarjetas de estacionalidad del sitio y su propuesta central.</w:t>
      </w:r>
    </w:p>
    <w:p>
      <w:r>
        <w:br w:type="page"/>
      </w:r>
    </w:p>
    <w:p>
      <w:pPr>
        <w:pStyle w:val="Heading1"/>
        <w:pBdr>
          <w:bottom w:val="single" w:color="9C7A28" w:sz="6" w:space="4"/>
        </w:pBdr>
        <w:spacing w:after="200" w:before="420"/>
      </w:pPr>
      <w:r>
        <w:rPr>
          <w:rFonts w:ascii="Georgia" w:cs="Georgia" w:eastAsia="Georgia" w:hAnsi="Georgia"/>
          <w:b/>
          <w:bCs/>
          <w:color w:val="6B1220"/>
          <w:sz w:val="30"/>
          <w:szCs w:val="30"/>
        </w:rPr>
        <w:t xml:space="preserve">4. Paquetes y Visitas Guiadas</w:t>
      </w:r>
    </w:p>
    <w:p>
      <w:pPr>
        <w:pStyle w:val="Heading2"/>
        <w:spacing w:after="120" w:before="260"/>
      </w:pPr>
      <w:r>
        <w:rPr>
          <w:rFonts w:ascii="Georgia" w:cs="Georgia" w:eastAsia="Georgia" w:hAnsi="Georgia"/>
          <w:b/>
          <w:bCs/>
          <w:color w:val="3A0A17"/>
          <w:sz w:val="24"/>
          <w:szCs w:val="24"/>
        </w:rPr>
        <w:t xml:space="preserve">Qué es</w:t>
      </w:r>
    </w:p>
    <w:p>
      <w:pPr>
        <w:spacing w:after="160" w:line="300"/>
        <w:jc w:val="both"/>
      </w:pPr>
      <w:r>
        <w:rPr>
          <w:b w:val="false"/>
          <w:bCs w:val="false"/>
          <w:i w:val="false"/>
          <w:iCs w:val="false"/>
          <w:color w:val="222222"/>
          <w:sz w:val="22"/>
          <w:szCs w:val="22"/>
        </w:rPr>
        <w:t xml:space="preserve">Tres productos turísticos con distinto nivel de servicio: "Vinos e Historias" (medio día, USD 45 por persona), "El Legado del Tannat" (día completo, USD 95 por persona, presentado como la opción recomendada) y "Experiencia Grupal &amp; Corporativa" (a medida, para grupos de 10 personas o más). Una tabla comparativa ("¿Cuál elijo?") resume las diferencias entre los tres.</w:t>
      </w:r>
    </w:p>
    <w:p>
      <w:pPr>
        <w:pStyle w:val="Heading2"/>
        <w:spacing w:after="120" w:before="260"/>
      </w:pPr>
      <w:r>
        <w:rPr>
          <w:rFonts w:ascii="Georgia" w:cs="Georgia" w:eastAsia="Georgia" w:hAnsi="Georgia"/>
          <w:b/>
          <w:bCs/>
          <w:color w:val="3A0A17"/>
          <w:sz w:val="24"/>
          <w:szCs w:val="24"/>
        </w:rPr>
        <w:t xml:space="preserve">Justificación del diseño</w:t>
      </w:r>
    </w:p>
    <w:p>
      <w:pPr>
        <w:spacing w:after="160" w:line="300"/>
        <w:jc w:val="both"/>
      </w:pPr>
      <w:r>
        <w:rPr>
          <w:b w:val="false"/>
          <w:bCs w:val="false"/>
          <w:i w:val="false"/>
          <w:iCs w:val="false"/>
          <w:color w:val="222222"/>
          <w:sz w:val="22"/>
          <w:szCs w:val="22"/>
        </w:rPr>
        <w:t xml:space="preserve">La estructura en tres niveles responde a un principio clásico de diseño de producto turístico: ofrecer una puerta de entrada económica, una experiencia insignia que concentre el mayor margen y valor percibido, y una vía diferenciada para el segmento grupal/corporativo, que tiene necesidades logísticas distintas (transporte, menú, tarifas por volumen).</w:t>
      </w:r>
    </w:p>
    <w:p>
      <w:pPr>
        <w:pStyle w:val="ListParagraph"/>
        <w:numPr>
          <w:ilvl w:val="0"/>
          <w:numId w:val="2"/>
        </w:numPr>
        <w:spacing w:after="90" w:line="280"/>
      </w:pPr>
      <w:r>
        <w:rPr>
          <w:b/>
          <w:bCs/>
          <w:color w:val="3A0A17"/>
          <w:sz w:val="21"/>
          <w:szCs w:val="21"/>
        </w:rPr>
        <w:t xml:space="preserve">Escalonamiento deliberado, no relleno — </w:t>
      </w:r>
      <w:r>
        <w:rPr>
          <w:color w:val="222222"/>
          <w:sz w:val="21"/>
          <w:szCs w:val="21"/>
        </w:rPr>
        <w:t xml:space="preserve">el paquete de medio día (2 bodegas, cata de 3 varietales) funciona como puerta de entrada para el visitante con tiempo limitado; el de día completo (las 4 estaciones, almuerzo maridaje de 4 pasos, cata técnica de 6 vinos y acceso termal de cortesía) es la experiencia insignia, destacada visualmente con una insignia "Recomendado" y una tarjeta elevada respecto a las otras dos.</w:t>
      </w:r>
    </w:p>
    <w:p>
      <w:pPr>
        <w:pStyle w:val="ListParagraph"/>
        <w:numPr>
          <w:ilvl w:val="0"/>
          <w:numId w:val="2"/>
        </w:numPr>
        <w:spacing w:after="90" w:line="280"/>
      </w:pPr>
      <w:r>
        <w:rPr>
          <w:b/>
          <w:bCs/>
          <w:color w:val="3A0A17"/>
          <w:sz w:val="21"/>
          <w:szCs w:val="21"/>
        </w:rPr>
        <w:t xml:space="preserve">Honestidad de precio ante lo que no se puede fijar — </w:t>
      </w:r>
      <w:r>
        <w:rPr>
          <w:color w:val="222222"/>
          <w:sz w:val="21"/>
          <w:szCs w:val="21"/>
        </w:rPr>
        <w:t xml:space="preserve">el paquete grupal/corporativo no muestra un precio inventado: dice explícitamente "cotización a medida, según cantidad de personas" y deriva a una solicitud real por WhatsApp. Fijar un precio de grupo sin base real hubiera sido un dato falso en un sitio que se autoexige ser fidedigno.</w:t>
      </w:r>
    </w:p>
    <w:p>
      <w:pPr>
        <w:pStyle w:val="ListParagraph"/>
        <w:numPr>
          <w:ilvl w:val="0"/>
          <w:numId w:val="2"/>
        </w:numPr>
        <w:spacing w:after="90" w:line="280"/>
      </w:pPr>
      <w:r>
        <w:rPr>
          <w:b/>
          <w:bCs/>
          <w:color w:val="3A0A17"/>
          <w:sz w:val="21"/>
          <w:szCs w:val="21"/>
        </w:rPr>
        <w:t xml:space="preserve">Comparación como herramienta de decisión — </w:t>
      </w:r>
      <w:r>
        <w:rPr>
          <w:color w:val="222222"/>
          <w:sz w:val="21"/>
          <w:szCs w:val="21"/>
        </w:rPr>
        <w:t xml:space="preserve">la tabla "¿Cuál elijo?" reduce la fricción de decisión mostrando en una sola vista duración, bodegas incluidas y servicios de cada paquete, en vez de obligar al visitante a leer y comparar tres bloques de texto por separado.</w:t>
      </w:r>
    </w:p>
    <w:p>
      <w:pPr>
        <w:pStyle w:val="ListParagraph"/>
        <w:numPr>
          <w:ilvl w:val="0"/>
          <w:numId w:val="2"/>
        </w:numPr>
        <w:spacing w:after="90" w:line="280"/>
      </w:pPr>
      <w:r>
        <w:rPr>
          <w:b/>
          <w:bCs/>
          <w:color w:val="3A0A17"/>
          <w:sz w:val="21"/>
          <w:szCs w:val="21"/>
        </w:rPr>
        <w:t xml:space="preserve">Doble moneda — </w:t>
      </w:r>
      <w:r>
        <w:rPr>
          <w:color w:val="222222"/>
          <w:sz w:val="21"/>
          <w:szCs w:val="21"/>
        </w:rPr>
        <w:t xml:space="preserve">los precios pueden alternarse entre USD y pesos uruguayos con un selector, cubriendo tanto al turista internacional (que piensa en dólares) como al visitante local.</w:t>
      </w:r>
    </w:p>
    <w:p>
      <w:pPr>
        <w:pStyle w:val="Heading2"/>
        <w:spacing w:after="120" w:before="260"/>
      </w:pPr>
      <w:r>
        <w:rPr>
          <w:rFonts w:ascii="Georgia" w:cs="Georgia" w:eastAsia="Georgia" w:hAnsi="Georgia"/>
          <w:b/>
          <w:bCs/>
          <w:color w:val="3A0A17"/>
          <w:sz w:val="24"/>
          <w:szCs w:val="24"/>
        </w:rPr>
        <w:t xml:space="preserve">Los tres paquetes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3880"/>
      </w:tblGrid>
      <w:tr>
        <w:trPr>
          <w:tblHeader/>
        </w:trPr>
        <w:tc>
          <w:tcPr>
            <w:tcW w:type="dxa" w:w="2600"/>
            <w:shd w:fill="6B1220" w:color="auto" w:val="clear"/>
            <w:tcMar>
              <w:top w:type="dxa" w:w="100"/>
              <w:left w:type="dxa" w:w="120"/>
              <w:bottom w:type="dxa" w:w="100"/>
              <w:right w:type="dxa" w:w="120"/>
            </w:tcMar>
            <w:vAlign w:val="center"/>
          </w:tcPr>
          <w:p>
            <w:pPr>
              <w:jc w:val="left"/>
            </w:pPr>
            <w:r>
              <w:rPr>
                <w:b/>
                <w:bCs/>
                <w:color w:val="FFFFFF"/>
                <w:sz w:val="19"/>
                <w:szCs w:val="19"/>
              </w:rPr>
              <w:t xml:space="preserve">Paquete</w:t>
            </w:r>
          </w:p>
        </w:tc>
        <w:tc>
          <w:tcPr>
            <w:tcW w:type="dxa" w:w="1800"/>
            <w:shd w:fill="6B1220" w:color="auto" w:val="clear"/>
            <w:tcMar>
              <w:top w:type="dxa" w:w="100"/>
              <w:left w:type="dxa" w:w="120"/>
              <w:bottom w:type="dxa" w:w="100"/>
              <w:right w:type="dxa" w:w="120"/>
            </w:tcMar>
            <w:vAlign w:val="center"/>
          </w:tcPr>
          <w:p>
            <w:pPr>
              <w:jc w:val="left"/>
            </w:pPr>
            <w:r>
              <w:rPr>
                <w:b/>
                <w:bCs/>
                <w:color w:val="FFFFFF"/>
                <w:sz w:val="19"/>
                <w:szCs w:val="19"/>
              </w:rPr>
              <w:t xml:space="preserve">Duración</w:t>
            </w:r>
          </w:p>
        </w:tc>
        <w:tc>
          <w:tcPr>
            <w:tcW w:type="dxa" w:w="2000"/>
            <w:shd w:fill="6B1220" w:color="auto" w:val="clear"/>
            <w:tcMar>
              <w:top w:type="dxa" w:w="100"/>
              <w:left w:type="dxa" w:w="120"/>
              <w:bottom w:type="dxa" w:w="100"/>
              <w:right w:type="dxa" w:w="120"/>
            </w:tcMar>
            <w:vAlign w:val="center"/>
          </w:tcPr>
          <w:p>
            <w:pPr>
              <w:jc w:val="left"/>
            </w:pPr>
            <w:r>
              <w:rPr>
                <w:b/>
                <w:bCs/>
                <w:color w:val="FFFFFF"/>
                <w:sz w:val="19"/>
                <w:szCs w:val="19"/>
              </w:rPr>
              <w:t xml:space="preserve">Precio</w:t>
            </w:r>
          </w:p>
        </w:tc>
        <w:tc>
          <w:tcPr>
            <w:tcW w:type="dxa" w:w="3880"/>
            <w:shd w:fill="6B1220" w:color="auto" w:val="clear"/>
            <w:tcMar>
              <w:top w:type="dxa" w:w="100"/>
              <w:left w:type="dxa" w:w="120"/>
              <w:bottom w:type="dxa" w:w="100"/>
              <w:right w:type="dxa" w:w="120"/>
            </w:tcMar>
            <w:vAlign w:val="center"/>
          </w:tcPr>
          <w:p>
            <w:pPr>
              <w:jc w:val="left"/>
            </w:pPr>
            <w:r>
              <w:rPr>
                <w:b/>
                <w:bCs/>
                <w:color w:val="FFFFFF"/>
                <w:sz w:val="19"/>
                <w:szCs w:val="19"/>
              </w:rPr>
              <w:t xml:space="preserve">Incluye (síntesis)</w:t>
            </w:r>
          </w:p>
        </w:tc>
      </w:tr>
      <w:tr>
        <w:tc>
          <w:tcPr>
            <w:tcW w:type="dxa" w:w="2600"/>
            <w:tcMar>
              <w:top w:type="dxa" w:w="100"/>
              <w:left w:type="dxa" w:w="120"/>
              <w:bottom w:type="dxa" w:w="100"/>
              <w:right w:type="dxa" w:w="120"/>
            </w:tcMar>
            <w:vAlign w:val="center"/>
          </w:tcPr>
          <w:p>
            <w:pPr>
              <w:jc w:val="left"/>
            </w:pPr>
            <w:r>
              <w:rPr>
                <w:b/>
                <w:bCs/>
                <w:color w:val="222222"/>
                <w:sz w:val="19"/>
                <w:szCs w:val="19"/>
              </w:rPr>
              <w:t xml:space="preserve">Vinos e Historias</w:t>
            </w:r>
          </w:p>
        </w:tc>
        <w:tc>
          <w:tcPr>
            <w:tcW w:type="dxa" w:w="1800"/>
            <w:tcMar>
              <w:top w:type="dxa" w:w="100"/>
              <w:left w:type="dxa" w:w="120"/>
              <w:bottom w:type="dxa" w:w="100"/>
              <w:right w:type="dxa" w:w="120"/>
            </w:tcMar>
            <w:vAlign w:val="center"/>
          </w:tcPr>
          <w:p>
            <w:pPr>
              <w:jc w:val="left"/>
            </w:pPr>
            <w:r>
              <w:rPr>
                <w:b w:val="false"/>
                <w:bCs w:val="false"/>
                <w:color w:val="222222"/>
                <w:sz w:val="19"/>
                <w:szCs w:val="19"/>
              </w:rPr>
              <w:t xml:space="preserve">4 horas</w:t>
            </w:r>
          </w:p>
        </w:tc>
        <w:tc>
          <w:tcPr>
            <w:tcW w:type="dxa" w:w="2000"/>
            <w:tcMar>
              <w:top w:type="dxa" w:w="100"/>
              <w:left w:type="dxa" w:w="120"/>
              <w:bottom w:type="dxa" w:w="100"/>
              <w:right w:type="dxa" w:w="120"/>
            </w:tcMar>
            <w:vAlign w:val="center"/>
          </w:tcPr>
          <w:p>
            <w:pPr>
              <w:jc w:val="left"/>
            </w:pPr>
            <w:r>
              <w:rPr>
                <w:b w:val="false"/>
                <w:bCs w:val="false"/>
                <w:color w:val="222222"/>
                <w:sz w:val="19"/>
                <w:szCs w:val="19"/>
              </w:rPr>
              <w:t xml:space="preserve">USD 45 / persona</w:t>
            </w:r>
          </w:p>
        </w:tc>
        <w:tc>
          <w:tcPr>
            <w:tcW w:type="dxa" w:w="3880"/>
            <w:tcMar>
              <w:top w:type="dxa" w:w="100"/>
              <w:left w:type="dxa" w:w="120"/>
              <w:bottom w:type="dxa" w:w="100"/>
              <w:right w:type="dxa" w:w="120"/>
            </w:tcMar>
            <w:vAlign w:val="center"/>
          </w:tcPr>
          <w:p>
            <w:pPr>
              <w:jc w:val="left"/>
            </w:pPr>
            <w:r>
              <w:rPr>
                <w:b w:val="false"/>
                <w:bCs w:val="false"/>
                <w:color w:val="222222"/>
                <w:sz w:val="19"/>
                <w:szCs w:val="19"/>
              </w:rPr>
              <w:t xml:space="preserve">Bodega Harriague + Salto Chico, cata de 3 varietales, tabla de quesos, traslado en van.</w:t>
            </w:r>
          </w:p>
        </w:tc>
      </w:tr>
      <w:tr>
        <w:tc>
          <w:tcPr>
            <w:tcW w:type="dxa" w:w="2600"/>
            <w:shd w:fill="F5EFE0" w:color="auto" w:val="clear"/>
            <w:tcMar>
              <w:top w:type="dxa" w:w="100"/>
              <w:left w:type="dxa" w:w="120"/>
              <w:bottom w:type="dxa" w:w="100"/>
              <w:right w:type="dxa" w:w="120"/>
            </w:tcMar>
            <w:vAlign w:val="center"/>
          </w:tcPr>
          <w:p>
            <w:pPr>
              <w:jc w:val="left"/>
            </w:pPr>
            <w:r>
              <w:rPr>
                <w:b/>
                <w:bCs/>
                <w:color w:val="222222"/>
                <w:sz w:val="19"/>
                <w:szCs w:val="19"/>
              </w:rPr>
              <w:t xml:space="preserve">El Legado del Tannat (VIP)</w:t>
            </w:r>
          </w:p>
        </w:tc>
        <w:tc>
          <w:tcPr>
            <w:tcW w:type="dxa" w:w="1800"/>
            <w:shd w:fill="F5EFE0" w:color="auto" w:val="clear"/>
            <w:tcMar>
              <w:top w:type="dxa" w:w="100"/>
              <w:left w:type="dxa" w:w="120"/>
              <w:bottom w:type="dxa" w:w="100"/>
              <w:right w:type="dxa" w:w="120"/>
            </w:tcMar>
            <w:vAlign w:val="center"/>
          </w:tcPr>
          <w:p>
            <w:pPr>
              <w:jc w:val="left"/>
            </w:pPr>
            <w:r>
              <w:rPr>
                <w:b w:val="false"/>
                <w:bCs w:val="false"/>
                <w:color w:val="222222"/>
                <w:sz w:val="19"/>
                <w:szCs w:val="19"/>
              </w:rPr>
              <w:t xml:space="preserve">8 horas</w:t>
            </w:r>
          </w:p>
        </w:tc>
        <w:tc>
          <w:tcPr>
            <w:tcW w:type="dxa" w:w="2000"/>
            <w:shd w:fill="F5EFE0" w:color="auto" w:val="clear"/>
            <w:tcMar>
              <w:top w:type="dxa" w:w="100"/>
              <w:left w:type="dxa" w:w="120"/>
              <w:bottom w:type="dxa" w:w="100"/>
              <w:right w:type="dxa" w:w="120"/>
            </w:tcMar>
            <w:vAlign w:val="center"/>
          </w:tcPr>
          <w:p>
            <w:pPr>
              <w:jc w:val="left"/>
            </w:pPr>
            <w:r>
              <w:rPr>
                <w:b w:val="false"/>
                <w:bCs w:val="false"/>
                <w:color w:val="222222"/>
                <w:sz w:val="19"/>
                <w:szCs w:val="19"/>
              </w:rPr>
              <w:t xml:space="preserve">USD 95 / persona</w:t>
            </w:r>
          </w:p>
        </w:tc>
        <w:tc>
          <w:tcPr>
            <w:tcW w:type="dxa" w:w="3880"/>
            <w:shd w:fill="F5EFE0" w:color="auto" w:val="clear"/>
            <w:tcMar>
              <w:top w:type="dxa" w:w="100"/>
              <w:left w:type="dxa" w:w="120"/>
              <w:bottom w:type="dxa" w:w="100"/>
              <w:right w:type="dxa" w:w="120"/>
            </w:tcMar>
            <w:vAlign w:val="center"/>
          </w:tcPr>
          <w:p>
            <w:pPr>
              <w:jc w:val="left"/>
            </w:pPr>
            <w:r>
              <w:rPr>
                <w:b w:val="false"/>
                <w:bCs w:val="false"/>
                <w:color w:val="222222"/>
                <w:sz w:val="19"/>
                <w:szCs w:val="19"/>
              </w:rPr>
              <w:t xml:space="preserve">Las 4 estaciones, almuerzo maridaje de 4 pasos, cata de 6 vinos Gran Reserva, acceso termal de cortesía.</w:t>
            </w:r>
          </w:p>
        </w:tc>
      </w:tr>
      <w:tr>
        <w:tc>
          <w:tcPr>
            <w:tcW w:type="dxa" w:w="2600"/>
            <w:tcMar>
              <w:top w:type="dxa" w:w="100"/>
              <w:left w:type="dxa" w:w="120"/>
              <w:bottom w:type="dxa" w:w="100"/>
              <w:right w:type="dxa" w:w="120"/>
            </w:tcMar>
            <w:vAlign w:val="center"/>
          </w:tcPr>
          <w:p>
            <w:pPr>
              <w:jc w:val="left"/>
            </w:pPr>
            <w:r>
              <w:rPr>
                <w:b/>
                <w:bCs/>
                <w:color w:val="222222"/>
                <w:sz w:val="19"/>
                <w:szCs w:val="19"/>
              </w:rPr>
              <w:t xml:space="preserve">Experiencia Grupal &amp; Corporativa</w:t>
            </w:r>
          </w:p>
        </w:tc>
        <w:tc>
          <w:tcPr>
            <w:tcW w:type="dxa" w:w="1800"/>
            <w:tcMar>
              <w:top w:type="dxa" w:w="100"/>
              <w:left w:type="dxa" w:w="120"/>
              <w:bottom w:type="dxa" w:w="100"/>
              <w:right w:type="dxa" w:w="120"/>
            </w:tcMar>
            <w:vAlign w:val="center"/>
          </w:tcPr>
          <w:p>
            <w:pPr>
              <w:jc w:val="left"/>
            </w:pPr>
            <w:r>
              <w:rPr>
                <w:b w:val="false"/>
                <w:bCs w:val="false"/>
                <w:color w:val="222222"/>
                <w:sz w:val="19"/>
                <w:szCs w:val="19"/>
              </w:rPr>
              <w:t xml:space="preserve">A medida</w:t>
            </w:r>
          </w:p>
        </w:tc>
        <w:tc>
          <w:tcPr>
            <w:tcW w:type="dxa" w:w="2000"/>
            <w:tcMar>
              <w:top w:type="dxa" w:w="100"/>
              <w:left w:type="dxa" w:w="120"/>
              <w:bottom w:type="dxa" w:w="100"/>
              <w:right w:type="dxa" w:w="120"/>
            </w:tcMar>
            <w:vAlign w:val="center"/>
          </w:tcPr>
          <w:p>
            <w:pPr>
              <w:jc w:val="left"/>
            </w:pPr>
            <w:r>
              <w:rPr>
                <w:b w:val="false"/>
                <w:bCs w:val="false"/>
                <w:color w:val="222222"/>
                <w:sz w:val="19"/>
                <w:szCs w:val="19"/>
              </w:rPr>
              <w:t xml:space="preserve">Cotización a medida</w:t>
            </w:r>
          </w:p>
        </w:tc>
        <w:tc>
          <w:tcPr>
            <w:tcW w:type="dxa" w:w="3880"/>
            <w:tcMar>
              <w:top w:type="dxa" w:w="100"/>
              <w:left w:type="dxa" w:w="120"/>
              <w:bottom w:type="dxa" w:w="100"/>
              <w:right w:type="dxa" w:w="120"/>
            </w:tcMar>
            <w:vAlign w:val="center"/>
          </w:tcPr>
          <w:p>
            <w:pPr>
              <w:jc w:val="left"/>
            </w:pPr>
            <w:r>
              <w:rPr>
                <w:b w:val="false"/>
                <w:bCs w:val="false"/>
                <w:color w:val="222222"/>
                <w:sz w:val="19"/>
                <w:szCs w:val="19"/>
              </w:rPr>
              <w:t xml:space="preserve">Itinerario, transporte y menú adaptados al grupo (10+ personas), tarifas preferenciales por volumen.</w:t>
            </w:r>
          </w:p>
        </w:tc>
      </w:tr>
    </w:tbl>
    <w:p>
      <w:pPr>
        <w:spacing w:after="240" w:before="60"/>
      </w:pPr>
      <w:r>
        <w:rPr>
          <w:i/>
          <w:iCs/>
          <w:color w:val="5B5B5B"/>
          <w:sz w:val="18"/>
          <w:szCs w:val="18"/>
        </w:rPr>
        <w:t xml:space="preserve">Tabla 2. Estructura de los tres paquetes turísticos ofrecidos en el sitio.</w:t>
      </w:r>
    </w:p>
    <w:p>
      <w:r>
        <w:br w:type="page"/>
      </w:r>
    </w:p>
    <w:p>
      <w:pPr>
        <w:pStyle w:val="Heading1"/>
        <w:pBdr>
          <w:bottom w:val="single" w:color="9C7A28" w:sz="6" w:space="4"/>
        </w:pBdr>
        <w:spacing w:after="200" w:before="420"/>
      </w:pPr>
      <w:r>
        <w:rPr>
          <w:rFonts w:ascii="Georgia" w:cs="Georgia" w:eastAsia="Georgia" w:hAnsi="Georgia"/>
          <w:b/>
          <w:bCs/>
          <w:color w:val="6B1220"/>
          <w:sz w:val="30"/>
          <w:szCs w:val="30"/>
        </w:rPr>
        <w:t xml:space="preserve">5. Voces del Circuito</w:t>
      </w:r>
    </w:p>
    <w:p>
      <w:pPr>
        <w:pStyle w:val="Heading2"/>
        <w:spacing w:after="120" w:before="260"/>
      </w:pPr>
      <w:r>
        <w:rPr>
          <w:rFonts w:ascii="Georgia" w:cs="Georgia" w:eastAsia="Georgia" w:hAnsi="Georgia"/>
          <w:b/>
          <w:bCs/>
          <w:color w:val="3A0A17"/>
          <w:sz w:val="24"/>
          <w:szCs w:val="24"/>
        </w:rPr>
        <w:t xml:space="preserve">Qué es</w:t>
      </w:r>
    </w:p>
    <w:p>
      <w:pPr>
        <w:spacing w:after="160" w:line="300"/>
        <w:jc w:val="both"/>
      </w:pPr>
      <w:r>
        <w:rPr>
          <w:b w:val="false"/>
          <w:bCs w:val="false"/>
          <w:i w:val="false"/>
          <w:iCs w:val="false"/>
          <w:color w:val="222222"/>
          <w:sz w:val="22"/>
          <w:szCs w:val="22"/>
        </w:rPr>
        <w:t xml:space="preserve">Es la sección de confianza del sitio. En lugar de testimonios de viajeros, presenta tres respaldos institucionales verificables — guías certificados, viticultura certificada y patrimonio respaldado — y cierra con una invitación abierta a que los primeros visitantes reales del circuito compartan su experiencia por WhatsApp.</w:t>
      </w:r>
    </w:p>
    <w:p>
      <w:pPr>
        <w:pStyle w:val="Heading2"/>
        <w:spacing w:after="120" w:before="260"/>
      </w:pPr>
      <w:r>
        <w:rPr>
          <w:rFonts w:ascii="Georgia" w:cs="Georgia" w:eastAsia="Georgia" w:hAnsi="Georgia"/>
          <w:b/>
          <w:bCs/>
          <w:color w:val="3A0A17"/>
          <w:sz w:val="24"/>
          <w:szCs w:val="24"/>
        </w:rPr>
        <w:t xml:space="preserve">Justificación del diseño</w:t>
      </w:r>
    </w:p>
    <w:p>
      <w:pPr>
        <w:spacing w:after="160" w:line="300"/>
        <w:jc w:val="both"/>
      </w:pPr>
      <w:r>
        <w:rPr>
          <w:b w:val="false"/>
          <w:bCs w:val="false"/>
          <w:i w:val="false"/>
          <w:iCs w:val="false"/>
          <w:color w:val="222222"/>
          <w:sz w:val="22"/>
          <w:szCs w:val="22"/>
        </w:rPr>
        <w:t xml:space="preserve">Esta sección es, probablemente, la decisión editorial más defendible del sitio ante un tribunal: la Ruta del Tannat es un circuito recién sistematizado, sin un historial de visitantes que pueda citarse todavía. Publicar testimonios de viajeros inventados habría sido la solución más rápida — y la más deshonesta. Se optó, en cambio, por sostener la confianza del sitio con hechos institucionales que sí existen y pueden verificarse hoy mismo.</w:t>
      </w:r>
    </w:p>
    <w:p>
      <w:pPr>
        <w:pStyle w:val="ListParagraph"/>
        <w:numPr>
          <w:ilvl w:val="0"/>
          <w:numId w:val="2"/>
        </w:numPr>
        <w:spacing w:after="90" w:line="280"/>
      </w:pPr>
      <w:r>
        <w:rPr>
          <w:b/>
          <w:bCs/>
          <w:color w:val="3A0A17"/>
          <w:sz w:val="21"/>
          <w:szCs w:val="21"/>
        </w:rPr>
        <w:t xml:space="preserve">Confianza verificable en vez de simulada — </w:t>
      </w:r>
      <w:r>
        <w:rPr>
          <w:color w:val="222222"/>
          <w:sz w:val="21"/>
          <w:szCs w:val="21"/>
        </w:rPr>
        <w:t xml:space="preserve">los tres pilares citan organismos reales y comprobables: la Tecnicatura en Diseño de Itinerarios Turísticos Sostenibles de UTU (que forma a los guías), el Programa de Viticultura Sostenible de INAVI auditado por LSQA bajo el sello "Uruguay Sustainable Winegrowing", y el respaldo de la Comisión Honoraria del Patrimonio Histórico de Salto junto a la Universidad del País Vasco para el rescate de Bodega Harriague.</w:t>
      </w:r>
    </w:p>
    <w:p>
      <w:pPr>
        <w:pStyle w:val="ListParagraph"/>
        <w:numPr>
          <w:ilvl w:val="0"/>
          <w:numId w:val="2"/>
        </w:numPr>
        <w:spacing w:after="90" w:line="280"/>
      </w:pPr>
      <w:r>
        <w:rPr>
          <w:b/>
          <w:bCs/>
          <w:color w:val="3A0A17"/>
          <w:sz w:val="21"/>
          <w:szCs w:val="21"/>
        </w:rPr>
        <w:t xml:space="preserve">Transparencia explícita sobre el estado del proyecto — </w:t>
      </w:r>
      <w:r>
        <w:rPr>
          <w:color w:val="222222"/>
          <w:sz w:val="21"/>
          <w:szCs w:val="21"/>
        </w:rPr>
        <w:t xml:space="preserve">el propio subtítulo de la sección lo dice sin rodeos: "Un proyecto recién nacido, pero respaldado por instituciones con historia" — se asume la novedad del circuito en lugar de disimularla.</w:t>
      </w:r>
    </w:p>
    <w:p>
      <w:pPr>
        <w:pStyle w:val="ListParagraph"/>
        <w:numPr>
          <w:ilvl w:val="0"/>
          <w:numId w:val="2"/>
        </w:numPr>
        <w:spacing w:after="90" w:line="280"/>
      </w:pPr>
      <w:r>
        <w:rPr>
          <w:b/>
          <w:bCs/>
          <w:color w:val="3A0A17"/>
          <w:sz w:val="21"/>
          <w:szCs w:val="21"/>
        </w:rPr>
        <w:t xml:space="preserve">La sección está preparada para crecer con datos reales — </w:t>
      </w:r>
      <w:r>
        <w:rPr>
          <w:color w:val="222222"/>
          <w:sz w:val="21"/>
          <w:szCs w:val="21"/>
        </w:rPr>
        <w:t xml:space="preserve">el bloque final invita activamente a que los primeros visitantes compartan su experiencia por WhatsApp, dejando el camino abierto para incorporar testimonios genuinos a medida que el circuito reciba público real, sin necesidad de rediseñar la sección.</w:t>
      </w:r>
    </w:p>
    <w:p>
      <w:pPr>
        <w:pStyle w:val="Heading2"/>
        <w:spacing w:after="120" w:before="260"/>
      </w:pPr>
      <w:r>
        <w:rPr>
          <w:rFonts w:ascii="Georgia" w:cs="Georgia" w:eastAsia="Georgia" w:hAnsi="Georgia"/>
          <w:b/>
          <w:bCs/>
          <w:color w:val="3A0A17"/>
          <w:sz w:val="24"/>
          <w:szCs w:val="24"/>
        </w:rPr>
        <w:t xml:space="preserve">Los tres pilares de confianza</w:t>
      </w:r>
    </w:p>
    <w:p>
      <w:pPr>
        <w:pStyle w:val="ListParagraph"/>
        <w:numPr>
          <w:ilvl w:val="0"/>
          <w:numId w:val="2"/>
        </w:numPr>
        <w:spacing w:after="90" w:line="280"/>
      </w:pPr>
      <w:r>
        <w:rPr>
          <w:b/>
          <w:bCs/>
          <w:color w:val="3A0A17"/>
          <w:sz w:val="21"/>
          <w:szCs w:val="21"/>
        </w:rPr>
        <w:t xml:space="preserve">Guías Certificados — </w:t>
      </w:r>
      <w:r>
        <w:rPr>
          <w:color w:val="222222"/>
          <w:sz w:val="21"/>
          <w:szCs w:val="21"/>
        </w:rPr>
        <w:t xml:space="preserve">formados en la Tecnicatura en Diseño de Itinerarios Turísticos Sostenibles de UTU (DGETP), en el mismo Polo Educativo Tecnológico Salto que sostiene este proyecto.</w:t>
      </w:r>
    </w:p>
    <w:p>
      <w:pPr>
        <w:pStyle w:val="ListParagraph"/>
        <w:numPr>
          <w:ilvl w:val="0"/>
          <w:numId w:val="2"/>
        </w:numPr>
        <w:spacing w:after="90" w:line="280"/>
      </w:pPr>
      <w:r>
        <w:rPr>
          <w:b/>
          <w:bCs/>
          <w:color w:val="3A0A17"/>
          <w:sz w:val="21"/>
          <w:szCs w:val="21"/>
        </w:rPr>
        <w:t xml:space="preserve">Viticultura Certificada — </w:t>
      </w:r>
      <w:r>
        <w:rPr>
          <w:color w:val="222222"/>
          <w:sz w:val="21"/>
          <w:szCs w:val="21"/>
        </w:rPr>
        <w:t xml:space="preserve">bodegas alineadas al Programa de Viticultura Sostenible de INAVI, auditado por LSQA, bajo el sello "Uruguay Sustainable Winegrowing".</w:t>
      </w:r>
    </w:p>
    <w:p>
      <w:pPr>
        <w:pStyle w:val="ListParagraph"/>
        <w:numPr>
          <w:ilvl w:val="0"/>
          <w:numId w:val="2"/>
        </w:numPr>
        <w:spacing w:after="90" w:line="280"/>
      </w:pPr>
      <w:r>
        <w:rPr>
          <w:b/>
          <w:bCs/>
          <w:color w:val="3A0A17"/>
          <w:sz w:val="21"/>
          <w:szCs w:val="21"/>
        </w:rPr>
        <w:t xml:space="preserve">Patrimonio Respaldado — </w:t>
      </w:r>
      <w:r>
        <w:rPr>
          <w:color w:val="222222"/>
          <w:sz w:val="21"/>
          <w:szCs w:val="21"/>
        </w:rPr>
        <w:t xml:space="preserve">el rescate de Bodega Harriague cuenta con el acompañamiento de la Comisión Honoraria del Patrimonio Histórico de Salto y la Universidad del País Vasco.</w:t>
      </w:r>
    </w:p>
    <w:p>
      <w:r>
        <w:br w:type="page"/>
      </w:r>
    </w:p>
    <w:p>
      <w:pPr>
        <w:pStyle w:val="Heading1"/>
        <w:pBdr>
          <w:bottom w:val="single" w:color="9C7A28" w:sz="6" w:space="4"/>
        </w:pBdr>
        <w:spacing w:after="200" w:before="420"/>
      </w:pPr>
      <w:r>
        <w:rPr>
          <w:rFonts w:ascii="Georgia" w:cs="Georgia" w:eastAsia="Georgia" w:hAnsi="Georgia"/>
          <w:b/>
          <w:bCs/>
          <w:color w:val="6B1220"/>
          <w:sz w:val="30"/>
          <w:szCs w:val="30"/>
        </w:rPr>
        <w:t xml:space="preserve">6. Misión y Visión</w:t>
      </w:r>
    </w:p>
    <w:p>
      <w:pPr>
        <w:pStyle w:val="Heading2"/>
        <w:spacing w:after="120" w:before="260"/>
      </w:pPr>
      <w:r>
        <w:rPr>
          <w:rFonts w:ascii="Georgia" w:cs="Georgia" w:eastAsia="Georgia" w:hAnsi="Georgia"/>
          <w:b/>
          <w:bCs/>
          <w:color w:val="3A0A17"/>
          <w:sz w:val="24"/>
          <w:szCs w:val="24"/>
        </w:rPr>
        <w:t xml:space="preserve">Qué es</w:t>
      </w:r>
    </w:p>
    <w:p>
      <w:pPr>
        <w:spacing w:after="160" w:line="300"/>
        <w:jc w:val="both"/>
      </w:pPr>
      <w:r>
        <w:rPr>
          <w:b w:val="false"/>
          <w:bCs w:val="false"/>
          <w:i w:val="false"/>
          <w:iCs w:val="false"/>
          <w:color w:val="222222"/>
          <w:sz w:val="22"/>
          <w:szCs w:val="22"/>
        </w:rPr>
        <w:t xml:space="preserve">La declaración de propósito del proyecto ("acercar a cada visitante a la cuna del Tannat a través de un circuito auténtico y de cercanía" / "que Salto se consolide como referente del enoturismo sostenible en el litoral norte, sin perder la identidad que lo hizo posible") desarrollada en tres pilares desplegables: Turismo Comunitario &amp; Local, Viticultura Sostenible y Rescate Patrimonial.</w:t>
      </w:r>
    </w:p>
    <w:p>
      <w:pPr>
        <w:pStyle w:val="Heading2"/>
        <w:spacing w:after="120" w:before="260"/>
      </w:pPr>
      <w:r>
        <w:rPr>
          <w:rFonts w:ascii="Georgia" w:cs="Georgia" w:eastAsia="Georgia" w:hAnsi="Georgia"/>
          <w:b/>
          <w:bCs/>
          <w:color w:val="3A0A17"/>
          <w:sz w:val="24"/>
          <w:szCs w:val="24"/>
        </w:rPr>
        <w:t xml:space="preserve">Justificación del diseño</w:t>
      </w:r>
    </w:p>
    <w:p>
      <w:pPr>
        <w:spacing w:after="160" w:line="300"/>
        <w:jc w:val="both"/>
      </w:pPr>
      <w:r>
        <w:rPr>
          <w:b w:val="false"/>
          <w:bCs w:val="false"/>
          <w:i w:val="false"/>
          <w:iCs w:val="false"/>
          <w:color w:val="222222"/>
          <w:sz w:val="22"/>
          <w:szCs w:val="22"/>
        </w:rPr>
        <w:t xml:space="preserve">Se evitó deliberadamente el lenguaje corporativo genérico ("brindar experiencias inolvidables", "ser líderes del sector") en favor de compromisos específicos y verificables, cada uno con datos concretos que un visitante — o un tribunal — puede contrastar.</w:t>
      </w:r>
    </w:p>
    <w:p>
      <w:pPr>
        <w:pStyle w:val="ListParagraph"/>
        <w:numPr>
          <w:ilvl w:val="0"/>
          <w:numId w:val="2"/>
        </w:numPr>
        <w:spacing w:after="90" w:line="280"/>
      </w:pPr>
      <w:r>
        <w:rPr>
          <w:b/>
          <w:bCs/>
          <w:color w:val="3A0A17"/>
          <w:sz w:val="21"/>
          <w:szCs w:val="21"/>
        </w:rPr>
        <w:t xml:space="preserve">Turismo Comunitario &amp; Local — </w:t>
      </w:r>
      <w:r>
        <w:rPr>
          <w:color w:val="222222"/>
          <w:sz w:val="21"/>
          <w:szCs w:val="21"/>
        </w:rPr>
        <w:t xml:space="preserve">se compromete a emplear guías egresados de UTU, productores artesanales y transportistas locales de Salto, con un dato de respaldo: la propia Tecnicatura certifica por niveles (Guía Turístico Básico, Técnico en Itinerarios Turísticos, Tecnólogo) dentro del Polo Educativo Tecnológico Salto.</w:t>
      </w:r>
    </w:p>
    <w:p>
      <w:pPr>
        <w:pStyle w:val="ListParagraph"/>
        <w:numPr>
          <w:ilvl w:val="0"/>
          <w:numId w:val="2"/>
        </w:numPr>
        <w:spacing w:after="90" w:line="280"/>
      </w:pPr>
      <w:r>
        <w:rPr>
          <w:b/>
          <w:bCs/>
          <w:color w:val="3A0A17"/>
          <w:sz w:val="21"/>
          <w:szCs w:val="21"/>
        </w:rPr>
        <w:t xml:space="preserve">Viticultura Sostenible — </w:t>
      </w:r>
      <w:r>
        <w:rPr>
          <w:color w:val="222222"/>
          <w:sz w:val="21"/>
          <w:szCs w:val="21"/>
        </w:rPr>
        <w:t xml:space="preserve">se compromete al cuidado del Acuífero Guaraní y del suelo basáltico que le da identidad al Tannat, citando el Programa de Viticultura Sostenible de INAVI: en 2023 alcanzaba 162 viñedos certificados, el 31% de la superficie vitícola del país.</w:t>
      </w:r>
    </w:p>
    <w:p>
      <w:pPr>
        <w:pStyle w:val="ListParagraph"/>
        <w:numPr>
          <w:ilvl w:val="0"/>
          <w:numId w:val="2"/>
        </w:numPr>
        <w:spacing w:after="90" w:line="280"/>
      </w:pPr>
      <w:r>
        <w:rPr>
          <w:b/>
          <w:bCs/>
          <w:color w:val="3A0A17"/>
          <w:sz w:val="21"/>
          <w:szCs w:val="21"/>
        </w:rPr>
        <w:t xml:space="preserve">Rescate Patrimonial — </w:t>
      </w:r>
      <w:r>
        <w:rPr>
          <w:color w:val="222222"/>
          <w:sz w:val="21"/>
          <w:szCs w:val="21"/>
        </w:rPr>
        <w:t xml:space="preserve">se compromete a la conservación de las ruinas de Bodega Harriague junto a la Intendencia de Salto y la Universidad del País Vasco, mencionando que la Comisión Honoraria del Patrimonio Histórico de Salto pone en valor el sitio desde la década de 1980, con el acompañamiento internacional del proyecto U-riharri.</w:t>
      </w:r>
    </w:p>
    <w:p>
      <w:pPr>
        <w:spacing w:after="160" w:line="300"/>
        <w:jc w:val="both"/>
      </w:pPr>
      <w:r>
        <w:rPr>
          <w:b w:val="false"/>
          <w:bCs w:val="false"/>
          <w:i w:val="false"/>
          <w:iCs w:val="false"/>
          <w:color w:val="222222"/>
          <w:sz w:val="22"/>
          <w:szCs w:val="22"/>
        </w:rPr>
        <w:t xml:space="preserve">Cada uno de los tres pilares se presenta primero de forma breve y, al pasar el cursor o tocar la tarjeta (en mobile), se despliega un párrafo adicional con el dato duro que sostiene la afirmación. Es un patrón de "divulgación progresiva": la vista principal se mantiene liviana y escaneable, y quien quiere profundizar — como un miembro de tribunal — encuentra la fuente y el número exacto sin que la página se sature de texto para todos los visitantes por igual.</w:t>
      </w:r>
    </w:p>
    <w:p>
      <w:r>
        <w:br w:type="page"/>
      </w:r>
    </w:p>
    <w:p>
      <w:pPr>
        <w:pStyle w:val="Heading1"/>
        <w:pBdr>
          <w:bottom w:val="single" w:color="9C7A28" w:sz="6" w:space="4"/>
        </w:pBdr>
        <w:spacing w:after="200" w:before="420"/>
      </w:pPr>
      <w:r>
        <w:rPr>
          <w:rFonts w:ascii="Georgia" w:cs="Georgia" w:eastAsia="Georgia" w:hAnsi="Georgia"/>
          <w:b/>
          <w:bCs/>
          <w:color w:val="6B1220"/>
          <w:sz w:val="30"/>
          <w:szCs w:val="30"/>
        </w:rPr>
        <w:t xml:space="preserve">7. Aspectos Técnicos del Sitio Web</w:t>
      </w:r>
    </w:p>
    <w:p>
      <w:pPr>
        <w:spacing w:after="160" w:line="300"/>
        <w:jc w:val="both"/>
      </w:pPr>
      <w:r>
        <w:rPr>
          <w:b w:val="false"/>
          <w:bCs w:val="false"/>
          <w:i w:val="false"/>
          <w:iCs w:val="false"/>
          <w:color w:val="222222"/>
          <w:sz w:val="22"/>
          <w:szCs w:val="22"/>
        </w:rPr>
        <w:t xml:space="preserve">Este apartado no corresponde a ninguna sección visible del sitio en particular: reúne información técnica transversal, pensada como material de apoyo para responder preguntas del tribunal sobre cómo está construida la web y por qué se tomaron esas decisiones.</w:t>
      </w:r>
    </w:p>
    <w:p>
      <w:pPr>
        <w:pStyle w:val="Heading2"/>
        <w:spacing w:after="120" w:before="260"/>
      </w:pPr>
      <w:r>
        <w:rPr>
          <w:rFonts w:ascii="Georgia" w:cs="Georgia" w:eastAsia="Georgia" w:hAnsi="Georgia"/>
          <w:b/>
          <w:bCs/>
          <w:color w:val="3A0A17"/>
          <w:sz w:val="24"/>
          <w:szCs w:val="24"/>
        </w:rPr>
        <w:t xml:space="preserve">Arquitectura general</w:t>
      </w:r>
    </w:p>
    <w:p>
      <w:pPr>
        <w:spacing w:after="160" w:line="300"/>
        <w:jc w:val="both"/>
      </w:pPr>
      <w:r>
        <w:rPr>
          <w:b w:val="false"/>
          <w:bCs w:val="false"/>
          <w:i w:val="false"/>
          <w:iCs w:val="false"/>
          <w:color w:val="222222"/>
          <w:sz w:val="22"/>
          <w:szCs w:val="22"/>
        </w:rPr>
        <w:t xml:space="preserve">El sitio es un único archivo HTML autocontenido (HTML, CSS y JavaScript, sin backend ni base de datos), publicado mediante Git y GitHub Pages. Es una decisión deliberada para un proyecto de esta escala: evita costos de servidor, no requiere mantenimiento de infraestructura y permite que cualquier integrante del equipo audite el código completo abriendo un solo archivo. El costo de esa simplicidad es no tener una base de datos propia — por eso las reservas, cotizaciones y comentarios de "Voces del Circuito" se canalizan a un contacto real de WhatsApp en lugar de simularse con un formulario que no llega a ningún lado.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80"/>
      </w:tblGrid>
      <w:tr>
        <w:trPr>
          <w:tblHeader/>
        </w:trPr>
        <w:tc>
          <w:tcPr>
            <w:tcW w:type="dxa" w:w="2400"/>
            <w:shd w:fill="6B1220" w:color="auto" w:val="clear"/>
            <w:tcMar>
              <w:top w:type="dxa" w:w="100"/>
              <w:left w:type="dxa" w:w="120"/>
              <w:bottom w:type="dxa" w:w="100"/>
              <w:right w:type="dxa" w:w="120"/>
            </w:tcMar>
            <w:vAlign w:val="center"/>
          </w:tcPr>
          <w:p>
            <w:pPr>
              <w:jc w:val="left"/>
            </w:pPr>
            <w:r>
              <w:rPr>
                <w:b/>
                <w:bCs/>
                <w:color w:val="FFFFFF"/>
                <w:sz w:val="19"/>
                <w:szCs w:val="19"/>
              </w:rPr>
              <w:t xml:space="preserve">Capa</w:t>
            </w:r>
          </w:p>
        </w:tc>
        <w:tc>
          <w:tcPr>
            <w:tcW w:type="dxa" w:w="3200"/>
            <w:shd w:fill="6B1220" w:color="auto" w:val="clear"/>
            <w:tcMar>
              <w:top w:type="dxa" w:w="100"/>
              <w:left w:type="dxa" w:w="120"/>
              <w:bottom w:type="dxa" w:w="100"/>
              <w:right w:type="dxa" w:w="120"/>
            </w:tcMar>
            <w:vAlign w:val="center"/>
          </w:tcPr>
          <w:p>
            <w:pPr>
              <w:jc w:val="left"/>
            </w:pPr>
            <w:r>
              <w:rPr>
                <w:b/>
                <w:bCs/>
                <w:color w:val="FFFFFF"/>
                <w:sz w:val="19"/>
                <w:szCs w:val="19"/>
              </w:rPr>
              <w:t xml:space="preserve">Tecnología</w:t>
            </w:r>
          </w:p>
        </w:tc>
        <w:tc>
          <w:tcPr>
            <w:tcW w:type="dxa" w:w="4180"/>
            <w:shd w:fill="6B1220" w:color="auto" w:val="clear"/>
            <w:tcMar>
              <w:top w:type="dxa" w:w="100"/>
              <w:left w:type="dxa" w:w="120"/>
              <w:bottom w:type="dxa" w:w="100"/>
              <w:right w:type="dxa" w:w="120"/>
            </w:tcMar>
            <w:vAlign w:val="center"/>
          </w:tcPr>
          <w:p>
            <w:pPr>
              <w:jc w:val="left"/>
            </w:pPr>
            <w:r>
              <w:rPr>
                <w:b/>
                <w:bCs/>
                <w:color w:val="FFFFFF"/>
                <w:sz w:val="19"/>
                <w:szCs w:val="19"/>
              </w:rPr>
              <w:t xml:space="preserve">Rol en el sitio</w:t>
            </w:r>
          </w:p>
        </w:tc>
      </w:tr>
      <w:tr>
        <w:tc>
          <w:tcPr>
            <w:tcW w:type="dxa" w:w="2400"/>
            <w:tcMar>
              <w:top w:type="dxa" w:w="100"/>
              <w:left w:type="dxa" w:w="120"/>
              <w:bottom w:type="dxa" w:w="100"/>
              <w:right w:type="dxa" w:w="120"/>
            </w:tcMar>
            <w:vAlign w:val="center"/>
          </w:tcPr>
          <w:p>
            <w:pPr>
              <w:jc w:val="left"/>
            </w:pPr>
            <w:r>
              <w:rPr>
                <w:b/>
                <w:bCs/>
                <w:color w:val="222222"/>
                <w:sz w:val="19"/>
                <w:szCs w:val="19"/>
              </w:rPr>
              <w:t xml:space="preserve">Maquetado y lógica</w:t>
            </w:r>
          </w:p>
        </w:tc>
        <w:tc>
          <w:tcPr>
            <w:tcW w:type="dxa" w:w="3200"/>
            <w:tcMar>
              <w:top w:type="dxa" w:w="100"/>
              <w:left w:type="dxa" w:w="120"/>
              <w:bottom w:type="dxa" w:w="100"/>
              <w:right w:type="dxa" w:w="120"/>
            </w:tcMar>
            <w:vAlign w:val="center"/>
          </w:tcPr>
          <w:p>
            <w:pPr>
              <w:jc w:val="left"/>
            </w:pPr>
            <w:r>
              <w:rPr>
                <w:b w:val="false"/>
                <w:bCs w:val="false"/>
                <w:color w:val="222222"/>
                <w:sz w:val="19"/>
                <w:szCs w:val="19"/>
              </w:rPr>
              <w:t xml:space="preserve">HTML5 + JavaScript nativo</w:t>
            </w:r>
          </w:p>
        </w:tc>
        <w:tc>
          <w:tcPr>
            <w:tcW w:type="dxa" w:w="4180"/>
            <w:tcMar>
              <w:top w:type="dxa" w:w="100"/>
              <w:left w:type="dxa" w:w="120"/>
              <w:bottom w:type="dxa" w:w="100"/>
              <w:right w:type="dxa" w:w="120"/>
            </w:tcMar>
            <w:vAlign w:val="center"/>
          </w:tcPr>
          <w:p>
            <w:pPr>
              <w:jc w:val="left"/>
            </w:pPr>
            <w:r>
              <w:rPr>
                <w:b w:val="false"/>
                <w:bCs w:val="false"/>
                <w:color w:val="222222"/>
                <w:sz w:val="19"/>
                <w:szCs w:val="19"/>
              </w:rPr>
              <w:t xml:space="preserve">Sin frameworks ni paso de compilación: un solo archivo fácil de auditar y desplegar.</w:t>
            </w:r>
          </w:p>
        </w:tc>
      </w:tr>
      <w:tr>
        <w:tc>
          <w:tcPr>
            <w:tcW w:type="dxa" w:w="2400"/>
            <w:shd w:fill="F5EFE0" w:color="auto" w:val="clear"/>
            <w:tcMar>
              <w:top w:type="dxa" w:w="100"/>
              <w:left w:type="dxa" w:w="120"/>
              <w:bottom w:type="dxa" w:w="100"/>
              <w:right w:type="dxa" w:w="120"/>
            </w:tcMar>
            <w:vAlign w:val="center"/>
          </w:tcPr>
          <w:p>
            <w:pPr>
              <w:jc w:val="left"/>
            </w:pPr>
            <w:r>
              <w:rPr>
                <w:b/>
                <w:bCs/>
                <w:color w:val="222222"/>
                <w:sz w:val="19"/>
                <w:szCs w:val="19"/>
              </w:rPr>
              <w:t xml:space="preserve">Estilos</w:t>
            </w:r>
          </w:p>
        </w:tc>
        <w:tc>
          <w:tcPr>
            <w:tcW w:type="dxa" w:w="3200"/>
            <w:shd w:fill="F5EFE0" w:color="auto" w:val="clear"/>
            <w:tcMar>
              <w:top w:type="dxa" w:w="100"/>
              <w:left w:type="dxa" w:w="120"/>
              <w:bottom w:type="dxa" w:w="100"/>
              <w:right w:type="dxa" w:w="120"/>
            </w:tcMar>
            <w:vAlign w:val="center"/>
          </w:tcPr>
          <w:p>
            <w:pPr>
              <w:jc w:val="left"/>
            </w:pPr>
            <w:r>
              <w:rPr>
                <w:b w:val="false"/>
                <w:bCs w:val="false"/>
                <w:color w:val="222222"/>
                <w:sz w:val="19"/>
                <w:szCs w:val="19"/>
              </w:rPr>
              <w:t xml:space="preserve">Tailwind CSS</w:t>
            </w:r>
          </w:p>
        </w:tc>
        <w:tc>
          <w:tcPr>
            <w:tcW w:type="dxa" w:w="4180"/>
            <w:shd w:fill="F5EFE0" w:color="auto" w:val="clear"/>
            <w:tcMar>
              <w:top w:type="dxa" w:w="100"/>
              <w:left w:type="dxa" w:w="120"/>
              <w:bottom w:type="dxa" w:w="100"/>
              <w:right w:type="dxa" w:w="120"/>
            </w:tcMar>
            <w:vAlign w:val="center"/>
          </w:tcPr>
          <w:p>
            <w:pPr>
              <w:jc w:val="left"/>
            </w:pPr>
            <w:r>
              <w:rPr>
                <w:b w:val="false"/>
                <w:bCs w:val="false"/>
                <w:color w:val="222222"/>
                <w:sz w:val="19"/>
                <w:szCs w:val="19"/>
              </w:rPr>
              <w:t xml:space="preserve">Sistema de diseño propio con paleta nombrada según el proyecto: tannat, terroir, basalto, crema, oro.</w:t>
            </w:r>
          </w:p>
        </w:tc>
      </w:tr>
      <w:tr>
        <w:tc>
          <w:tcPr>
            <w:tcW w:type="dxa" w:w="2400"/>
            <w:tcMar>
              <w:top w:type="dxa" w:w="100"/>
              <w:left w:type="dxa" w:w="120"/>
              <w:bottom w:type="dxa" w:w="100"/>
              <w:right w:type="dxa" w:w="120"/>
            </w:tcMar>
            <w:vAlign w:val="center"/>
          </w:tcPr>
          <w:p>
            <w:pPr>
              <w:jc w:val="left"/>
            </w:pPr>
            <w:r>
              <w:rPr>
                <w:b/>
                <w:bCs/>
                <w:color w:val="222222"/>
                <w:sz w:val="19"/>
                <w:szCs w:val="19"/>
              </w:rPr>
              <w:t xml:space="preserve">Mapa interactivo</w:t>
            </w:r>
          </w:p>
        </w:tc>
        <w:tc>
          <w:tcPr>
            <w:tcW w:type="dxa" w:w="3200"/>
            <w:tcMar>
              <w:top w:type="dxa" w:w="100"/>
              <w:left w:type="dxa" w:w="120"/>
              <w:bottom w:type="dxa" w:w="100"/>
              <w:right w:type="dxa" w:w="120"/>
            </w:tcMar>
            <w:vAlign w:val="center"/>
          </w:tcPr>
          <w:p>
            <w:pPr>
              <w:jc w:val="left"/>
            </w:pPr>
            <w:r>
              <w:rPr>
                <w:b w:val="false"/>
                <w:bCs w:val="false"/>
                <w:color w:val="222222"/>
                <w:sz w:val="19"/>
                <w:szCs w:val="19"/>
              </w:rPr>
              <w:t xml:space="preserve">Leaflet.js + OpenStreetMap</w:t>
            </w:r>
          </w:p>
        </w:tc>
        <w:tc>
          <w:tcPr>
            <w:tcW w:type="dxa" w:w="4180"/>
            <w:tcMar>
              <w:top w:type="dxa" w:w="100"/>
              <w:left w:type="dxa" w:w="120"/>
              <w:bottom w:type="dxa" w:w="100"/>
              <w:right w:type="dxa" w:w="120"/>
            </w:tcMar>
            <w:vAlign w:val="center"/>
          </w:tcPr>
          <w:p>
            <w:pPr>
              <w:jc w:val="left"/>
            </w:pPr>
            <w:r>
              <w:rPr>
                <w:b w:val="false"/>
                <w:bCs w:val="false"/>
                <w:color w:val="222222"/>
                <w:sz w:val="19"/>
                <w:szCs w:val="19"/>
              </w:rPr>
              <w:t xml:space="preserve">Mapa real de las 4 estaciones del circuito, sin depender de una clave de API paga.</w:t>
            </w:r>
          </w:p>
        </w:tc>
      </w:tr>
      <w:tr>
        <w:tc>
          <w:tcPr>
            <w:tcW w:type="dxa" w:w="2400"/>
            <w:shd w:fill="F5EFE0" w:color="auto" w:val="clear"/>
            <w:tcMar>
              <w:top w:type="dxa" w:w="100"/>
              <w:left w:type="dxa" w:w="120"/>
              <w:bottom w:type="dxa" w:w="100"/>
              <w:right w:type="dxa" w:w="120"/>
            </w:tcMar>
            <w:vAlign w:val="center"/>
          </w:tcPr>
          <w:p>
            <w:pPr>
              <w:jc w:val="left"/>
            </w:pPr>
            <w:r>
              <w:rPr>
                <w:b/>
                <w:bCs/>
                <w:color w:val="222222"/>
                <w:sz w:val="19"/>
                <w:szCs w:val="19"/>
              </w:rPr>
              <w:t xml:space="preserve">Clima en vivo</w:t>
            </w:r>
          </w:p>
        </w:tc>
        <w:tc>
          <w:tcPr>
            <w:tcW w:type="dxa" w:w="3200"/>
            <w:shd w:fill="F5EFE0" w:color="auto" w:val="clear"/>
            <w:tcMar>
              <w:top w:type="dxa" w:w="100"/>
              <w:left w:type="dxa" w:w="120"/>
              <w:bottom w:type="dxa" w:w="100"/>
              <w:right w:type="dxa" w:w="120"/>
            </w:tcMar>
            <w:vAlign w:val="center"/>
          </w:tcPr>
          <w:p>
            <w:pPr>
              <w:jc w:val="left"/>
            </w:pPr>
            <w:r>
              <w:rPr>
                <w:b w:val="false"/>
                <w:bCs w:val="false"/>
                <w:color w:val="222222"/>
                <w:sz w:val="19"/>
                <w:szCs w:val="19"/>
              </w:rPr>
              <w:t xml:space="preserve">Open-Meteo API</w:t>
            </w:r>
          </w:p>
        </w:tc>
        <w:tc>
          <w:tcPr>
            <w:tcW w:type="dxa" w:w="4180"/>
            <w:shd w:fill="F5EFE0" w:color="auto" w:val="clear"/>
            <w:tcMar>
              <w:top w:type="dxa" w:w="100"/>
              <w:left w:type="dxa" w:w="120"/>
              <w:bottom w:type="dxa" w:w="100"/>
              <w:right w:type="dxa" w:w="120"/>
            </w:tcMar>
            <w:vAlign w:val="center"/>
          </w:tcPr>
          <w:p>
            <w:pPr>
              <w:jc w:val="left"/>
            </w:pPr>
            <w:r>
              <w:rPr>
                <w:b w:val="false"/>
                <w:bCs w:val="false"/>
                <w:color w:val="222222"/>
                <w:sz w:val="19"/>
                <w:szCs w:val="19"/>
              </w:rPr>
              <w:t xml:space="preserve">Temperatura y condición actual de Salto, visible en el encabezado en escritorio y mobile.</w:t>
            </w:r>
          </w:p>
        </w:tc>
      </w:tr>
      <w:tr>
        <w:tc>
          <w:tcPr>
            <w:tcW w:type="dxa" w:w="2400"/>
            <w:tcMar>
              <w:top w:type="dxa" w:w="100"/>
              <w:left w:type="dxa" w:w="120"/>
              <w:bottom w:type="dxa" w:w="100"/>
              <w:right w:type="dxa" w:w="120"/>
            </w:tcMar>
            <w:vAlign w:val="center"/>
          </w:tcPr>
          <w:p>
            <w:pPr>
              <w:jc w:val="left"/>
            </w:pPr>
            <w:r>
              <w:rPr>
                <w:b/>
                <w:bCs/>
                <w:color w:val="222222"/>
                <w:sz w:val="19"/>
                <w:szCs w:val="19"/>
              </w:rPr>
              <w:t xml:space="preserve">Contacto y reservas</w:t>
            </w:r>
          </w:p>
        </w:tc>
        <w:tc>
          <w:tcPr>
            <w:tcW w:type="dxa" w:w="3200"/>
            <w:tcMar>
              <w:top w:type="dxa" w:w="100"/>
              <w:left w:type="dxa" w:w="120"/>
              <w:bottom w:type="dxa" w:w="100"/>
              <w:right w:type="dxa" w:w="120"/>
            </w:tcMar>
            <w:vAlign w:val="center"/>
          </w:tcPr>
          <w:p>
            <w:pPr>
              <w:jc w:val="left"/>
            </w:pPr>
            <w:r>
              <w:rPr>
                <w:b w:val="false"/>
                <w:bCs w:val="false"/>
                <w:color w:val="222222"/>
                <w:sz w:val="19"/>
                <w:szCs w:val="19"/>
              </w:rPr>
              <w:t xml:space="preserve">WhatsApp Business (enlaces directos)</w:t>
            </w:r>
          </w:p>
        </w:tc>
        <w:tc>
          <w:tcPr>
            <w:tcW w:type="dxa" w:w="4180"/>
            <w:tcMar>
              <w:top w:type="dxa" w:w="100"/>
              <w:left w:type="dxa" w:w="120"/>
              <w:bottom w:type="dxa" w:w="100"/>
              <w:right w:type="dxa" w:w="120"/>
            </w:tcMar>
            <w:vAlign w:val="center"/>
          </w:tcPr>
          <w:p>
            <w:pPr>
              <w:jc w:val="left"/>
            </w:pPr>
            <w:r>
              <w:rPr>
                <w:b w:val="false"/>
                <w:bCs w:val="false"/>
                <w:color w:val="222222"/>
                <w:sz w:val="19"/>
                <w:szCs w:val="19"/>
              </w:rPr>
              <w:t xml:space="preserve">Reemplaza un backend de reservas por un canal real, ya usado por el visitante objetivo.</w:t>
            </w:r>
          </w:p>
        </w:tc>
      </w:tr>
      <w:tr>
        <w:tc>
          <w:tcPr>
            <w:tcW w:type="dxa" w:w="2400"/>
            <w:shd w:fill="F5EFE0" w:color="auto" w:val="clear"/>
            <w:tcMar>
              <w:top w:type="dxa" w:w="100"/>
              <w:left w:type="dxa" w:w="120"/>
              <w:bottom w:type="dxa" w:w="100"/>
              <w:right w:type="dxa" w:w="120"/>
            </w:tcMar>
            <w:vAlign w:val="center"/>
          </w:tcPr>
          <w:p>
            <w:pPr>
              <w:jc w:val="left"/>
            </w:pPr>
            <w:r>
              <w:rPr>
                <w:b/>
                <w:bCs/>
                <w:color w:val="222222"/>
                <w:sz w:val="19"/>
                <w:szCs w:val="19"/>
              </w:rPr>
              <w:t xml:space="preserve">Aplicación instalable</w:t>
            </w:r>
          </w:p>
        </w:tc>
        <w:tc>
          <w:tcPr>
            <w:tcW w:type="dxa" w:w="3200"/>
            <w:shd w:fill="F5EFE0" w:color="auto" w:val="clear"/>
            <w:tcMar>
              <w:top w:type="dxa" w:w="100"/>
              <w:left w:type="dxa" w:w="120"/>
              <w:bottom w:type="dxa" w:w="100"/>
              <w:right w:type="dxa" w:w="120"/>
            </w:tcMar>
            <w:vAlign w:val="center"/>
          </w:tcPr>
          <w:p>
            <w:pPr>
              <w:jc w:val="left"/>
            </w:pPr>
            <w:r>
              <w:rPr>
                <w:b w:val="false"/>
                <w:bCs w:val="false"/>
                <w:color w:val="222222"/>
                <w:sz w:val="19"/>
                <w:szCs w:val="19"/>
              </w:rPr>
              <w:t xml:space="preserve">Web App Manifest + Service Worker (PWA)</w:t>
            </w:r>
          </w:p>
        </w:tc>
        <w:tc>
          <w:tcPr>
            <w:tcW w:type="dxa" w:w="4180"/>
            <w:shd w:fill="F5EFE0" w:color="auto" w:val="clear"/>
            <w:tcMar>
              <w:top w:type="dxa" w:w="100"/>
              <w:left w:type="dxa" w:w="120"/>
              <w:bottom w:type="dxa" w:w="100"/>
              <w:right w:type="dxa" w:w="120"/>
            </w:tcMar>
            <w:vAlign w:val="center"/>
          </w:tcPr>
          <w:p>
            <w:pPr>
              <w:jc w:val="left"/>
            </w:pPr>
            <w:r>
              <w:rPr>
                <w:b w:val="false"/>
                <w:bCs w:val="false"/>
                <w:color w:val="222222"/>
                <w:sz w:val="19"/>
                <w:szCs w:val="19"/>
              </w:rPr>
              <w:t xml:space="preserve">El sitio puede instalarse en la pantalla de inicio del celular y funciona sin conexión.</w:t>
            </w:r>
          </w:p>
        </w:tc>
      </w:tr>
      <w:tr>
        <w:tc>
          <w:tcPr>
            <w:tcW w:type="dxa" w:w="2400"/>
            <w:tcMar>
              <w:top w:type="dxa" w:w="100"/>
              <w:left w:type="dxa" w:w="120"/>
              <w:bottom w:type="dxa" w:w="100"/>
              <w:right w:type="dxa" w:w="120"/>
            </w:tcMar>
            <w:vAlign w:val="center"/>
          </w:tcPr>
          <w:p>
            <w:pPr>
              <w:jc w:val="left"/>
            </w:pPr>
            <w:r>
              <w:rPr>
                <w:b/>
                <w:bCs/>
                <w:color w:val="222222"/>
                <w:sz w:val="19"/>
                <w:szCs w:val="19"/>
              </w:rPr>
              <w:t xml:space="preserve">Datos estructurados</w:t>
            </w:r>
          </w:p>
        </w:tc>
        <w:tc>
          <w:tcPr>
            <w:tcW w:type="dxa" w:w="3200"/>
            <w:tcMar>
              <w:top w:type="dxa" w:w="100"/>
              <w:left w:type="dxa" w:w="120"/>
              <w:bottom w:type="dxa" w:w="100"/>
              <w:right w:type="dxa" w:w="120"/>
            </w:tcMar>
            <w:vAlign w:val="center"/>
          </w:tcPr>
          <w:p>
            <w:pPr>
              <w:jc w:val="left"/>
            </w:pPr>
            <w:r>
              <w:rPr>
                <w:b w:val="false"/>
                <w:bCs w:val="false"/>
                <w:color w:val="222222"/>
                <w:sz w:val="19"/>
                <w:szCs w:val="19"/>
              </w:rPr>
              <w:t xml:space="preserve">JSON-LD (schema.org)</w:t>
            </w:r>
          </w:p>
        </w:tc>
        <w:tc>
          <w:tcPr>
            <w:tcW w:type="dxa" w:w="4180"/>
            <w:tcMar>
              <w:top w:type="dxa" w:w="100"/>
              <w:left w:type="dxa" w:w="120"/>
              <w:bottom w:type="dxa" w:w="100"/>
              <w:right w:type="dxa" w:w="120"/>
            </w:tcMar>
            <w:vAlign w:val="center"/>
          </w:tcPr>
          <w:p>
            <w:pPr>
              <w:jc w:val="left"/>
            </w:pPr>
            <w:r>
              <w:rPr>
                <w:b w:val="false"/>
                <w:bCs w:val="false"/>
                <w:color w:val="222222"/>
                <w:sz w:val="19"/>
                <w:szCs w:val="19"/>
              </w:rPr>
              <w:t xml:space="preserve">Ayuda a buscadores y asistentes de IA a entender qué es el sitio y qué ofrece.</w:t>
            </w:r>
          </w:p>
        </w:tc>
      </w:tr>
      <w:tr>
        <w:tc>
          <w:tcPr>
            <w:tcW w:type="dxa" w:w="2400"/>
            <w:shd w:fill="F5EFE0" w:color="auto" w:val="clear"/>
            <w:tcMar>
              <w:top w:type="dxa" w:w="100"/>
              <w:left w:type="dxa" w:w="120"/>
              <w:bottom w:type="dxa" w:w="100"/>
              <w:right w:type="dxa" w:w="120"/>
            </w:tcMar>
            <w:vAlign w:val="center"/>
          </w:tcPr>
          <w:p>
            <w:pPr>
              <w:jc w:val="left"/>
            </w:pPr>
            <w:r>
              <w:rPr>
                <w:b/>
                <w:bCs/>
                <w:color w:val="222222"/>
                <w:sz w:val="19"/>
                <w:szCs w:val="19"/>
              </w:rPr>
              <w:t xml:space="preserve">Hosting y despliegue</w:t>
            </w:r>
          </w:p>
        </w:tc>
        <w:tc>
          <w:tcPr>
            <w:tcW w:type="dxa" w:w="3200"/>
            <w:shd w:fill="F5EFE0" w:color="auto" w:val="clear"/>
            <w:tcMar>
              <w:top w:type="dxa" w:w="100"/>
              <w:left w:type="dxa" w:w="120"/>
              <w:bottom w:type="dxa" w:w="100"/>
              <w:right w:type="dxa" w:w="120"/>
            </w:tcMar>
            <w:vAlign w:val="center"/>
          </w:tcPr>
          <w:p>
            <w:pPr>
              <w:jc w:val="left"/>
            </w:pPr>
            <w:r>
              <w:rPr>
                <w:b w:val="false"/>
                <w:bCs w:val="false"/>
                <w:color w:val="222222"/>
                <w:sz w:val="19"/>
                <w:szCs w:val="19"/>
              </w:rPr>
              <w:t xml:space="preserve">Git + GitHub Pages</w:t>
            </w:r>
          </w:p>
        </w:tc>
        <w:tc>
          <w:tcPr>
            <w:tcW w:type="dxa" w:w="4180"/>
            <w:shd w:fill="F5EFE0" w:color="auto" w:val="clear"/>
            <w:tcMar>
              <w:top w:type="dxa" w:w="100"/>
              <w:left w:type="dxa" w:w="120"/>
              <w:bottom w:type="dxa" w:w="100"/>
              <w:right w:type="dxa" w:w="120"/>
            </w:tcMar>
            <w:vAlign w:val="center"/>
          </w:tcPr>
          <w:p>
            <w:pPr>
              <w:jc w:val="left"/>
            </w:pPr>
            <w:r>
              <w:rPr>
                <w:b w:val="false"/>
                <w:bCs w:val="false"/>
                <w:color w:val="222222"/>
                <w:sz w:val="19"/>
                <w:szCs w:val="19"/>
              </w:rPr>
              <w:t xml:space="preserve">Publicación continua e historial de cambios, sin costo de servidor.</w:t>
            </w:r>
          </w:p>
        </w:tc>
      </w:tr>
    </w:tbl>
    <w:p>
      <w:pPr>
        <w:spacing w:after="240" w:before="60"/>
      </w:pPr>
      <w:r>
        <w:rPr>
          <w:i/>
          <w:iCs/>
          <w:color w:val="5B5B5B"/>
          <w:sz w:val="18"/>
          <w:szCs w:val="18"/>
        </w:rPr>
        <w:t xml:space="preserve">Tabla 3. Resumen de la pila tecnológica del sitio.</w:t>
      </w:r>
    </w:p>
    <w:p>
      <w:pPr>
        <w:pStyle w:val="Heading2"/>
        <w:spacing w:after="120" w:before="260"/>
      </w:pPr>
      <w:r>
        <w:rPr>
          <w:rFonts w:ascii="Georgia" w:cs="Georgia" w:eastAsia="Georgia" w:hAnsi="Georgia"/>
          <w:b/>
          <w:bCs/>
          <w:color w:val="3A0A17"/>
          <w:sz w:val="24"/>
          <w:szCs w:val="24"/>
        </w:rPr>
        <w:t xml:space="preserve">Internacionalización (ES / PT / EN)</w:t>
      </w:r>
    </w:p>
    <w:p>
      <w:pPr>
        <w:spacing w:after="160" w:line="300"/>
        <w:jc w:val="both"/>
      </w:pPr>
      <w:r>
        <w:rPr>
          <w:b w:val="false"/>
          <w:bCs w:val="false"/>
          <w:i w:val="false"/>
          <w:iCs w:val="false"/>
          <w:color w:val="222222"/>
          <w:sz w:val="22"/>
          <w:szCs w:val="22"/>
        </w:rPr>
        <w:t xml:space="preserve">El sitio completo está disponible en español, portugués e inglés — una decisión directa del perfil de visitante esperado: turista uruguayo y argentino, turista brasileño (mercado clave para el litoral norte) y turista internacional de habla inglesa. El cambio de idioma no recarga la página: un diccionario en JavaScript reescribe en vivo el texto de más de cuarenta bloques de contenido mediante atributos data-i18n, incluyendo el widget de clima, el contador de días para el Día del Tannat y las fichas de cada bodega abiertas en ese momento.</w:t>
      </w:r>
    </w:p>
    <w:p>
      <w:pPr>
        <w:pStyle w:val="Heading2"/>
        <w:spacing w:after="120" w:before="260"/>
      </w:pPr>
      <w:r>
        <w:rPr>
          <w:rFonts w:ascii="Georgia" w:cs="Georgia" w:eastAsia="Georgia" w:hAnsi="Georgia"/>
          <w:b/>
          <w:bCs/>
          <w:color w:val="3A0A17"/>
          <w:sz w:val="24"/>
          <w:szCs w:val="24"/>
        </w:rPr>
        <w:t xml:space="preserve">Progressive Web App (aplicación instalable)</w:t>
      </w:r>
    </w:p>
    <w:p>
      <w:pPr>
        <w:spacing w:after="160" w:line="300"/>
        <w:jc w:val="both"/>
      </w:pPr>
      <w:r>
        <w:rPr>
          <w:b w:val="false"/>
          <w:bCs w:val="false"/>
          <w:i w:val="false"/>
          <w:iCs w:val="false"/>
          <w:color w:val="222222"/>
          <w:sz w:val="22"/>
          <w:szCs w:val="22"/>
        </w:rPr>
        <w:t xml:space="preserve">Además de funcionar como sitio web, el proyecto está empaquetado como Progressive Web App: cuenta con manifest.json (nombre, colores, íconos) y un Service Worker que guarda en caché el "esqueleto" de la app (HTML, tipografías, ícono) para que cargue incluso con conexión inestable, típica de zonas rurales o termales. Incluye íconos adaptables ("maskable") para que se vean correctamente sin importar la forma de ícono que use cada teléfono Android.</w:t>
      </w:r>
    </w:p>
    <w:p>
      <w:pPr>
        <w:pStyle w:val="Heading2"/>
        <w:spacing w:after="120" w:before="260"/>
      </w:pPr>
      <w:r>
        <w:rPr>
          <w:rFonts w:ascii="Georgia" w:cs="Georgia" w:eastAsia="Georgia" w:hAnsi="Georgia"/>
          <w:b/>
          <w:bCs/>
          <w:color w:val="3A0A17"/>
          <w:sz w:val="24"/>
          <w:szCs w:val="24"/>
        </w:rPr>
        <w:t xml:space="preserve">Accesibilidad y rendimiento</w:t>
      </w:r>
    </w:p>
    <w:p>
      <w:pPr>
        <w:pStyle w:val="ListParagraph"/>
        <w:numPr>
          <w:ilvl w:val="0"/>
          <w:numId w:val="2"/>
        </w:numPr>
        <w:spacing w:after="90" w:line="280"/>
      </w:pPr>
      <w:r>
        <w:rPr>
          <w:b/>
          <w:bCs/>
          <w:color w:val="3A0A17"/>
          <w:sz w:val="21"/>
          <w:szCs w:val="21"/>
        </w:rPr>
        <w:t xml:space="preserve">Navegación por teclado — </w:t>
      </w:r>
      <w:r>
        <w:rPr>
          <w:color w:val="222222"/>
          <w:sz w:val="21"/>
          <w:szCs w:val="21"/>
        </w:rPr>
        <w:t xml:space="preserve">todas las tarjetas, botones y menús interactivos son accesibles con Tab/Enter/Espacio, no solo con mouse o dedo.</w:t>
      </w:r>
    </w:p>
    <w:p>
      <w:pPr>
        <w:pStyle w:val="ListParagraph"/>
        <w:numPr>
          <w:ilvl w:val="0"/>
          <w:numId w:val="2"/>
        </w:numPr>
        <w:spacing w:after="90" w:line="280"/>
      </w:pPr>
      <w:r>
        <w:rPr>
          <w:b/>
          <w:bCs/>
          <w:color w:val="3A0A17"/>
          <w:sz w:val="21"/>
          <w:szCs w:val="21"/>
        </w:rPr>
        <w:t xml:space="preserve">Preferencias del sistema respetadas — </w:t>
      </w:r>
      <w:r>
        <w:rPr>
          <w:color w:val="222222"/>
          <w:sz w:val="21"/>
          <w:szCs w:val="21"/>
        </w:rPr>
        <w:t xml:space="preserve">las animaciones (aparición al hacer scroll, tarjetas 3D) se desactivan automáticamente si el visitante tiene activada la opción "reducir movimiento" en su sistema operativo.</w:t>
      </w:r>
    </w:p>
    <w:p>
      <w:pPr>
        <w:pStyle w:val="ListParagraph"/>
        <w:numPr>
          <w:ilvl w:val="0"/>
          <w:numId w:val="2"/>
        </w:numPr>
        <w:spacing w:after="90" w:line="280"/>
      </w:pPr>
      <w:r>
        <w:rPr>
          <w:b/>
          <w:bCs/>
          <w:color w:val="3A0A17"/>
          <w:sz w:val="21"/>
          <w:szCs w:val="21"/>
        </w:rPr>
        <w:t xml:space="preserve">Carga eficiente de imágenes — </w:t>
      </w:r>
      <w:r>
        <w:rPr>
          <w:color w:val="222222"/>
          <w:sz w:val="21"/>
          <w:szCs w:val="21"/>
        </w:rPr>
        <w:t xml:space="preserve">las fotografías fuera de la primera pantalla usan carga diferida (lazy loading), para no penalizar el tiempo de carga inicial del sitio.</w:t>
      </w:r>
    </w:p>
    <w:p>
      <w:pPr>
        <w:pStyle w:val="ListParagraph"/>
        <w:numPr>
          <w:ilvl w:val="0"/>
          <w:numId w:val="2"/>
        </w:numPr>
        <w:spacing w:after="90" w:line="280"/>
      </w:pPr>
      <w:r>
        <w:rPr>
          <w:b/>
          <w:bCs/>
          <w:color w:val="3A0A17"/>
          <w:sz w:val="21"/>
          <w:szCs w:val="21"/>
        </w:rPr>
        <w:t xml:space="preserve">Menú mobile con cierre automático — </w:t>
      </w:r>
      <w:r>
        <w:rPr>
          <w:color w:val="222222"/>
          <w:sz w:val="21"/>
          <w:szCs w:val="21"/>
        </w:rPr>
        <w:t xml:space="preserve">en celulares, el menú hamburguesa se cierra solo apenas se toca un enlace de sección, evitando que quede tapando el contenido.</w:t>
      </w:r>
    </w:p>
    <w:p>
      <w:pPr>
        <w:pStyle w:val="Heading2"/>
        <w:spacing w:after="120" w:before="260"/>
      </w:pPr>
      <w:r>
        <w:rPr>
          <w:rFonts w:ascii="Georgia" w:cs="Georgia" w:eastAsia="Georgia" w:hAnsi="Georgia"/>
          <w:b/>
          <w:bCs/>
          <w:color w:val="3A0A17"/>
          <w:sz w:val="24"/>
          <w:szCs w:val="24"/>
        </w:rPr>
        <w:t xml:space="preserve">Diseño de movimiento</w:t>
      </w:r>
    </w:p>
    <w:p>
      <w:pPr>
        <w:spacing w:after="160" w:line="300"/>
        <w:jc w:val="both"/>
      </w:pPr>
      <w:r>
        <w:rPr>
          <w:b w:val="false"/>
          <w:bCs w:val="false"/>
          <w:i w:val="false"/>
          <w:iCs w:val="false"/>
          <w:color w:val="222222"/>
          <w:sz w:val="22"/>
          <w:szCs w:val="22"/>
        </w:rPr>
        <w:t xml:space="preserve">Dos recursos de animación, construidos sin librerías externas: (1) una revelación progresiva de secciones al hacer scroll, basada en IntersectionObserver, con una "red de seguridad" que fuerza la aparición del contenido a los pocos segundos si por algún motivo el navegador no dispara el evento; y (2) tarjetas con giro 3D (transformaciones CSS en el eje Y) en la línea de tiempo de Pascual Harriague, que revelan un dato curioso adicional al tocarlas, con la altura de cada tarjeta recalculada por JavaScript para que el contenido nunca se corte en ningún idioma.</w:t>
      </w:r>
    </w:p>
    <w:p>
      <w:pPr>
        <w:pStyle w:val="Heading2"/>
        <w:spacing w:after="120" w:before="260"/>
      </w:pPr>
      <w:r>
        <w:rPr>
          <w:rFonts w:ascii="Georgia" w:cs="Georgia" w:eastAsia="Georgia" w:hAnsi="Georgia"/>
          <w:b/>
          <w:bCs/>
          <w:color w:val="3A0A17"/>
          <w:sz w:val="24"/>
          <w:szCs w:val="24"/>
        </w:rPr>
        <w:t xml:space="preserve">Un estándar propio de veracidad de contenido</w:t>
      </w:r>
    </w:p>
    <w:p>
      <w:pPr>
        <w:spacing w:after="160" w:line="300"/>
        <w:jc w:val="both"/>
      </w:pPr>
      <w:r>
        <w:rPr>
          <w:b w:val="false"/>
          <w:bCs w:val="false"/>
          <w:i w:val="false"/>
          <w:iCs w:val="false"/>
          <w:color w:val="222222"/>
          <w:sz w:val="22"/>
          <w:szCs w:val="22"/>
        </w:rPr>
        <w:t xml:space="preserve">A lo largo de todo el desarrollo se sostuvo un criterio no negociable: cada foto, cada enlace institucional, cada fecha histórica y cada cifra debía poder verificarse contra una fuente real antes de publicarse. Esto se tradujo en decisiones concretas que también son defendibles ante un tribunal:</w:t>
      </w:r>
    </w:p>
    <w:p>
      <w:pPr>
        <w:pStyle w:val="ListParagraph"/>
        <w:numPr>
          <w:ilvl w:val="0"/>
          <w:numId w:val="2"/>
        </w:numPr>
        <w:spacing w:after="90" w:line="280"/>
      </w:pPr>
      <w:r>
        <w:rPr>
          <w:b/>
          <w:bCs/>
          <w:color w:val="3A0A17"/>
          <w:sz w:val="21"/>
          <w:szCs w:val="21"/>
        </w:rPr>
        <w:t xml:space="preserve">Fotografía con procedencia — </w:t>
      </w:r>
      <w:r>
        <w:rPr>
          <w:color w:val="222222"/>
          <w:sz w:val="21"/>
          <w:szCs w:val="21"/>
        </w:rPr>
        <w:t xml:space="preserve">toda imagen no tomada por el propio equipo cita su fuente y licencia (por ejemplo, Wikimedia Commons bajo CC BY-SA, o material cedido por INAVI y Bodegas del Uruguay); cuando se usó una foto ilustrativa genérica (por ejemplo, en los paquetes turísticos), se lo aclaró explícitamente en el texto alternativo y en un crédito visible, para no hacer pasar una viña de otro país por una bodega salteña real.</w:t>
      </w:r>
    </w:p>
    <w:p>
      <w:pPr>
        <w:pStyle w:val="ListParagraph"/>
        <w:numPr>
          <w:ilvl w:val="0"/>
          <w:numId w:val="2"/>
        </w:numPr>
        <w:spacing w:after="90" w:line="280"/>
      </w:pPr>
      <w:r>
        <w:rPr>
          <w:b/>
          <w:bCs/>
          <w:color w:val="3A0A17"/>
          <w:sz w:val="21"/>
          <w:szCs w:val="21"/>
        </w:rPr>
        <w:t xml:space="preserve">Sin testimonios ni cifras inventadas — </w:t>
      </w:r>
      <w:r>
        <w:rPr>
          <w:color w:val="222222"/>
          <w:sz w:val="21"/>
          <w:szCs w:val="21"/>
        </w:rPr>
        <w:t xml:space="preserve">cuando no existía un dato real disponible — reseñas de visitantes, un precio grupal fijo — el sitio lo dice abiertamente en vez de rellenar el espacio con contenido ficticio.</w:t>
      </w:r>
    </w:p>
    <w:p>
      <w:pPr>
        <w:pStyle w:val="ListParagraph"/>
        <w:numPr>
          <w:ilvl w:val="0"/>
          <w:numId w:val="2"/>
        </w:numPr>
        <w:spacing w:after="90" w:line="280"/>
      </w:pPr>
      <w:r>
        <w:rPr>
          <w:b/>
          <w:bCs/>
          <w:color w:val="3A0A17"/>
          <w:sz w:val="21"/>
          <w:szCs w:val="21"/>
        </w:rPr>
        <w:t xml:space="preserve">Enlaces y coordenadas verificados — </w:t>
      </w:r>
      <w:r>
        <w:rPr>
          <w:color w:val="222222"/>
          <w:sz w:val="21"/>
          <w:szCs w:val="21"/>
        </w:rPr>
        <w:t xml:space="preserve">cada dirección, sitio web de hotel o bodega y coordenada GPS del mapa fue contrastada contra la fuente oficial correspondiente antes de publicarse.</w:t>
      </w:r>
    </w:p>
    <w:p>
      <w:pPr>
        <w:pStyle w:val="Heading2"/>
        <w:spacing w:after="120" w:before="260"/>
      </w:pPr>
      <w:r>
        <w:rPr>
          <w:rFonts w:ascii="Georgia" w:cs="Georgia" w:eastAsia="Georgia" w:hAnsi="Georgia"/>
          <w:b/>
          <w:bCs/>
          <w:color w:val="3A0A17"/>
          <w:sz w:val="24"/>
          <w:szCs w:val="24"/>
        </w:rPr>
        <w:t xml:space="preserve">Control de versiones y despliegue</w:t>
      </w:r>
    </w:p>
    <w:p>
      <w:pPr>
        <w:spacing w:after="160" w:line="300"/>
        <w:jc w:val="both"/>
      </w:pPr>
      <w:r>
        <w:rPr>
          <w:b w:val="false"/>
          <w:bCs w:val="false"/>
          <w:i w:val="false"/>
          <w:iCs w:val="false"/>
          <w:color w:val="222222"/>
          <w:sz w:val="22"/>
          <w:szCs w:val="22"/>
        </w:rPr>
        <w:t xml:space="preserve">El desarrollo se llevó adelante con control de versiones Git, con historial completo de cambios incrementales, y se publica de forma continua en GitHub Pages: cada actualización aprobada queda disponible en la URL pública del proyecto en minutos, sin pasos manuales de subida de archivos.</w:t>
      </w:r>
    </w:p>
    <w:p>
      <w:r>
        <w:br w:type="page"/>
      </w:r>
    </w:p>
    <w:p>
      <w:pPr>
        <w:pStyle w:val="Heading1"/>
        <w:pBdr>
          <w:bottom w:val="single" w:color="9C7A28" w:sz="6" w:space="4"/>
        </w:pBdr>
        <w:spacing w:after="200" w:before="420"/>
      </w:pPr>
      <w:r>
        <w:rPr>
          <w:rFonts w:ascii="Georgia" w:cs="Georgia" w:eastAsia="Georgia" w:hAnsi="Georgia"/>
          <w:b/>
          <w:bCs/>
          <w:color w:val="6B1220"/>
          <w:sz w:val="30"/>
          <w:szCs w:val="30"/>
        </w:rPr>
        <w:t xml:space="preserve">Cierre</w:t>
      </w:r>
    </w:p>
    <w:p>
      <w:pPr>
        <w:spacing w:after="160" w:line="300"/>
        <w:jc w:val="both"/>
      </w:pPr>
      <w:r>
        <w:rPr>
          <w:b w:val="false"/>
          <w:bCs w:val="false"/>
          <w:i w:val="false"/>
          <w:iCs w:val="false"/>
          <w:color w:val="222222"/>
          <w:sz w:val="22"/>
          <w:szCs w:val="22"/>
        </w:rPr>
        <w:t xml:space="preserve">Los seis componentes desarrollados en este documento — apertura, ficha de bodega, estacionalidad, paquetes, confianza institucional y misión/visión — comparten un mismo criterio de fondo: priorizar el dato real y verificable por sobre el efecto visual o el texto de relleno, incluso cuando eso significó mostrar honestamente las limitaciones de un proyecto recién nacido, como en "Voces del Circuito".</w:t>
      </w:r>
    </w:p>
    <w:p>
      <w:pPr>
        <w:spacing w:after="160" w:line="300"/>
        <w:jc w:val="both"/>
      </w:pPr>
      <w:r>
        <w:rPr>
          <w:b w:val="false"/>
          <w:bCs w:val="false"/>
          <w:i w:val="false"/>
          <w:iCs w:val="false"/>
          <w:color w:val="222222"/>
          <w:sz w:val="22"/>
          <w:szCs w:val="22"/>
        </w:rPr>
        <w:t xml:space="preserve">El apartado técnico complementa esa misma lógica desde el código: una arquitectura simple y auditable, integraciones reales (mapa, clima, WhatsApp) en lugar de simulaciones, y una aplicación instalable que extiende el alcance del sitio más allá del navegador. El resultado es una herramienta que el equipo puede sostener y seguir haciendo crecer después de esta defensa, con la misma base técnica y el mismo estándar de veracidad con que fue construida.</w:t>
      </w:r>
    </w:p>
    <w:p>
      <w:pPr>
        <w:spacing w:before="500"/>
      </w:pPr>
      <w:r>
        <w:rPr>
          <w:b/>
          <w:bCs/>
          <w:color w:val="6B1220"/>
          <w:sz w:val="20"/>
          <w:szCs w:val="20"/>
        </w:rPr>
        <w:t xml:space="preserve">Federico Camara · Homero Texeira · Anthony Moreira</w:t>
      </w:r>
    </w:p>
    <w:p>
      <w:r>
        <w:rPr>
          <w:i/>
          <w:iCs/>
          <w:color w:val="5B5B5B"/>
          <w:sz w:val="18"/>
          <w:szCs w:val="18"/>
        </w:rPr>
        <w:t xml:space="preserve">Tecnicatura en Diseño de Itinerarios Turísticos Sostenibles — Polo Educativo Tecnológico Salto (DGETP-UTU)</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Ruta del Tannat — Documento de Presentación ante Tribunal</dc:title>
  <dc:creator>Federico Camara, Homero Texeira, Anthony Moreira</dc:creator>
  <dc:description>Justificación y desarrollo de componentes clave del sitio web La Ruta del Tannat</dc:description>
  <cp:lastModifiedBy>Un-named</cp:lastModifiedBy>
  <cp:revision>1</cp:revision>
  <dcterms:created xsi:type="dcterms:W3CDTF">2026-09-15T10:32:03.710Z</dcterms:created>
  <dcterms:modified xsi:type="dcterms:W3CDTF">2026-09-15T10:32:03.711Z</dcterms:modified>
</cp:coreProperties>
</file>

<file path=docProps/custom.xml><?xml version="1.0" encoding="utf-8"?>
<Properties xmlns="http://schemas.openxmlformats.org/officeDocument/2006/custom-properties" xmlns:vt="http://schemas.openxmlformats.org/officeDocument/2006/docPropsVTypes"/>
</file>