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0e101a"/>
          <w:sz w:val="32"/>
          <w:szCs w:val="32"/>
        </w:rPr>
      </w:pPr>
      <w:r w:rsidDel="00000000" w:rsidR="00000000" w:rsidRPr="00000000">
        <w:rPr>
          <w:rFonts w:ascii="Calibri" w:cs="Calibri" w:eastAsia="Calibri" w:hAnsi="Calibri"/>
          <w:b w:val="1"/>
          <w:color w:val="0e101a"/>
          <w:sz w:val="32"/>
          <w:szCs w:val="32"/>
          <w:rtl w:val="0"/>
        </w:rPr>
        <w:t xml:space="preserve">Master of Science - Computer Science</w:t>
      </w:r>
    </w:p>
    <w:p w:rsidR="00000000" w:rsidDel="00000000" w:rsidP="00000000" w:rsidRDefault="00000000" w:rsidRPr="00000000" w14:paraId="0000000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Maryland</w:t>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Statement of Purpose</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Maryland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UMD's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