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Calibri" w:hAnsi="Calibri"/>
          <w:b/>
          <w:i w:val="0"/>
          <w:color w:val="1F4E79"/>
          <w:sz w:val="48"/>
        </w:rPr>
        <w:t>Recommendation-Systems-for-personalized-content-discovery</w:t>
      </w:r>
    </w:p>
    <w:p>
      <w:pPr>
        <w:spacing w:after="600"/>
        <w:jc w:val="center"/>
      </w:pPr>
      <w:r>
        <w:rPr>
          <w:rFonts w:ascii="Calibri" w:hAnsi="Calibri"/>
          <w:b w:val="0"/>
          <w:i/>
          <w:color w:val="7F7F7F"/>
          <w:sz w:val="22"/>
        </w:rPr>
        <w:t>An Exhaustive Academic Evaluation of Heterogeneous Hybrid Machine Learning Architectures</w:t>
        <w:br/>
        <w:t>and Deep Matrix Factorization Pipelines Trained on the Netflix Prize Dataset</w:t>
      </w:r>
    </w:p>
    <w:p>
      <w:pPr>
        <w:spacing w:after="1200"/>
        <w:jc w:val="center"/>
      </w:pPr>
      <w:r>
        <w:rPr>
          <w:rFonts w:ascii="Calibri" w:hAnsi="Calibri"/>
          <w:b/>
          <w:i w:val="0"/>
          <w:color w:val="7F7F7F"/>
          <w:sz w:val="22"/>
        </w:rPr>
        <w:t>Prepared and Submitted by:</w:t>
        <w:br/>
      </w:r>
      <w:r>
        <w:rPr>
          <w:rFonts w:ascii="Calibri" w:hAnsi="Calibri"/>
          <w:b/>
          <w:i w:val="0"/>
          <w:color w:val="262626"/>
          <w:sz w:val="22"/>
        </w:rPr>
        <w:t>Majji Homesh babu (Enrollment No: 23116055)</w:t>
        <w:br/>
        <w:t>B N S Pavan kumar (Enrollment No: 23116023)</w:t>
      </w:r>
    </w:p>
    <w:p>
      <w:pPr>
        <w:spacing w:before="2000"/>
        <w:jc w:val="center"/>
      </w:pPr>
      <w:r>
        <w:rPr>
          <w:rFonts w:ascii="Calibri" w:hAnsi="Calibri"/>
          <w:b w:val="0"/>
          <w:i w:val="0"/>
          <w:color w:val="262626"/>
          <w:sz w:val="22"/>
        </w:rPr>
        <w:t>Indian Institute of Technology Roorkee</w:t>
        <w:br/>
        <w:br/>
        <w:t>Academic Project Report — Term Ending June 2026</w:t>
      </w:r>
    </w:p>
    <w:p>
      <w:r>
        <w:br w:type="page"/>
      </w:r>
    </w:p>
    <w:p>
      <w:pPr>
        <w:keepNext/>
        <w:spacing w:before="400" w:after="80"/>
        <w:pBdr>
          <w:bottom w:val="single" w:sz="12" w:space="4" w:color="1F4E79"/>
        </w:pBdr>
      </w:pPr>
      <w:r>
        <w:rPr>
          <w:rFonts w:ascii="Calibri" w:hAnsi="Calibri"/>
          <w:b/>
          <w:i w:val="0"/>
          <w:color w:val="1F4E79"/>
          <w:sz w:val="28"/>
        </w:rPr>
        <w:t>1. Executive Summary &amp; Problem Scope</w:t>
      </w:r>
    </w:p>
    <w:p>
      <w:pPr>
        <w:spacing w:before="0" w:after="120" w:line="276" w:lineRule="auto"/>
      </w:pPr>
      <w:r>
        <w:t>Modern digital streaming ecosystems produce massive transaction log layers capturing interaction footprints between user distribution profiles and large-scale media content catalog indices. In this landscape, personalized item discovery engines are foundational tools for user retention and service scaling. However, the production deployment of these frameworks remains bounded by structural data sparsity. High-capacity rating logs often feature interaction distributions where over 98% of potential interaction coordinate cells are completely unobserved. This technical document profiles AURA-REC, a robust recommendation architecture trained on a highly descriptive, benchmarked subset of the Netflix Prize Dataset.</w:t>
      </w:r>
    </w:p>
    <w:p>
      <w:pPr>
        <w:spacing w:before="0" w:after="120" w:line="276" w:lineRule="auto"/>
      </w:pPr>
      <w:r>
        <w:t>To mitigate localized constraints of singular predictive frameworks, AURA-REC integrates five mathematical sub-engines into a hybrid configuration: Funk Matrix Factorization (SVD), Item-Based Collaborative Filtering, User-Based Collaborative Filtering, GPU-Accelerated deep Neural Collaborative Filtering (NeuMF), and Content-Based TF-IDF string proximity vectorizers. This architecture evaluates sparse user signals from multiple perspectives, capturing linear low-rank structures, local neighborhood items, global neighbor deviations, multi-layered non-linear embeddings, and vocabulary semantic profiles simultaneously.</w:t>
      </w:r>
    </w:p>
    <w:p>
      <w:pPr>
        <w:keepNext/>
        <w:spacing w:before="400" w:after="80"/>
        <w:pBdr>
          <w:bottom w:val="single" w:sz="12" w:space="4" w:color="1F4E79"/>
        </w:pBdr>
      </w:pPr>
      <w:r>
        <w:rPr>
          <w:rFonts w:ascii="Calibri" w:hAnsi="Calibri"/>
          <w:b/>
          <w:i w:val="0"/>
          <w:color w:val="1F4E79"/>
          <w:sz w:val="28"/>
        </w:rPr>
        <w:t>2. Dataset Properties &amp; Chronological Engineering Pipeline</w:t>
      </w:r>
    </w:p>
    <w:p>
      <w:r>
        <w:t xml:space="preserve">The technical framework isolates data operations within a custom asset management utility defined in </w:t>
      </w:r>
      <w:r>
        <w:rPr>
          <w:rFonts w:ascii="Calibri" w:hAnsi="Calibri"/>
          <w:b w:val="0"/>
          <w:i/>
          <w:color w:val="262626"/>
          <w:sz w:val="22"/>
        </w:rPr>
        <w:t>src/data_pipeline.py</w:t>
      </w:r>
      <w:r>
        <w:t>. This system parses the raw historical text tables, standardizes layout anomalies, and formats interaction logs into highly structured, continuous computational tensors via an array of automated stages:</w:t>
      </w:r>
    </w:p>
    <w:p>
      <w:pPr>
        <w:pStyle w:val="ListBullet"/>
        <w:spacing w:before="0" w:after="60" w:line="276" w:lineRule="auto"/>
      </w:pPr>
      <w:r>
        <w:rPr>
          <w:rFonts w:ascii="Calibri" w:hAnsi="Calibri"/>
          <w:b/>
          <w:i w:val="0"/>
          <w:color w:val="262626"/>
          <w:sz w:val="22"/>
        </w:rPr>
        <w:t xml:space="preserve">Dynamic Memory Optimization Limits: </w:t>
      </w:r>
      <w:r>
        <w:rPr>
          <w:rFonts w:ascii="Calibri" w:hAnsi="Calibri"/>
          <w:b w:val="0"/>
          <w:i w:val="0"/>
          <w:color w:val="262626"/>
          <w:sz w:val="22"/>
        </w:rPr>
        <w:t>The pipeline maps environmental variable tokens (NETFLIX_RATING_LIMIT) to implement strict bounds over running system RAM allocation frameworks. For prototyping and benchmarking, this environment constructs a representative subset of 2,000,000 global transactions from the primary combined ratings dataset.</w:t>
      </w:r>
    </w:p>
    <w:p>
      <w:pPr>
        <w:pStyle w:val="ListBullet"/>
        <w:spacing w:before="0" w:after="60" w:line="276" w:lineRule="auto"/>
      </w:pPr>
      <w:r>
        <w:rPr>
          <w:rFonts w:ascii="Calibri" w:hAnsi="Calibri"/>
          <w:b/>
          <w:i w:val="0"/>
          <w:color w:val="262626"/>
          <w:sz w:val="22"/>
        </w:rPr>
        <w:t xml:space="preserve">Contiguous Identifier Recoding: </w:t>
      </w:r>
      <w:r>
        <w:rPr>
          <w:rFonts w:ascii="Calibri" w:hAnsi="Calibri"/>
          <w:b w:val="0"/>
          <w:i w:val="0"/>
          <w:color w:val="262626"/>
          <w:sz w:val="22"/>
        </w:rPr>
        <w:t>Raw customer hashes and catalog index numbers are extracted and projected into dense, zero-indexed, contiguous tracking arrays. This encoding removes indexing overhead during vector transformations and sparse matrix multiplications inside modeling scripts.</w:t>
      </w:r>
    </w:p>
    <w:p>
      <w:pPr>
        <w:pStyle w:val="ListBullet"/>
        <w:spacing w:before="0" w:after="60" w:line="276" w:lineRule="auto"/>
      </w:pPr>
      <w:r>
        <w:rPr>
          <w:rFonts w:ascii="Calibri" w:hAnsi="Calibri"/>
          <w:b/>
          <w:i w:val="0"/>
          <w:color w:val="262626"/>
          <w:sz w:val="22"/>
        </w:rPr>
        <w:t xml:space="preserve">Chronological Per-User Traversal Splitting: </w:t>
      </w:r>
      <w:r>
        <w:rPr>
          <w:rFonts w:ascii="Calibri" w:hAnsi="Calibri"/>
          <w:b w:val="0"/>
          <w:i w:val="0"/>
          <w:color w:val="262626"/>
          <w:sz w:val="22"/>
        </w:rPr>
        <w:t>To accurately model production server deployments and protect the architecture from look-ahead leakage, data splits are evaluated sequentially per user profile. The system aggregates an individual's rating history by timestamp, utilizing the earliest 80% for train arrays and holding out the subsequent 20% for validation arrays. Users with extreme history dimensions containing fewer than 5 ratings are held inside the training layer to preserve structural representations.</w:t>
      </w:r>
    </w:p>
    <w:tbl>
      <w:tblPr>
        <w:tblW w:type="auto" w:w="0"/>
        <w:tblLayout w:type="fixed"/>
        <w:tblLook w:firstColumn="1" w:firstRow="1" w:lastColumn="0" w:lastRow="0" w:noHBand="0" w:noVBand="1" w:val="04A0"/>
      </w:tblPr>
      <w:tblGrid>
        <w:gridCol w:w="9360"/>
      </w:tblGrid>
      <w:tr>
        <w:tc>
          <w:tcPr>
            <w:tcW w:type="dxa" w:w="9360"/>
            <w:shd w:fill="F2F4F7"/>
            <w:tcBorders>
              <w:left w:val="single" w:sz="36" w:space="0" w:color="1F4E79"/>
              <w:top w:val="none"/>
              <w:right w:val="none"/>
              <w:bottom w:val="none"/>
            </w:tcBorders>
          </w:tcPr>
          <w:p>
            <w:pPr>
              <w:spacing w:before="80" w:after="80"/>
            </w:pPr>
            <w:r>
              <w:rPr>
                <w:rFonts w:ascii="Calibri" w:hAnsi="Calibri"/>
                <w:b/>
                <w:i w:val="0"/>
                <w:color w:val="1F4E79"/>
                <w:sz w:val="22"/>
              </w:rPr>
              <w:t>📊 Consolidated System Data Pipeline Metrics:</w:t>
              <w:br/>
            </w:r>
            <w:r>
              <w:rPr>
                <w:rFonts w:ascii="Calibri" w:hAnsi="Calibri"/>
                <w:b w:val="0"/>
                <w:i w:val="0"/>
                <w:color w:val="262626"/>
                <w:sz w:val="22"/>
              </w:rPr>
              <w:t xml:space="preserve">  • Unique User Profiling Records: 342,445 Customers</w:t>
              <w:br/>
              <w:t xml:space="preserve">  • Distinct Video Catalog Matrix Width: 361 Movie Indices</w:t>
              <w:br/>
              <w:t xml:space="preserve">  • Global Transaction Logs Ingested: 2,000,000 Ratings</w:t>
              <w:br/>
              <w:t xml:space="preserve">  • System Sparse Interaction Index: 98.3822% Sparsity Density</w:t>
              <w:br/>
              <w:t xml:space="preserve">  • Train Sub-Matrix Configuration: 1,626,828 Active Samples</w:t>
              <w:br/>
              <w:t xml:space="preserve">  • Test Sub-Matrix Validation Configuration: 373,172 Baseline Samples</w:t>
            </w:r>
          </w:p>
        </w:tc>
      </w:tr>
    </w:tbl>
    <w:p>
      <w:pPr>
        <w:keepNext/>
        <w:spacing w:before="400" w:after="80"/>
        <w:pBdr>
          <w:bottom w:val="single" w:sz="12" w:space="4" w:color="1F4E79"/>
        </w:pBdr>
      </w:pPr>
      <w:r>
        <w:rPr>
          <w:rFonts w:ascii="Calibri" w:hAnsi="Calibri"/>
          <w:b/>
          <w:i w:val="0"/>
          <w:color w:val="1F4E79"/>
          <w:sz w:val="28"/>
        </w:rPr>
        <w:t>3. Deep Dive Model Architecture &amp; Theoretical Formulations</w:t>
      </w:r>
    </w:p>
    <w:p>
      <w:pPr>
        <w:keepNext/>
        <w:spacing w:before="280" w:after="80"/>
      </w:pPr>
      <w:r>
        <w:rPr>
          <w:rFonts w:ascii="Calibri" w:hAnsi="Calibri"/>
          <w:b/>
          <w:i w:val="0"/>
          <w:color w:val="5B9BD5"/>
          <w:sz w:val="24"/>
        </w:rPr>
        <w:t>3.1 Funk SVD (Stochastic Gradient Descent Latent Factorization)</w:t>
      </w:r>
    </w:p>
    <w:p>
      <w:pPr>
        <w:spacing w:before="0" w:after="120" w:line="276" w:lineRule="auto"/>
      </w:pPr>
      <w:r>
        <w:t>The Funk SVD model projects both user preferences and video assets into an unobserved, low-rank latent factor workspace of dimension f=20. By compressing the large, sparse user-item interaction matrix into the product of two dense, lower-dimensional matrices, the model captures underlying linear trends in viewing behaviors. The rating projection parameterizing the compatibility space between user u and item i is modeled through an additive formulation:</w:t>
      </w:r>
    </w:p>
    <w:p>
      <w:pPr>
        <w:jc w:val="center"/>
      </w:pPr>
      <w:r>
        <w:rPr>
          <w:rFonts w:ascii="Times New Roman" w:hAnsi="Times New Roman"/>
          <w:b/>
          <w:i w:val="0"/>
          <w:color w:val="1F4E79"/>
          <w:sz w:val="24"/>
        </w:rPr>
        <w:t>r̂_ui = μ + b_u + b_i + P_u · Q_i^T</w:t>
      </w:r>
    </w:p>
    <w:p>
      <w:pPr>
        <w:spacing w:before="0" w:after="120" w:line="276" w:lineRule="auto"/>
      </w:pPr>
      <w:r>
        <w:t>Where μ accounts for the global dataset intercept score, b_u models the individual user deviation baseline, b_i scales the movie specific popularity displacement bias, P_u is the f-dimensional latent preference profile array, and Q_i represents the f-dimensional attribute description vector for the target media asset. Optimization is driven inside src/models.py using an iterative Stochastic Gradient Descent loop operating over 15 distinct training epochs.</w:t>
      </w:r>
    </w:p>
    <w:p>
      <w:pPr>
        <w:spacing w:before="0" w:after="120" w:line="276" w:lineRule="auto"/>
      </w:pPr>
      <w:r>
        <w:t>To ensure model convergence across sparse grid intersections, update rules are regularized using L2 parameter constraints (λ=0.04) combined with an optimized learning step η=0.007. For every training interaction sample, prediction errors are tracked via the gradient calculation rule:</w:t>
      </w:r>
    </w:p>
    <w:p>
      <w:pPr>
        <w:jc w:val="center"/>
      </w:pPr>
      <w:r>
        <w:rPr>
          <w:rFonts w:ascii="Times New Roman" w:hAnsi="Times New Roman"/>
          <w:b w:val="0"/>
          <w:i w:val="0"/>
          <w:color w:val="1F4E79"/>
          <w:sz w:val="20"/>
        </w:rPr>
        <w:t>e_ui = r_ui - r̂_ui</w:t>
        <w:br/>
        <w:t>b_u ← b_u + η × (e_ui - λ × b_u),   b_i ← b_i + η × (e_ui - λ × b_i)</w:t>
        <w:br/>
        <w:t>P_u ← P_u + η × (e_ui × Q_i - λ × P_u),   Q_i ← Q_i + η × (e_ui × P_u - λ × Q_i)</w:t>
      </w:r>
    </w:p>
    <w:p>
      <w:pPr>
        <w:keepNext/>
        <w:spacing w:before="280" w:after="80"/>
      </w:pPr>
      <w:r>
        <w:rPr>
          <w:rFonts w:ascii="Calibri" w:hAnsi="Calibri"/>
          <w:b/>
          <w:i w:val="0"/>
          <w:color w:val="5B9BD5"/>
          <w:sz w:val="24"/>
        </w:rPr>
        <w:t>3.2 Item-Based Collaborative Filtering (Sparse Cosine Optimization)</w:t>
      </w:r>
    </w:p>
    <w:p>
      <w:pPr>
        <w:spacing w:before="0" w:after="120" w:line="276" w:lineRule="auto"/>
      </w:pPr>
      <w:r>
        <w:t>The Item-Based Collaborative Filtering engine models item-to-item interactions by parsing columns within Compressed Sparse Row (CSR) matrices. To calculate proximity profiles between catalog movies, the algorithm uses standard angular cosine relationships. Crucially, to mitigate noise from items sharing very few co-ratings, the pipeline introduces an explicit shrinkage regularization parameter:</w:t>
      </w:r>
    </w:p>
    <w:p>
      <w:pPr>
        <w:jc w:val="center"/>
      </w:pPr>
      <w:r>
        <w:rPr>
          <w:rFonts w:ascii="Times New Roman" w:hAnsi="Times New Roman"/>
          <w:b/>
          <w:i w:val="0"/>
          <w:color w:val="1F4E79"/>
          <w:sz w:val="24"/>
        </w:rPr>
        <w:t>s_ij = ( |U_i ∩ U_j| / (|U_i ∩ U_j| + shrinkage) ) × ( (R_•i · R_•j) / (||R_•i|| × ||R_•j||) )</w:t>
      </w:r>
    </w:p>
    <w:p>
      <w:pPr>
        <w:spacing w:before="0" w:after="120" w:line="276" w:lineRule="auto"/>
      </w:pPr>
      <w:r>
        <w:t>Where |U_i ∩ U_j| measures the total count of customers who have rated both item i and item j simultaneously. The shrinkage parameter (set to 50) dampens similarity indicators for pairs that lack a stable historical foundation. During prediction, the model isolates a neighborhood of K=40 most similar movies via sparse partitioning arrays to calculate the final rating projection through a weighted mean.</w:t>
      </w:r>
    </w:p>
    <w:p>
      <w:pPr>
        <w:keepNext/>
        <w:spacing w:before="280" w:after="80"/>
      </w:pPr>
      <w:r>
        <w:rPr>
          <w:rFonts w:ascii="Calibri" w:hAnsi="Calibri"/>
          <w:b/>
          <w:i w:val="0"/>
          <w:color w:val="5B9BD5"/>
          <w:sz w:val="24"/>
        </w:rPr>
        <w:t>3.3 User-Based Collaborative Filtering (Dynamic Center CSC Modeling)</w:t>
      </w:r>
    </w:p>
    <w:p>
      <w:pPr>
        <w:spacing w:before="0" w:after="120" w:line="276" w:lineRule="auto"/>
      </w:pPr>
      <w:r>
        <w:t>User-Based Collaborative Filtering targets user similarities by identifying look-alike consumer clusters. To stabilize baseline variance, user ratings are centered by subtracting the user's historical mean rating from each active cell in the Compressed Sparse Column (CSC) matrix. The system computes user similarities dynamically, using shrinkage parameters (shrinkage=100) to penalize user pairs with minimal co-rated overlap. Predictions are derived by projecting the target user's baseline rating against the neighbors' mean-centered deviations within a K=40 neighborhood cluster.</w:t>
      </w:r>
    </w:p>
    <w:p>
      <w:pPr>
        <w:keepNext/>
        <w:spacing w:before="280" w:after="80"/>
      </w:pPr>
      <w:r>
        <w:rPr>
          <w:rFonts w:ascii="Calibri" w:hAnsi="Calibri"/>
          <w:b/>
          <w:i w:val="0"/>
          <w:color w:val="5B9BD5"/>
          <w:sz w:val="24"/>
        </w:rPr>
        <w:t>3.4 Neural Collaborative Filtering (PyTorch NeuMF Deep Architecture)</w:t>
      </w:r>
    </w:p>
    <w:p>
      <w:pPr>
        <w:spacing w:before="0" w:after="120" w:line="276" w:lineRule="auto"/>
      </w:pPr>
      <w:r>
        <w:t>AURA-REC introduces an advanced Neural Collaborative Filtering (NeuMF) architecture to capture non-linear, high-order interactions that traditional matrix factorization methods might miss. Implemented in PyTorch and accelerated via a T4 GPU infrastructure, the network feeds parallel user and item index tracking fields into two autonomous lookup paths:</w:t>
      </w:r>
    </w:p>
    <w:p>
      <w:pPr>
        <w:pStyle w:val="ListBullet"/>
        <w:spacing w:before="0" w:after="60" w:line="276" w:lineRule="auto"/>
      </w:pPr>
      <w:r>
        <w:rPr>
          <w:rFonts w:ascii="Calibri" w:hAnsi="Calibri"/>
          <w:b/>
          <w:i w:val="0"/>
          <w:color w:val="262626"/>
          <w:sz w:val="22"/>
        </w:rPr>
        <w:t xml:space="preserve">Generalized Matrix Factorization (GMF) Linear Layer: </w:t>
      </w:r>
      <w:r>
        <w:rPr>
          <w:rFonts w:ascii="Calibri" w:hAnsi="Calibri"/>
          <w:b w:val="0"/>
          <w:i w:val="0"/>
          <w:color w:val="262626"/>
          <w:sz w:val="22"/>
        </w:rPr>
        <w:t>Performs a direct element-wise vector dot product multiplication over specialized linear embedding channels, preserving low-order latent feature configurations.</w:t>
      </w:r>
    </w:p>
    <w:p>
      <w:pPr>
        <w:pStyle w:val="ListBullet"/>
        <w:spacing w:before="0" w:after="60" w:line="276" w:lineRule="auto"/>
      </w:pPr>
      <w:r>
        <w:rPr>
          <w:rFonts w:ascii="Calibri" w:hAnsi="Calibri"/>
          <w:b/>
          <w:i w:val="0"/>
          <w:color w:val="262626"/>
          <w:sz w:val="22"/>
        </w:rPr>
        <w:t xml:space="preserve">Deep Multi-Layer Perceptron (MLP) Branch: </w:t>
      </w:r>
      <w:r>
        <w:rPr>
          <w:rFonts w:ascii="Calibri" w:hAnsi="Calibri"/>
          <w:b w:val="0"/>
          <w:i w:val="0"/>
          <w:color w:val="262626"/>
          <w:sz w:val="22"/>
        </w:rPr>
        <w:t>Concatenates separate latent factor layers to construct a joint dense representation passed through a deep stack of dense hidden layers activated via rectified linear units (ReLU).</w:t>
      </w:r>
    </w:p>
    <w:p>
      <w:pPr>
        <w:spacing w:before="0" w:after="120" w:line="276" w:lineRule="auto"/>
      </w:pPr>
      <w:r>
        <w:t>The output vectors from the GMF and MLP paths are concatenated and passed through a final linear layer to project the predicted rating, bounded between 1.0 and 5.0. Optimization is handled using mean squared error loss metrics over 15 training epochs, and the weights are exported into compressed .npz binary packages for efficient inference.</w:t>
      </w:r>
    </w:p>
    <w:p>
      <w:pPr>
        <w:keepNext/>
        <w:spacing w:before="280" w:after="80"/>
      </w:pPr>
      <w:r>
        <w:rPr>
          <w:rFonts w:ascii="Calibri" w:hAnsi="Calibri"/>
          <w:b/>
          <w:i w:val="0"/>
          <w:color w:val="5B9BD5"/>
          <w:sz w:val="24"/>
        </w:rPr>
        <w:t>3.5 Content-Based Filtering (TF-IDF Text Alignment Engine)</w:t>
      </w:r>
    </w:p>
    <w:p>
      <w:pPr>
        <w:spacing w:before="0" w:after="120" w:line="276" w:lineRule="auto"/>
      </w:pPr>
      <w:r>
        <w:t>To mitigate cold-start issues for new users or sparsely rated assets, a Content-Based Filtering engine is integrated using text mining techniques from scikit-learn. Movie metadata titles are transformed into normalized token vocabularies using unigram and bigram ranges (max_features=5000), coupled with categorical era tokens like 'decade_1990s'. Dense user preference vectors are built by aggregating the content vectors of movies that users have rated highly (Rating ≥ 3.5), scaled by their respective satisfaction levels. Predicted affinities are then computed via vectorized dot products between the user preference vector and the target movie's TF-IDF profile, providing a robust fallback recommendation layer.</w:t>
      </w:r>
    </w:p>
    <w:p>
      <w:pPr>
        <w:keepNext/>
        <w:spacing w:before="400" w:after="80"/>
        <w:pBdr>
          <w:bottom w:val="single" w:sz="12" w:space="4" w:color="1F4E79"/>
        </w:pBdr>
      </w:pPr>
      <w:r>
        <w:rPr>
          <w:rFonts w:ascii="Calibri" w:hAnsi="Calibri"/>
          <w:b/>
          <w:i w:val="0"/>
          <w:color w:val="1F4E79"/>
          <w:sz w:val="28"/>
        </w:rPr>
        <w:t>4. System Performance Evaluation &amp; Benchmark Curves</w:t>
      </w:r>
    </w:p>
    <w:p>
      <w:pPr>
        <w:spacing w:before="0" w:after="120" w:line="276" w:lineRule="auto"/>
      </w:pPr>
      <w:r>
        <w:t>The offline evaluation framework measures recommendation accuracy across three core metrics: Root Mean Squared Error (RMSE), Mean Absolute Error (MAE), and Mean Average Precision at 10 (MAP@10). To compute the top-10 list relevance score without excessive performance overhead, the evaluation utility samples 100 historical test profiles, identifying true positives against an operational relevance threshold of ≥ 3.5.</w:t>
      </w:r>
    </w:p>
    <w:tbl>
      <w:tblPr>
        <w:tblW w:type="auto" w:w="0"/>
        <w:jc w:val="center"/>
        <w:tblLook w:firstColumn="1" w:firstRow="1" w:lastColumn="0" w:lastRow="0" w:noHBand="0" w:noVBand="1" w:val="04A0"/>
      </w:tblPr>
      <w:tblGrid>
        <w:gridCol w:w="2340"/>
        <w:gridCol w:w="2340"/>
        <w:gridCol w:w="2340"/>
        <w:gridCol w:w="2340"/>
      </w:tblGrid>
      <w:tr>
        <w:tc>
          <w:tcPr>
            <w:tcW w:type="dxa" w:w="3744"/>
            <w:shd w:fill="1F4E79"/>
          </w:tcPr>
          <w:p>
            <w:pPr>
              <w:jc w:val="center"/>
            </w:pPr>
            <w:r>
              <w:rPr>
                <w:b/>
                <w:color w:val="FFFFFF"/>
              </w:rPr>
              <w:t>Model Component Type</w:t>
            </w:r>
          </w:p>
        </w:tc>
        <w:tc>
          <w:tcPr>
            <w:tcW w:type="dxa" w:w="1872"/>
            <w:shd w:fill="1F4E79"/>
          </w:tcPr>
          <w:p>
            <w:pPr>
              <w:jc w:val="center"/>
            </w:pPr>
            <w:r>
              <w:rPr>
                <w:b/>
                <w:color w:val="FFFFFF"/>
              </w:rPr>
              <w:t>RMSE (Offline)</w:t>
            </w:r>
          </w:p>
        </w:tc>
        <w:tc>
          <w:tcPr>
            <w:tcW w:type="dxa" w:w="1872"/>
            <w:shd w:fill="1F4E79"/>
          </w:tcPr>
          <w:p>
            <w:pPr>
              <w:jc w:val="center"/>
            </w:pPr>
            <w:r>
              <w:rPr>
                <w:b/>
                <w:color w:val="FFFFFF"/>
              </w:rPr>
              <w:t>MAE (Offline)</w:t>
            </w:r>
          </w:p>
        </w:tc>
        <w:tc>
          <w:tcPr>
            <w:tcW w:type="dxa" w:w="1872"/>
            <w:shd w:fill="1F4E79"/>
          </w:tcPr>
          <w:p>
            <w:pPr>
              <w:jc w:val="center"/>
            </w:pPr>
            <w:r>
              <w:rPr>
                <w:b/>
                <w:color w:val="FFFFFF"/>
              </w:rPr>
              <w:t>MAP@10 Accuracy</w:t>
            </w:r>
          </w:p>
        </w:tc>
      </w:tr>
      <w:tr>
        <w:tc>
          <w:tcPr>
            <w:tcW w:type="dxa" w:w="3744"/>
            <w:shd w:fill="FFFFFF"/>
            <w:tcBorders>
              <w:bottom w:val="single" w:sz="4" w:space="0" w:color="D9D9D9"/>
              <w:top w:val="none"/>
              <w:left w:val="none"/>
              <w:right w:val="none"/>
            </w:tcBorders>
          </w:tcPr>
          <w:p>
            <w:pPr>
              <w:jc w:val="left"/>
            </w:pPr>
            <w:r>
              <w:t>Neural Collaborative Filtering (NeuMF)</w:t>
            </w:r>
          </w:p>
        </w:tc>
        <w:tc>
          <w:tcPr>
            <w:tcW w:type="dxa" w:w="1872"/>
            <w:shd w:fill="FFFFFF"/>
            <w:tcBorders>
              <w:bottom w:val="single" w:sz="4" w:space="0" w:color="D9D9D9"/>
              <w:top w:val="none"/>
              <w:left w:val="none"/>
              <w:right w:val="none"/>
            </w:tcBorders>
          </w:tcPr>
          <w:p>
            <w:pPr>
              <w:jc w:val="right"/>
            </w:pPr>
            <w:r>
              <w:t>0.9664</w:t>
            </w:r>
          </w:p>
        </w:tc>
        <w:tc>
          <w:tcPr>
            <w:tcW w:type="dxa" w:w="1872"/>
            <w:shd w:fill="FFFFFF"/>
            <w:tcBorders>
              <w:bottom w:val="single" w:sz="4" w:space="0" w:color="D9D9D9"/>
              <w:top w:val="none"/>
              <w:left w:val="none"/>
              <w:right w:val="none"/>
            </w:tcBorders>
          </w:tcPr>
          <w:p>
            <w:pPr>
              <w:jc w:val="right"/>
            </w:pPr>
            <w:r>
              <w:t>0.7612</w:t>
            </w:r>
          </w:p>
        </w:tc>
        <w:tc>
          <w:tcPr>
            <w:tcW w:type="dxa" w:w="1872"/>
            <w:shd w:fill="FFFFFF"/>
            <w:tcBorders>
              <w:bottom w:val="single" w:sz="4" w:space="0" w:color="D9D9D9"/>
              <w:top w:val="none"/>
              <w:left w:val="none"/>
              <w:right w:val="none"/>
            </w:tcBorders>
          </w:tcPr>
          <w:p>
            <w:pPr>
              <w:jc w:val="right"/>
            </w:pPr>
            <w:r>
              <w:t>0.1420</w:t>
            </w:r>
          </w:p>
        </w:tc>
      </w:tr>
      <w:tr>
        <w:tc>
          <w:tcPr>
            <w:tcW w:type="dxa" w:w="3744"/>
            <w:shd w:fill="F2F4F7"/>
            <w:tcBorders>
              <w:bottom w:val="single" w:sz="4" w:space="0" w:color="D9D9D9"/>
              <w:top w:val="none"/>
              <w:left w:val="none"/>
              <w:right w:val="none"/>
            </w:tcBorders>
          </w:tcPr>
          <w:p>
            <w:pPr>
              <w:jc w:val="left"/>
            </w:pPr>
            <w:r>
              <w:t>Item-Based Collaborative Filtering</w:t>
            </w:r>
          </w:p>
        </w:tc>
        <w:tc>
          <w:tcPr>
            <w:tcW w:type="dxa" w:w="1872"/>
            <w:shd w:fill="F2F4F7"/>
            <w:tcBorders>
              <w:bottom w:val="single" w:sz="4" w:space="0" w:color="D9D9D9"/>
              <w:top w:val="none"/>
              <w:left w:val="none"/>
              <w:right w:val="none"/>
            </w:tcBorders>
          </w:tcPr>
          <w:p>
            <w:pPr>
              <w:jc w:val="right"/>
            </w:pPr>
            <w:r>
              <w:t>0.9810</w:t>
            </w:r>
          </w:p>
        </w:tc>
        <w:tc>
          <w:tcPr>
            <w:tcW w:type="dxa" w:w="1872"/>
            <w:shd w:fill="F2F4F7"/>
            <w:tcBorders>
              <w:bottom w:val="single" w:sz="4" w:space="0" w:color="D9D9D9"/>
              <w:top w:val="none"/>
              <w:left w:val="none"/>
              <w:right w:val="none"/>
            </w:tcBorders>
          </w:tcPr>
          <w:p>
            <w:pPr>
              <w:jc w:val="right"/>
            </w:pPr>
            <w:r>
              <w:t>0.7845</w:t>
            </w:r>
          </w:p>
        </w:tc>
        <w:tc>
          <w:tcPr>
            <w:tcW w:type="dxa" w:w="1872"/>
            <w:shd w:fill="F2F4F7"/>
            <w:tcBorders>
              <w:bottom w:val="single" w:sz="4" w:space="0" w:color="D9D9D9"/>
              <w:top w:val="none"/>
              <w:left w:val="none"/>
              <w:right w:val="none"/>
            </w:tcBorders>
          </w:tcPr>
          <w:p>
            <w:pPr>
              <w:jc w:val="right"/>
            </w:pPr>
            <w:r>
              <w:t>0.1150</w:t>
            </w:r>
          </w:p>
        </w:tc>
      </w:tr>
      <w:tr>
        <w:tc>
          <w:tcPr>
            <w:tcW w:type="dxa" w:w="3744"/>
            <w:shd w:fill="FFFFFF"/>
            <w:tcBorders>
              <w:bottom w:val="single" w:sz="4" w:space="0" w:color="D9D9D9"/>
              <w:top w:val="none"/>
              <w:left w:val="none"/>
              <w:right w:val="none"/>
            </w:tcBorders>
          </w:tcPr>
          <w:p>
            <w:pPr>
              <w:jc w:val="left"/>
            </w:pPr>
            <w:r>
              <w:t>User-Based Collaborative Filtering</w:t>
            </w:r>
          </w:p>
        </w:tc>
        <w:tc>
          <w:tcPr>
            <w:tcW w:type="dxa" w:w="1872"/>
            <w:shd w:fill="FFFFFF"/>
            <w:tcBorders>
              <w:bottom w:val="single" w:sz="4" w:space="0" w:color="D9D9D9"/>
              <w:top w:val="none"/>
              <w:left w:val="none"/>
              <w:right w:val="none"/>
            </w:tcBorders>
          </w:tcPr>
          <w:p>
            <w:pPr>
              <w:jc w:val="right"/>
            </w:pPr>
            <w:r>
              <w:t>1.0025</w:t>
            </w:r>
          </w:p>
        </w:tc>
        <w:tc>
          <w:tcPr>
            <w:tcW w:type="dxa" w:w="1872"/>
            <w:shd w:fill="FFFFFF"/>
            <w:tcBorders>
              <w:bottom w:val="single" w:sz="4" w:space="0" w:color="D9D9D9"/>
              <w:top w:val="none"/>
              <w:left w:val="none"/>
              <w:right w:val="none"/>
            </w:tcBorders>
          </w:tcPr>
          <w:p>
            <w:pPr>
              <w:jc w:val="right"/>
            </w:pPr>
            <w:r>
              <w:t>0.8034</w:t>
            </w:r>
          </w:p>
        </w:tc>
        <w:tc>
          <w:tcPr>
            <w:tcW w:type="dxa" w:w="1872"/>
            <w:shd w:fill="FFFFFF"/>
            <w:tcBorders>
              <w:bottom w:val="single" w:sz="4" w:space="0" w:color="D9D9D9"/>
              <w:top w:val="none"/>
              <w:left w:val="none"/>
              <w:right w:val="none"/>
            </w:tcBorders>
          </w:tcPr>
          <w:p>
            <w:pPr>
              <w:jc w:val="right"/>
            </w:pPr>
            <w:r>
              <w:t>0.0980</w:t>
            </w:r>
          </w:p>
        </w:tc>
      </w:tr>
      <w:tr>
        <w:tc>
          <w:tcPr>
            <w:tcW w:type="dxa" w:w="3744"/>
            <w:shd w:fill="F2F4F7"/>
            <w:tcBorders>
              <w:bottom w:val="single" w:sz="4" w:space="0" w:color="D9D9D9"/>
              <w:top w:val="none"/>
              <w:left w:val="none"/>
              <w:right w:val="none"/>
            </w:tcBorders>
          </w:tcPr>
          <w:p>
            <w:pPr>
              <w:jc w:val="left"/>
            </w:pPr>
            <w:r>
              <w:t>Funk SVD (Matrix Factorization)</w:t>
            </w:r>
          </w:p>
        </w:tc>
        <w:tc>
          <w:tcPr>
            <w:tcW w:type="dxa" w:w="1872"/>
            <w:shd w:fill="F2F4F7"/>
            <w:tcBorders>
              <w:bottom w:val="single" w:sz="4" w:space="0" w:color="D9D9D9"/>
              <w:top w:val="none"/>
              <w:left w:val="none"/>
              <w:right w:val="none"/>
            </w:tcBorders>
          </w:tcPr>
          <w:p>
            <w:pPr>
              <w:jc w:val="right"/>
            </w:pPr>
            <w:r>
              <w:t>1.0189</w:t>
            </w:r>
          </w:p>
        </w:tc>
        <w:tc>
          <w:tcPr>
            <w:tcW w:type="dxa" w:w="1872"/>
            <w:shd w:fill="F2F4F7"/>
            <w:tcBorders>
              <w:bottom w:val="single" w:sz="4" w:space="0" w:color="D9D9D9"/>
              <w:top w:val="none"/>
              <w:left w:val="none"/>
              <w:right w:val="none"/>
            </w:tcBorders>
          </w:tcPr>
          <w:p>
            <w:pPr>
              <w:jc w:val="right"/>
            </w:pPr>
            <w:r>
              <w:t>0.8122</w:t>
            </w:r>
          </w:p>
        </w:tc>
        <w:tc>
          <w:tcPr>
            <w:tcW w:type="dxa" w:w="1872"/>
            <w:shd w:fill="F2F4F7"/>
            <w:tcBorders>
              <w:bottom w:val="single" w:sz="4" w:space="0" w:color="D9D9D9"/>
              <w:top w:val="none"/>
              <w:left w:val="none"/>
              <w:right w:val="none"/>
            </w:tcBorders>
          </w:tcPr>
          <w:p>
            <w:pPr>
              <w:jc w:val="right"/>
            </w:pPr>
            <w:r>
              <w:t>0.0895</w:t>
            </w:r>
          </w:p>
        </w:tc>
      </w:tr>
      <w:tr>
        <w:tc>
          <w:tcPr>
            <w:tcW w:type="dxa" w:w="3744"/>
            <w:shd w:fill="FFFFFF"/>
            <w:tcBorders>
              <w:bottom w:val="single" w:sz="4" w:space="0" w:color="D9D9D9"/>
              <w:top w:val="none"/>
              <w:left w:val="none"/>
              <w:right w:val="none"/>
            </w:tcBorders>
          </w:tcPr>
          <w:p>
            <w:pPr>
              <w:jc w:val="left"/>
            </w:pPr>
            <w:r>
              <w:t>Content-Based Engine (TF-IDF)</w:t>
            </w:r>
          </w:p>
        </w:tc>
        <w:tc>
          <w:tcPr>
            <w:tcW w:type="dxa" w:w="1872"/>
            <w:shd w:fill="FFFFFF"/>
            <w:tcBorders>
              <w:bottom w:val="single" w:sz="4" w:space="0" w:color="D9D9D9"/>
              <w:top w:val="none"/>
              <w:left w:val="none"/>
              <w:right w:val="none"/>
            </w:tcBorders>
          </w:tcPr>
          <w:p>
            <w:pPr>
              <w:jc w:val="right"/>
            </w:pPr>
            <w:r>
              <w:t>1.0840</w:t>
            </w:r>
          </w:p>
        </w:tc>
        <w:tc>
          <w:tcPr>
            <w:tcW w:type="dxa" w:w="1872"/>
            <w:shd w:fill="FFFFFF"/>
            <w:tcBorders>
              <w:bottom w:val="single" w:sz="4" w:space="0" w:color="D9D9D9"/>
              <w:top w:val="none"/>
              <w:left w:val="none"/>
              <w:right w:val="none"/>
            </w:tcBorders>
          </w:tcPr>
          <w:p>
            <w:pPr>
              <w:jc w:val="right"/>
            </w:pPr>
            <w:r>
              <w:t>0.8710</w:t>
            </w:r>
          </w:p>
        </w:tc>
        <w:tc>
          <w:tcPr>
            <w:tcW w:type="dxa" w:w="1872"/>
            <w:shd w:fill="FFFFFF"/>
            <w:tcBorders>
              <w:bottom w:val="single" w:sz="4" w:space="0" w:color="D9D9D9"/>
              <w:top w:val="none"/>
              <w:left w:val="none"/>
              <w:right w:val="none"/>
            </w:tcBorders>
          </w:tcPr>
          <w:p>
            <w:pPr>
              <w:jc w:val="right"/>
            </w:pPr>
            <w:r>
              <w:t>0.0620</w:t>
            </w:r>
          </w:p>
        </w:tc>
      </w:tr>
    </w:tbl>
    <w:p>
      <w:pPr>
        <w:spacing w:before="200" w:after="200"/>
      </w:pPr>
      <w:r>
        <w:rPr>
          <w:b/>
        </w:rPr>
        <w:t xml:space="preserve">Performance Conclusion: </w:t>
      </w:r>
      <w:r>
        <w:t>The GPU-accelerated Neural Collaborative Filtering architecture achieved the highest overall accuracy, minimizing baseline test RMSE to 0.9664. This confirms the effectiveness of deep hidden layers in capturing complex, non-linear interactions between user preferences and item attributes, outperforming traditional linear matrix factorization methods.</w:t>
      </w:r>
    </w:p>
    <w:p>
      <w:pPr>
        <w:keepNext/>
        <w:spacing w:before="400" w:after="80"/>
        <w:pBdr>
          <w:bottom w:val="single" w:sz="12" w:space="4" w:color="1F4E79"/>
        </w:pBdr>
      </w:pPr>
      <w:r>
        <w:rPr>
          <w:rFonts w:ascii="Calibri" w:hAnsi="Calibri"/>
          <w:b/>
          <w:i w:val="0"/>
          <w:color w:val="1F4E79"/>
          <w:sz w:val="28"/>
        </w:rPr>
        <w:t>5. Production Architecture &amp; Interactive Web Dashboard</w:t>
      </w:r>
    </w:p>
    <w:p>
      <w:r>
        <w:t xml:space="preserve">To prepare the models for production, learned weight states are compiled into compressed `.npz` binary formats for fast inference. Real-time serving is managed by a Flask web framework implemented in </w:t>
      </w:r>
      <w:r>
        <w:rPr>
          <w:rFonts w:ascii="Calibri" w:hAnsi="Calibri"/>
          <w:b w:val="0"/>
          <w:i/>
          <w:color w:val="262626"/>
          <w:sz w:val="22"/>
        </w:rPr>
        <w:t>src/app.py</w:t>
      </w:r>
      <w:r>
        <w:t>. This configuration exposes an end-user dashboard that handles key evaluation tasks:</w:t>
      </w:r>
    </w:p>
    <w:p>
      <w:pPr>
        <w:pStyle w:val="ListBullet"/>
        <w:spacing w:before="0" w:after="60" w:line="276" w:lineRule="auto"/>
      </w:pPr>
      <w:r>
        <w:rPr>
          <w:rFonts w:ascii="Calibri" w:hAnsi="Calibri"/>
          <w:b/>
          <w:i w:val="0"/>
          <w:color w:val="262626"/>
          <w:sz w:val="22"/>
        </w:rPr>
        <w:t xml:space="preserve">User Interaction Footprint Inspection: </w:t>
      </w:r>
      <w:r>
        <w:rPr>
          <w:rFonts w:ascii="Calibri" w:hAnsi="Calibri"/>
          <w:b w:val="0"/>
          <w:i w:val="0"/>
          <w:color w:val="262626"/>
          <w:sz w:val="22"/>
        </w:rPr>
        <w:t>Renders detailed historical timelines tracking a user's previous rating activities.</w:t>
      </w:r>
    </w:p>
    <w:p>
      <w:pPr>
        <w:pStyle w:val="ListBullet"/>
        <w:spacing w:before="0" w:after="60" w:line="276" w:lineRule="auto"/>
      </w:pPr>
      <w:r>
        <w:rPr>
          <w:rFonts w:ascii="Calibri" w:hAnsi="Calibri"/>
          <w:b/>
          <w:i w:val="0"/>
          <w:color w:val="262626"/>
          <w:sz w:val="22"/>
        </w:rPr>
        <w:t xml:space="preserve">Side-by-Side Model Recommendation Contrasts: </w:t>
      </w:r>
      <w:r>
        <w:rPr>
          <w:rFonts w:ascii="Calibri" w:hAnsi="Calibri"/>
          <w:b w:val="0"/>
          <w:i w:val="0"/>
          <w:color w:val="262626"/>
          <w:sz w:val="22"/>
        </w:rPr>
        <w:t>Generates concurrent recommendation feeds across all five model variations for direct comparison.</w:t>
      </w:r>
    </w:p>
    <w:p>
      <w:pPr>
        <w:pStyle w:val="ListBullet"/>
        <w:spacing w:before="0" w:after="60" w:line="276" w:lineRule="auto"/>
      </w:pPr>
      <w:r>
        <w:rPr>
          <w:rFonts w:ascii="Calibri" w:hAnsi="Calibri"/>
          <w:b/>
          <w:i w:val="0"/>
          <w:color w:val="262626"/>
          <w:sz w:val="22"/>
        </w:rPr>
        <w:t xml:space="preserve">Vectorized Proximity Asset Search: </w:t>
      </w:r>
      <w:r>
        <w:rPr>
          <w:rFonts w:ascii="Calibri" w:hAnsi="Calibri"/>
          <w:b w:val="0"/>
          <w:i w:val="0"/>
          <w:color w:val="262626"/>
          <w:sz w:val="22"/>
        </w:rPr>
        <w:t>Provides rapid text-based item search, displaying mathematically similar assets using content-based cosine similarity matrix lookups.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