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sz w:val="26"/>
        </w:rPr>
        <w:t>CỘNG HÒA XÃ HỘI CHỦ NGHĨA VIỆT NAM</w:t>
      </w:r>
    </w:p>
    <w:p>
      <w:pPr>
        <w:spacing w:after="20"/>
        <w:jc w:val="center"/>
      </w:pPr>
      <w:r>
        <w:rPr>
          <w:rFonts w:ascii="Times New Roman" w:hAnsi="Times New Roman" w:eastAsia="Times New Roman"/>
          <w:b/>
          <w:sz w:val="26"/>
        </w:rPr>
        <w:t>Độc lập - Tự do - Hạnh phúc</w:t>
      </w:r>
    </w:p>
    <w:p>
      <w:pPr>
        <w:spacing w:after="160"/>
        <w:jc w:val="center"/>
      </w:pPr>
      <w:r>
        <w:rPr>
          <w:rFonts w:ascii="Times New Roman" w:hAnsi="Times New Roman" w:eastAsia="Times New Roman"/>
          <w:b w:val="0"/>
          <w:sz w:val="22"/>
        </w:rPr>
        <w:t>____________________</w:t>
      </w:r>
    </w:p>
    <w:p>
      <w:pPr>
        <w:spacing w:after="40"/>
        <w:jc w:val="center"/>
      </w:pPr>
      <w:r>
        <w:rPr>
          <w:rFonts w:ascii="Times New Roman" w:hAnsi="Times New Roman" w:eastAsia="Times New Roman"/>
          <w:b/>
          <w:sz w:val="32"/>
        </w:rPr>
        <w:t>HỢP ĐỒNG THUÊ CĂN HỘ CHUNG CƯ</w:t>
      </w:r>
    </w:p>
    <w:p>
      <w:pPr>
        <w:spacing w:after="160"/>
        <w:jc w:val="center"/>
      </w:pPr>
      <w:r>
        <w:rPr>
          <w:rFonts w:ascii="Times New Roman" w:hAnsi="Times New Roman" w:eastAsia="Times New Roman"/>
          <w:b/>
          <w:sz w:val="26"/>
        </w:rPr>
        <w:t>Số: {{contract.number}}</w:t>
      </w:r>
    </w:p>
    <w:p>
      <w:pPr>
        <w:spacing w:before="0" w:after="40" w:line="276" w:lineRule="auto"/>
        <w:ind w:firstLine="0"/>
        <w:jc w:val="left"/>
      </w:pPr>
      <w:r>
        <w:rPr>
          <w:rFonts w:ascii="Times New Roman" w:hAnsi="Times New Roman" w:eastAsia="Times New Roman"/>
          <w:b/>
          <w:i w:val="0"/>
          <w:sz w:val="26"/>
        </w:rPr>
        <w:t>Căn cứ:</w:t>
      </w:r>
    </w:p>
    <w:p>
      <w:pPr>
        <w:spacing w:before="0" w:after="20" w:line="276" w:lineRule="auto"/>
        <w:ind w:left="340" w:hanging="198"/>
        <w:jc w:val="both"/>
      </w:pPr>
      <w:r>
        <w:rPr>
          <w:rFonts w:ascii="Times New Roman" w:hAnsi="Times New Roman" w:eastAsia="Times New Roman"/>
          <w:b w:val="0"/>
          <w:i w:val="0"/>
          <w:sz w:val="26"/>
        </w:rPr>
        <w:t>• Bộ luật Dân sự số 91/2015/QH13 ngày 24/11/2015, đặc biệt các Điều 472 đến 482 về hợp đồng thuê tài sản;</w:t>
      </w:r>
    </w:p>
    <w:p>
      <w:pPr>
        <w:spacing w:before="0" w:after="20" w:line="276" w:lineRule="auto"/>
        <w:ind w:left="340" w:hanging="198"/>
        <w:jc w:val="both"/>
      </w:pPr>
      <w:r>
        <w:rPr>
          <w:rFonts w:ascii="Times New Roman" w:hAnsi="Times New Roman" w:eastAsia="Times New Roman"/>
          <w:b w:val="0"/>
          <w:i w:val="0"/>
          <w:sz w:val="26"/>
        </w:rPr>
        <w:t>• Luật Nhà ở số 27/2023/QH15 ngày 27/11/2023, được điều chỉnh thời điểm hiệu lực bởi Luật số 43/2024/QH15 ngày 29/06/2024 và các văn bản sửa đổi, bổ sung còn hiệu lực;</w:t>
      </w:r>
    </w:p>
    <w:p>
      <w:pPr>
        <w:spacing w:before="0" w:after="20" w:line="276" w:lineRule="auto"/>
        <w:ind w:left="340" w:hanging="198"/>
        <w:jc w:val="both"/>
      </w:pPr>
      <w:r>
        <w:rPr>
          <w:rFonts w:ascii="Times New Roman" w:hAnsi="Times New Roman" w:eastAsia="Times New Roman"/>
          <w:b w:val="0"/>
          <w:i w:val="0"/>
          <w:sz w:val="26"/>
        </w:rPr>
        <w:t>• Luật Kinh doanh bất động sản số 29/2023/QH15 ngày 28/11/2023, được điều chỉnh thời điểm hiệu lực bởi Luật số 43/2024/QH15 ngày 29/06/2024; Nghị định số 96/2024/NĐ-CP ngày 24/07/2024 quy định chi tiết một số điều của Luật Kinh doanh bất động sản;</w:t>
      </w:r>
    </w:p>
    <w:p>
      <w:pPr>
        <w:spacing w:before="0" w:after="20" w:line="276" w:lineRule="auto"/>
        <w:ind w:left="340" w:hanging="198"/>
        <w:jc w:val="both"/>
      </w:pPr>
      <w:r>
        <w:rPr>
          <w:rFonts w:ascii="Times New Roman" w:hAnsi="Times New Roman" w:eastAsia="Times New Roman"/>
          <w:b w:val="0"/>
          <w:i w:val="0"/>
          <w:sz w:val="26"/>
        </w:rPr>
        <w:t>• Thông tư số 05/2024/TT-BXD ngày 31/07/2024 của Bộ Xây dựng quy định chi tiết một số điều của Luật Nhà ở, trong đó có Quy chế quản lý, sử dụng nhà chung cư, và các văn bản sửa đổi, bổ sung còn hiệu lực;</w:t>
      </w:r>
    </w:p>
    <w:p>
      <w:pPr>
        <w:spacing w:before="0" w:after="20" w:line="276" w:lineRule="auto"/>
        <w:ind w:left="340" w:hanging="198"/>
        <w:jc w:val="both"/>
      </w:pPr>
      <w:r>
        <w:rPr>
          <w:rFonts w:ascii="Times New Roman" w:hAnsi="Times New Roman" w:eastAsia="Times New Roman"/>
          <w:b w:val="0"/>
          <w:i w:val="0"/>
          <w:sz w:val="26"/>
        </w:rPr>
        <w:t>• Luật Phòng cháy, chữa cháy và cứu nạn, cứu hộ số 55/2024/QH15 ngày 29/11/2024 và Nghị định số 105/2025/NĐ-CP ngày 15/05/2025 quy định chi tiết một số điều và biện pháp thi hành;</w:t>
      </w:r>
    </w:p>
    <w:p>
      <w:pPr>
        <w:spacing w:before="0" w:after="100" w:line="276" w:lineRule="auto"/>
        <w:ind w:firstLine="425"/>
        <w:jc w:val="both"/>
      </w:pPr>
      <w:r>
        <w:rPr>
          <w:rFonts w:ascii="Times New Roman" w:hAnsi="Times New Roman" w:eastAsia="Times New Roman"/>
          <w:b w:val="0"/>
          <w:i w:val="0"/>
          <w:sz w:val="26"/>
        </w:rPr>
        <w:t xml:space="preserve">Trên cơ sở nhu cầu thuê, khả năng cho thuê và sự tự nguyện của các bên, ngày </w:t>
      </w:r>
      <w:r>
        <w:rPr>
          <w:rFonts w:ascii="Times New Roman" w:hAnsi="Times New Roman" w:eastAsia="Times New Roman"/>
          <w:b w:val="0"/>
          <w:i w:val="0"/>
          <w:sz w:val="26"/>
        </w:rPr>
        <w:t>{{contract.signingDate}}</w:t>
      </w:r>
      <w:r>
        <w:rPr>
          <w:rFonts w:ascii="Times New Roman" w:hAnsi="Times New Roman" w:eastAsia="Times New Roman"/>
          <w:b w:val="0"/>
          <w:i w:val="0"/>
          <w:sz w:val="26"/>
        </w:rPr>
        <w:t xml:space="preserve"> tại </w:t>
      </w:r>
      <w:r>
        <w:rPr>
          <w:rFonts w:ascii="Times New Roman" w:hAnsi="Times New Roman" w:eastAsia="Times New Roman"/>
          <w:b w:val="0"/>
          <w:i w:val="0"/>
          <w:sz w:val="26"/>
        </w:rPr>
        <w:t>{{contract.signingCity}}</w:t>
      </w:r>
      <w:r>
        <w:rPr>
          <w:rFonts w:ascii="Times New Roman" w:hAnsi="Times New Roman" w:eastAsia="Times New Roman"/>
          <w:b w:val="0"/>
          <w:i w:val="0"/>
          <w:sz w:val="26"/>
        </w:rPr>
        <w:t>, các bên thống nhất giao kết Hợp đồng với các điều khoản sau:</w:t>
      </w:r>
    </w:p>
    <w:p>
      <w:pPr>
        <w:spacing w:before="60" w:after="40" w:line="276" w:lineRule="auto"/>
        <w:ind w:firstLine="0"/>
        <w:jc w:val="left"/>
        <w:keepNext/>
      </w:pPr>
      <w:r>
        <w:rPr>
          <w:rFonts w:ascii="Times New Roman" w:hAnsi="Times New Roman" w:eastAsia="Times New Roman"/>
          <w:b/>
          <w:i w:val="0"/>
          <w:sz w:val="26"/>
        </w:rPr>
        <w:t>BÊN CHO THUÊ (BÊN A)</w:t>
      </w:r>
    </w:p>
    <w:p>
      <w:pPr>
        <w:spacing w:before="0" w:after="20" w:line="276" w:lineRule="auto"/>
        <w:ind w:left="340"/>
        <w:jc w:val="left"/>
      </w:pPr>
      <w:r>
        <w:rPr>
          <w:rFonts w:ascii="Times New Roman" w:hAnsi="Times New Roman" w:eastAsia="Times New Roman"/>
          <w:b w:val="0"/>
          <w:i w:val="0"/>
          <w:sz w:val="26"/>
        </w:rPr>
        <w:t xml:space="preserve">Họ và tên: </w:t>
      </w:r>
      <w:r>
        <w:rPr>
          <w:rFonts w:ascii="Times New Roman" w:hAnsi="Times New Roman" w:eastAsia="Times New Roman"/>
          <w:b w:val="0"/>
          <w:i w:val="0"/>
          <w:sz w:val="26"/>
        </w:rPr>
        <w:t>{{landlord.fullName}}</w:t>
      </w:r>
    </w:p>
    <w:p>
      <w:pPr>
        <w:spacing w:before="0" w:after="20" w:line="276" w:lineRule="auto"/>
        <w:ind w:left="340"/>
        <w:jc w:val="left"/>
      </w:pPr>
      <w:r>
        <w:rPr>
          <w:rFonts w:ascii="Times New Roman" w:hAnsi="Times New Roman" w:eastAsia="Times New Roman"/>
          <w:b w:val="0"/>
          <w:i w:val="0"/>
          <w:sz w:val="26"/>
        </w:rPr>
        <w:t xml:space="preserve">CCCD/Mã số định danh: </w:t>
      </w:r>
      <w:r>
        <w:rPr>
          <w:rFonts w:ascii="Times New Roman" w:hAnsi="Times New Roman" w:eastAsia="Times New Roman"/>
          <w:b w:val="0"/>
          <w:i w:val="0"/>
          <w:sz w:val="26"/>
        </w:rPr>
        <w:t>{{landlord.idNumber}}</w:t>
      </w:r>
      <w:r>
        <w:rPr>
          <w:rFonts w:ascii="Times New Roman" w:hAnsi="Times New Roman" w:eastAsia="Times New Roman"/>
          <w:b w:val="0"/>
          <w:i w:val="0"/>
          <w:sz w:val="26"/>
        </w:rPr>
        <w:t xml:space="preserve">; ngày cấp: </w:t>
      </w:r>
      <w:r>
        <w:rPr>
          <w:rFonts w:ascii="Times New Roman" w:hAnsi="Times New Roman" w:eastAsia="Times New Roman"/>
          <w:b w:val="0"/>
          <w:i w:val="0"/>
          <w:sz w:val="26"/>
        </w:rPr>
        <w:t>{{landlord.idIssueDate}}</w:t>
      </w:r>
      <w:r>
        <w:rPr>
          <w:rFonts w:ascii="Times New Roman" w:hAnsi="Times New Roman" w:eastAsia="Times New Roman"/>
          <w:b w:val="0"/>
          <w:i w:val="0"/>
          <w:sz w:val="26"/>
        </w:rPr>
        <w:t xml:space="preserve">; nơi cấp: </w:t>
      </w:r>
      <w:r>
        <w:rPr>
          <w:rFonts w:ascii="Times New Roman" w:hAnsi="Times New Roman" w:eastAsia="Times New Roman"/>
          <w:b w:val="0"/>
          <w:i w:val="0"/>
          <w:sz w:val="26"/>
        </w:rPr>
        <w:t>{{landlord.idIssuePlace}}</w:t>
      </w:r>
    </w:p>
    <w:p>
      <w:pPr>
        <w:spacing w:before="0" w:after="20" w:line="276" w:lineRule="auto"/>
        <w:ind w:left="340"/>
        <w:jc w:val="left"/>
      </w:pPr>
      <w:r>
        <w:rPr>
          <w:rFonts w:ascii="Times New Roman" w:hAnsi="Times New Roman" w:eastAsia="Times New Roman"/>
          <w:b w:val="0"/>
          <w:i w:val="0"/>
          <w:sz w:val="26"/>
        </w:rPr>
        <w:t xml:space="preserve">Nơi thường trú/địa chỉ liên hệ: </w:t>
      </w:r>
      <w:r>
        <w:rPr>
          <w:rFonts w:ascii="Times New Roman" w:hAnsi="Times New Roman" w:eastAsia="Times New Roman"/>
          <w:b w:val="0"/>
          <w:i w:val="0"/>
          <w:sz w:val="26"/>
        </w:rPr>
        <w:t>{{landlord.permanentAddress}}</w:t>
      </w:r>
    </w:p>
    <w:p>
      <w:pPr>
        <w:spacing w:before="0" w:after="20" w:line="276" w:lineRule="auto"/>
        <w:ind w:left="340"/>
        <w:jc w:val="left"/>
      </w:pPr>
      <w:r>
        <w:rPr>
          <w:rFonts w:ascii="Times New Roman" w:hAnsi="Times New Roman" w:eastAsia="Times New Roman"/>
          <w:b w:val="0"/>
          <w:i w:val="0"/>
          <w:sz w:val="26"/>
        </w:rPr>
        <w:t xml:space="preserve">Điện thoại: </w:t>
      </w:r>
      <w:r>
        <w:rPr>
          <w:rFonts w:ascii="Times New Roman" w:hAnsi="Times New Roman" w:eastAsia="Times New Roman"/>
          <w:b w:val="0"/>
          <w:i w:val="0"/>
          <w:sz w:val="26"/>
        </w:rPr>
        <w:t>{{landlord.phone}}</w:t>
      </w:r>
      <w:r>
        <w:rPr>
          <w:rFonts w:ascii="Times New Roman" w:hAnsi="Times New Roman" w:eastAsia="Times New Roman"/>
          <w:b w:val="0"/>
          <w:i w:val="0"/>
          <w:sz w:val="26"/>
        </w:rPr>
        <w:t xml:space="preserve">; Email: </w:t>
      </w:r>
      <w:r>
        <w:rPr>
          <w:rFonts w:ascii="Times New Roman" w:hAnsi="Times New Roman" w:eastAsia="Times New Roman"/>
          <w:b w:val="0"/>
          <w:i w:val="0"/>
          <w:sz w:val="26"/>
        </w:rPr>
        <w:t>{{landlord.email}}</w:t>
      </w:r>
    </w:p>
    <w:p>
      <w:pPr>
        <w:spacing w:before="60" w:after="40" w:line="276" w:lineRule="auto"/>
        <w:ind w:firstLine="0"/>
        <w:jc w:val="left"/>
        <w:keepNext/>
      </w:pPr>
      <w:r>
        <w:rPr>
          <w:rFonts w:ascii="Times New Roman" w:hAnsi="Times New Roman" w:eastAsia="Times New Roman"/>
          <w:b/>
          <w:i w:val="0"/>
          <w:sz w:val="26"/>
        </w:rPr>
        <w:t>BÊN THUÊ (BÊN B)</w:t>
      </w:r>
    </w:p>
    <w:p>
      <w:pPr>
        <w:spacing w:before="0" w:after="20" w:line="276" w:lineRule="auto"/>
        <w:ind w:left="340"/>
        <w:jc w:val="left"/>
      </w:pPr>
      <w:r>
        <w:rPr>
          <w:rFonts w:ascii="Times New Roman" w:hAnsi="Times New Roman" w:eastAsia="Times New Roman"/>
          <w:b w:val="0"/>
          <w:i w:val="0"/>
          <w:sz w:val="26"/>
        </w:rPr>
        <w:t xml:space="preserve">Họ và tên: </w:t>
      </w:r>
      <w:r>
        <w:rPr>
          <w:rFonts w:ascii="Times New Roman" w:hAnsi="Times New Roman" w:eastAsia="Times New Roman"/>
          <w:b w:val="0"/>
          <w:i w:val="0"/>
          <w:sz w:val="26"/>
        </w:rPr>
        <w:t>{{tenant.fullName}}</w:t>
      </w:r>
    </w:p>
    <w:p>
      <w:pPr>
        <w:spacing w:before="0" w:after="20" w:line="276" w:lineRule="auto"/>
        <w:ind w:left="340"/>
        <w:jc w:val="left"/>
      </w:pPr>
      <w:r>
        <w:rPr>
          <w:rFonts w:ascii="Times New Roman" w:hAnsi="Times New Roman" w:eastAsia="Times New Roman"/>
          <w:b w:val="0"/>
          <w:i w:val="0"/>
          <w:sz w:val="26"/>
        </w:rPr>
        <w:t xml:space="preserve">CCCD/Mã số định danh: </w:t>
      </w:r>
      <w:r>
        <w:rPr>
          <w:rFonts w:ascii="Times New Roman" w:hAnsi="Times New Roman" w:eastAsia="Times New Roman"/>
          <w:b w:val="0"/>
          <w:i w:val="0"/>
          <w:sz w:val="26"/>
        </w:rPr>
        <w:t>{{tenant.idNumber}}</w:t>
      </w:r>
      <w:r>
        <w:rPr>
          <w:rFonts w:ascii="Times New Roman" w:hAnsi="Times New Roman" w:eastAsia="Times New Roman"/>
          <w:b w:val="0"/>
          <w:i w:val="0"/>
          <w:sz w:val="26"/>
        </w:rPr>
        <w:t xml:space="preserve">; ngày cấp: </w:t>
      </w:r>
      <w:r>
        <w:rPr>
          <w:rFonts w:ascii="Times New Roman" w:hAnsi="Times New Roman" w:eastAsia="Times New Roman"/>
          <w:b w:val="0"/>
          <w:i w:val="0"/>
          <w:sz w:val="26"/>
        </w:rPr>
        <w:t>{{tenant.idIssueDate}}</w:t>
      </w:r>
      <w:r>
        <w:rPr>
          <w:rFonts w:ascii="Times New Roman" w:hAnsi="Times New Roman" w:eastAsia="Times New Roman"/>
          <w:b w:val="0"/>
          <w:i w:val="0"/>
          <w:sz w:val="26"/>
        </w:rPr>
        <w:t xml:space="preserve">; nơi cấp: </w:t>
      </w:r>
      <w:r>
        <w:rPr>
          <w:rFonts w:ascii="Times New Roman" w:hAnsi="Times New Roman" w:eastAsia="Times New Roman"/>
          <w:b w:val="0"/>
          <w:i w:val="0"/>
          <w:sz w:val="26"/>
        </w:rPr>
        <w:t>{{tenant.idIssuePlace}}</w:t>
      </w:r>
    </w:p>
    <w:p>
      <w:pPr>
        <w:spacing w:before="0" w:after="20" w:line="276" w:lineRule="auto"/>
        <w:ind w:left="340"/>
        <w:jc w:val="left"/>
      </w:pPr>
      <w:r>
        <w:rPr>
          <w:rFonts w:ascii="Times New Roman" w:hAnsi="Times New Roman" w:eastAsia="Times New Roman"/>
          <w:b w:val="0"/>
          <w:i w:val="0"/>
          <w:sz w:val="26"/>
        </w:rPr>
        <w:t xml:space="preserve">Nơi thường trú: </w:t>
      </w:r>
      <w:r>
        <w:rPr>
          <w:rFonts w:ascii="Times New Roman" w:hAnsi="Times New Roman" w:eastAsia="Times New Roman"/>
          <w:b w:val="0"/>
          <w:i w:val="0"/>
          <w:sz w:val="26"/>
        </w:rPr>
        <w:t>{{tenant.permanentAddress}}</w:t>
      </w:r>
    </w:p>
    <w:p>
      <w:pPr>
        <w:spacing w:before="0" w:after="20" w:line="276" w:lineRule="auto"/>
        <w:ind w:left="340"/>
        <w:jc w:val="left"/>
      </w:pPr>
      <w:r>
        <w:rPr>
          <w:rFonts w:ascii="Times New Roman" w:hAnsi="Times New Roman" w:eastAsia="Times New Roman"/>
          <w:b w:val="0"/>
          <w:i w:val="0"/>
          <w:sz w:val="26"/>
        </w:rPr>
        <w:t xml:space="preserve">Điện thoại: </w:t>
      </w:r>
      <w:r>
        <w:rPr>
          <w:rFonts w:ascii="Times New Roman" w:hAnsi="Times New Roman" w:eastAsia="Times New Roman"/>
          <w:b w:val="0"/>
          <w:i w:val="0"/>
          <w:sz w:val="26"/>
        </w:rPr>
        <w:t>{{tenant.phone}}</w:t>
      </w:r>
      <w:r>
        <w:rPr>
          <w:rFonts w:ascii="Times New Roman" w:hAnsi="Times New Roman" w:eastAsia="Times New Roman"/>
          <w:b w:val="0"/>
          <w:i w:val="0"/>
          <w:sz w:val="26"/>
        </w:rPr>
        <w:t xml:space="preserve">; Email: </w:t>
      </w:r>
      <w:r>
        <w:rPr>
          <w:rFonts w:ascii="Times New Roman" w:hAnsi="Times New Roman" w:eastAsia="Times New Roman"/>
          <w:b w:val="0"/>
          <w:i w:val="0"/>
          <w:sz w:val="26"/>
        </w:rPr>
        <w:t>{{tenant.email}}</w:t>
      </w:r>
    </w:p>
    <w:p>
      <w:pPr>
        <w:spacing w:before="0" w:after="20" w:line="276" w:lineRule="auto"/>
        <w:ind w:left="340"/>
        <w:jc w:val="left"/>
      </w:pPr>
      <w:r>
        <w:rPr>
          <w:rFonts w:ascii="Times New Roman" w:hAnsi="Times New Roman" w:eastAsia="Times New Roman"/>
          <w:b w:val="0"/>
          <w:i w:val="0"/>
          <w:sz w:val="26"/>
        </w:rPr>
        <w:t xml:space="preserve">Số lượng người cùng cư trú/sử dụng để ở đã đăng ký: </w:t>
      </w:r>
      <w:r>
        <w:rPr>
          <w:rFonts w:ascii="Times New Roman" w:hAnsi="Times New Roman" w:eastAsia="Times New Roman"/>
          <w:b w:val="0"/>
          <w:i w:val="0"/>
          <w:sz w:val="26"/>
        </w:rPr>
        <w:t>{{tenant.occupantCount}}</w:t>
      </w:r>
      <w:r>
        <w:rPr>
          <w:rFonts w:ascii="Times New Roman" w:hAnsi="Times New Roman" w:eastAsia="Times New Roman"/>
          <w:b w:val="0"/>
          <w:i w:val="0"/>
          <w:sz w:val="26"/>
        </w:rPr>
        <w:t xml:space="preserve"> người</w:t>
      </w:r>
    </w:p>
    <w:p>
      <w:pPr>
        <w:spacing w:before="140" w:after="80" w:line="276" w:lineRule="auto"/>
        <w:ind w:firstLine="0"/>
        <w:jc w:val="left"/>
        <w:keepNext/>
      </w:pPr>
      <w:r>
        <w:rPr>
          <w:rFonts w:ascii="Times New Roman" w:hAnsi="Times New Roman" w:eastAsia="Times New Roman"/>
          <w:b/>
          <w:i w:val="0"/>
          <w:sz w:val="26"/>
        </w:rPr>
        <w:t>ĐIỀU 1. ĐỐI TƯỢNG, HÌNH THỨC VÀ MỤC ĐÍCH THUÊ</w:t>
      </w:r>
    </w:p>
    <w:p>
      <w:pPr>
        <w:spacing w:before="0" w:after="40" w:line="276" w:lineRule="auto"/>
        <w:ind w:firstLine="425"/>
        <w:jc w:val="left"/>
      </w:pPr>
      <w:r>
        <w:rPr>
          <w:rFonts w:ascii="Times New Roman" w:hAnsi="Times New Roman" w:eastAsia="Times New Roman"/>
          <w:b w:val="0"/>
          <w:i w:val="0"/>
          <w:sz w:val="26"/>
        </w:rPr>
        <w:t xml:space="preserve">1.1. Bên A đồng ý cho Bên B thuê căn hộ: Tầng </w:t>
      </w:r>
      <w:r>
        <w:rPr>
          <w:rFonts w:ascii="Times New Roman" w:hAnsi="Times New Roman" w:eastAsia="Times New Roman"/>
          <w:b w:val="0"/>
          <w:i w:val="0"/>
          <w:sz w:val="26"/>
        </w:rPr>
        <w:t>{{property.floor}}</w:t>
      </w:r>
      <w:r>
        <w:rPr>
          <w:rFonts w:ascii="Times New Roman" w:hAnsi="Times New Roman" w:eastAsia="Times New Roman"/>
          <w:b w:val="0"/>
          <w:i w:val="0"/>
          <w:sz w:val="26"/>
        </w:rPr>
        <w:t xml:space="preserve">, Căn số </w:t>
      </w:r>
      <w:r>
        <w:rPr>
          <w:rFonts w:ascii="Times New Roman" w:hAnsi="Times New Roman" w:eastAsia="Times New Roman"/>
          <w:b w:val="0"/>
          <w:i w:val="0"/>
          <w:sz w:val="26"/>
        </w:rPr>
        <w:t>{{property.unitNumber}}</w:t>
      </w:r>
      <w:r>
        <w:rPr>
          <w:rFonts w:ascii="Times New Roman" w:hAnsi="Times New Roman" w:eastAsia="Times New Roman"/>
          <w:b w:val="0"/>
          <w:i w:val="0"/>
          <w:sz w:val="26"/>
        </w:rPr>
        <w:t xml:space="preserve">, thuộc tòa nhà tại </w:t>
      </w:r>
      <w:r>
        <w:rPr>
          <w:rFonts w:ascii="Times New Roman" w:hAnsi="Times New Roman" w:eastAsia="Times New Roman"/>
          <w:b w:val="0"/>
          <w:i w:val="0"/>
          <w:sz w:val="26"/>
        </w:rPr>
        <w:t>{{property.fullAddress}}</w:t>
      </w:r>
      <w:r>
        <w:rPr>
          <w:rFonts w:ascii="Times New Roman" w:hAnsi="Times New Roman" w:eastAsia="Times New Roman"/>
          <w:b w:val="0"/>
          <w:i w:val="0"/>
          <w:sz w:val="26"/>
        </w:rPr>
        <w:t xml:space="preserve">; diện tích </w:t>
      </w:r>
      <w:r>
        <w:rPr>
          <w:rFonts w:ascii="Times New Roman" w:hAnsi="Times New Roman" w:eastAsia="Times New Roman"/>
          <w:b w:val="0"/>
          <w:i w:val="0"/>
          <w:sz w:val="26"/>
        </w:rPr>
        <w:t>{{property.areaText}}</w:t>
      </w:r>
      <w:r>
        <w:rPr>
          <w:rFonts w:ascii="Times New Roman" w:hAnsi="Times New Roman" w:eastAsia="Times New Roman"/>
          <w:b w:val="0"/>
          <w:i w:val="0"/>
          <w:sz w:val="26"/>
        </w:rPr>
        <w:t xml:space="preserve">; loại hình </w:t>
      </w:r>
      <w:r>
        <w:rPr>
          <w:rFonts w:ascii="Times New Roman" w:hAnsi="Times New Roman" w:eastAsia="Times New Roman"/>
          <w:b w:val="0"/>
          <w:i w:val="0"/>
          <w:sz w:val="26"/>
        </w:rPr>
        <w:t>{{property.propertyType}}</w:t>
      </w:r>
      <w:r>
        <w:rPr>
          <w:rFonts w:ascii="Times New Roman" w:hAnsi="Times New Roman" w:eastAsia="Times New Roman"/>
          <w:b w:val="0"/>
          <w:i w:val="0"/>
          <w:sz w:val="26"/>
        </w:rPr>
        <w:t>.</w:t>
      </w:r>
    </w:p>
    <w:p>
      <w:pPr>
        <w:spacing w:before="0" w:after="40" w:line="276" w:lineRule="auto"/>
        <w:ind w:firstLine="425"/>
        <w:jc w:val="left"/>
      </w:pPr>
      <w:r>
        <w:rPr>
          <w:rFonts w:ascii="Times New Roman" w:hAnsi="Times New Roman" w:eastAsia="Times New Roman"/>
          <w:b w:val="0"/>
          <w:i w:val="0"/>
          <w:sz w:val="26"/>
        </w:rPr>
        <w:t xml:space="preserve">1.2. Hình thức thuê được hệ thống xác định là </w:t>
      </w:r>
      <w:r>
        <w:rPr>
          <w:rFonts w:ascii="Times New Roman" w:hAnsi="Times New Roman" w:eastAsia="Times New Roman"/>
          <w:b w:val="0"/>
          <w:i w:val="0"/>
          <w:sz w:val="26"/>
        </w:rPr>
        <w:t>{{lease.rentalMode}}</w:t>
      </w:r>
      <w:r>
        <w:rPr>
          <w:rFonts w:ascii="Times New Roman" w:hAnsi="Times New Roman" w:eastAsia="Times New Roman"/>
          <w:b w:val="0"/>
          <w:i w:val="0"/>
          <w:sz w:val="26"/>
        </w:rPr>
        <w:t>. Bên B chỉ được sử dụng căn hộ cho mục đích ở hợp pháp và không được tự ý chuyển đổi công năng, cho thuê lại, cho mượn có thu tiền hoặc sử dụng làm địa điểm kinh doanh khi chưa có chấp thuận hợp pháp cần thiết.</w:t>
      </w:r>
    </w:p>
    <w:p>
      <w:pPr>
        <w:spacing w:before="0" w:after="40" w:line="276" w:lineRule="auto"/>
        <w:ind w:firstLine="425"/>
        <w:jc w:val="left"/>
      </w:pPr>
      <w:r>
        <w:rPr>
          <w:rFonts w:ascii="Times New Roman" w:hAnsi="Times New Roman" w:eastAsia="Times New Roman"/>
          <w:b w:val="0"/>
          <w:i w:val="0"/>
          <w:sz w:val="26"/>
        </w:rPr>
        <w:t xml:space="preserve">1.3. Số người cư trú tối đa theo đăng ký của Hợp đồng là </w:t>
      </w:r>
      <w:r>
        <w:rPr>
          <w:rFonts w:ascii="Times New Roman" w:hAnsi="Times New Roman" w:eastAsia="Times New Roman"/>
          <w:b w:val="0"/>
          <w:i w:val="0"/>
          <w:sz w:val="26"/>
        </w:rPr>
        <w:t>{{tenant.occupantCount}}</w:t>
      </w:r>
      <w:r>
        <w:rPr>
          <w:rFonts w:ascii="Times New Roman" w:hAnsi="Times New Roman" w:eastAsia="Times New Roman"/>
          <w:b w:val="0"/>
          <w:i w:val="0"/>
          <w:sz w:val="26"/>
        </w:rPr>
        <w:t xml:space="preserve"> người. Việc bổ sung người ở phải được thông báo cho Bên A và thực hiện thủ tục cư trú theo pháp luật và nội quy tòa nhà.</w:t>
      </w:r>
    </w:p>
    <w:p>
      <w:pPr>
        <w:spacing w:before="140" w:after="80" w:line="276" w:lineRule="auto"/>
        <w:ind w:firstLine="0"/>
        <w:jc w:val="left"/>
        <w:keepNext/>
      </w:pPr>
      <w:r>
        <w:rPr>
          <w:rFonts w:ascii="Times New Roman" w:hAnsi="Times New Roman" w:eastAsia="Times New Roman"/>
          <w:b/>
          <w:i w:val="0"/>
          <w:sz w:val="26"/>
        </w:rPr>
        <w:t>ĐIỀU 2. THỜI HẠN THUÊ VÀ BÀN GIAO</w:t>
      </w:r>
    </w:p>
    <w:p>
      <w:pPr>
        <w:spacing w:before="0" w:after="40" w:line="276" w:lineRule="auto"/>
        <w:ind w:firstLine="425"/>
        <w:jc w:val="left"/>
      </w:pPr>
      <w:r>
        <w:rPr>
          <w:rFonts w:ascii="Times New Roman" w:hAnsi="Times New Roman" w:eastAsia="Times New Roman"/>
          <w:b w:val="0"/>
          <w:i w:val="0"/>
          <w:sz w:val="26"/>
        </w:rPr>
        <w:t xml:space="preserve">2.1. Thời hạn thuê từ ngày </w:t>
      </w:r>
      <w:r>
        <w:rPr>
          <w:rFonts w:ascii="Times New Roman" w:hAnsi="Times New Roman" w:eastAsia="Times New Roman"/>
          <w:b w:val="0"/>
          <w:i w:val="0"/>
          <w:sz w:val="26"/>
        </w:rPr>
        <w:t>{{lease.startDateText}}</w:t>
      </w:r>
      <w:r>
        <w:rPr>
          <w:rFonts w:ascii="Times New Roman" w:hAnsi="Times New Roman" w:eastAsia="Times New Roman"/>
          <w:b w:val="0"/>
          <w:i w:val="0"/>
          <w:sz w:val="26"/>
        </w:rPr>
        <w:t xml:space="preserve"> đến ngày </w:t>
      </w:r>
      <w:r>
        <w:rPr>
          <w:rFonts w:ascii="Times New Roman" w:hAnsi="Times New Roman" w:eastAsia="Times New Roman"/>
          <w:b w:val="0"/>
          <w:i w:val="0"/>
          <w:sz w:val="26"/>
        </w:rPr>
        <w:t>{{lease.endDateText}}</w:t>
      </w:r>
      <w:r>
        <w:rPr>
          <w:rFonts w:ascii="Times New Roman" w:hAnsi="Times New Roman" w:eastAsia="Times New Roman"/>
          <w:b w:val="0"/>
          <w:i w:val="0"/>
          <w:sz w:val="26"/>
        </w:rPr>
        <w:t xml:space="preserve">, tương ứng </w:t>
      </w:r>
      <w:r>
        <w:rPr>
          <w:rFonts w:ascii="Times New Roman" w:hAnsi="Times New Roman" w:eastAsia="Times New Roman"/>
          <w:b w:val="0"/>
          <w:i w:val="0"/>
          <w:sz w:val="26"/>
        </w:rPr>
        <w:t>{{lease.durationText}}</w:t>
      </w:r>
      <w:r>
        <w:rPr>
          <w:rFonts w:ascii="Times New Roman" w:hAnsi="Times New Roman" w:eastAsia="Times New Roman"/>
          <w:b w:val="0"/>
          <w:i w:val="0"/>
          <w:sz w:val="26"/>
        </w:rPr>
        <w:t xml:space="preserve"> - </w:t>
      </w:r>
      <w:r>
        <w:rPr>
          <w:rFonts w:ascii="Times New Roman" w:hAnsi="Times New Roman" w:eastAsia="Times New Roman"/>
          <w:b w:val="0"/>
          <w:i w:val="0"/>
          <w:sz w:val="26"/>
        </w:rPr>
        <w:t>{{lease.durationMonths}}</w:t>
      </w:r>
      <w:r>
        <w:rPr>
          <w:rFonts w:ascii="Times New Roman" w:hAnsi="Times New Roman" w:eastAsia="Times New Roman"/>
          <w:b w:val="0"/>
          <w:i w:val="0"/>
          <w:sz w:val="26"/>
        </w:rPr>
        <w:t xml:space="preserve"> tháng.</w:t>
      </w:r>
    </w:p>
    <w:p>
      <w:pPr>
        <w:spacing w:before="0" w:after="40" w:line="276" w:lineRule="auto"/>
        <w:ind w:firstLine="425"/>
        <w:jc w:val="left"/>
      </w:pPr>
      <w:r>
        <w:rPr>
          <w:rFonts w:ascii="Times New Roman" w:hAnsi="Times New Roman" w:eastAsia="Times New Roman"/>
          <w:b w:val="0"/>
          <w:i w:val="0"/>
          <w:sz w:val="26"/>
        </w:rPr>
        <w:t xml:space="preserve">2.2. Ngày bàn giao dự kiến/thực tế: </w:t>
      </w:r>
      <w:r>
        <w:rPr>
          <w:rFonts w:ascii="Times New Roman" w:hAnsi="Times New Roman" w:eastAsia="Times New Roman"/>
          <w:b w:val="0"/>
          <w:i w:val="0"/>
          <w:sz w:val="26"/>
        </w:rPr>
        <w:t>{{lease.handoverDateText}}</w:t>
      </w:r>
      <w:r>
        <w:rPr>
          <w:rFonts w:ascii="Times New Roman" w:hAnsi="Times New Roman" w:eastAsia="Times New Roman"/>
          <w:b w:val="0"/>
          <w:i w:val="0"/>
          <w:sz w:val="26"/>
        </w:rPr>
        <w:t>. Việc bàn giao bao gồm chìa khóa, thẻ ra vào và tài sản theo bảng bàn giao tại Điều 4.</w:t>
      </w:r>
    </w:p>
    <w:p>
      <w:pPr>
        <w:spacing w:before="0" w:after="40" w:line="276" w:lineRule="auto"/>
        <w:ind w:firstLine="425"/>
        <w:jc w:val="left"/>
      </w:pPr>
      <w:r>
        <w:rPr>
          <w:rFonts w:ascii="Times New Roman" w:hAnsi="Times New Roman" w:eastAsia="Times New Roman"/>
          <w:b w:val="0"/>
          <w:i w:val="0"/>
          <w:sz w:val="26"/>
        </w:rPr>
        <w:t xml:space="preserve">2.3. Tại thời điểm bàn giao, chỉ số điện là </w:t>
      </w:r>
      <w:r>
        <w:rPr>
          <w:rFonts w:ascii="Times New Roman" w:hAnsi="Times New Roman" w:eastAsia="Times New Roman"/>
          <w:b w:val="0"/>
          <w:i w:val="0"/>
          <w:sz w:val="26"/>
        </w:rPr>
        <w:t>{{meters.electricityInitial}}</w:t>
      </w:r>
      <w:r>
        <w:rPr>
          <w:rFonts w:ascii="Times New Roman" w:hAnsi="Times New Roman" w:eastAsia="Times New Roman"/>
          <w:b w:val="0"/>
          <w:i w:val="0"/>
          <w:sz w:val="26"/>
        </w:rPr>
        <w:t xml:space="preserve"> và chỉ số nước là </w:t>
      </w:r>
      <w:r>
        <w:rPr>
          <w:rFonts w:ascii="Times New Roman" w:hAnsi="Times New Roman" w:eastAsia="Times New Roman"/>
          <w:b w:val="0"/>
          <w:i w:val="0"/>
          <w:sz w:val="26"/>
        </w:rPr>
        <w:t>{{meters.waterInitial}}</w:t>
      </w:r>
      <w:r>
        <w:rPr>
          <w:rFonts w:ascii="Times New Roman" w:hAnsi="Times New Roman" w:eastAsia="Times New Roman"/>
          <w:b w:val="0"/>
          <w:i w:val="0"/>
          <w:sz w:val="26"/>
        </w:rPr>
        <w:t>. Hai bên xác nhận các chỉ số này làm cơ sở tính chi phí tiêu thụ sau bàn giao.</w:t>
      </w:r>
    </w:p>
    <w:p>
      <w:pPr>
        <w:spacing w:before="140" w:after="80" w:line="276" w:lineRule="auto"/>
        <w:ind w:firstLine="0"/>
        <w:jc w:val="left"/>
        <w:keepNext/>
      </w:pPr>
      <w:r>
        <w:rPr>
          <w:rFonts w:ascii="Times New Roman" w:hAnsi="Times New Roman" w:eastAsia="Times New Roman"/>
          <w:b/>
          <w:i w:val="0"/>
          <w:sz w:val="26"/>
        </w:rPr>
        <w:t>ĐIỀU 3. GIÁ THUÊ, ĐẶT CỌC VÀ THANH TOÁN</w:t>
      </w:r>
    </w:p>
    <w:p>
      <w:pPr>
        <w:spacing w:before="0" w:after="40" w:line="276" w:lineRule="auto"/>
        <w:ind w:firstLine="425"/>
        <w:jc w:val="left"/>
      </w:pPr>
      <w:r>
        <w:rPr>
          <w:rFonts w:ascii="Times New Roman" w:hAnsi="Times New Roman" w:eastAsia="Times New Roman"/>
          <w:b w:val="0"/>
          <w:i w:val="0"/>
          <w:sz w:val="26"/>
        </w:rPr>
        <w:t xml:space="preserve">3.1. Giá thuê: </w:t>
      </w:r>
      <w:r>
        <w:rPr>
          <w:rFonts w:ascii="Times New Roman" w:hAnsi="Times New Roman" w:eastAsia="Times New Roman"/>
          <w:b w:val="0"/>
          <w:i w:val="0"/>
          <w:sz w:val="26"/>
        </w:rPr>
        <w:t>{{rent.amountNumber}}</w:t>
      </w:r>
      <w:r>
        <w:rPr>
          <w:rFonts w:ascii="Times New Roman" w:hAnsi="Times New Roman" w:eastAsia="Times New Roman"/>
          <w:b w:val="0"/>
          <w:i w:val="0"/>
          <w:sz w:val="26"/>
        </w:rPr>
        <w:t xml:space="preserve"> (bằng chữ: </w:t>
      </w:r>
      <w:r>
        <w:rPr>
          <w:rFonts w:ascii="Times New Roman" w:hAnsi="Times New Roman" w:eastAsia="Times New Roman"/>
          <w:b w:val="0"/>
          <w:i w:val="0"/>
          <w:sz w:val="26"/>
        </w:rPr>
        <w:t>{{rent.amountWords}}</w:t>
      </w:r>
      <w:r>
        <w:rPr>
          <w:rFonts w:ascii="Times New Roman" w:hAnsi="Times New Roman" w:eastAsia="Times New Roman"/>
          <w:b w:val="0"/>
          <w:i w:val="0"/>
          <w:sz w:val="26"/>
        </w:rPr>
        <w:t>) cho kỳ thanh toán theo thỏa thuận.</w:t>
      </w:r>
    </w:p>
    <w:p>
      <w:pPr>
        <w:spacing w:before="0" w:after="40" w:line="276" w:lineRule="auto"/>
        <w:ind w:firstLine="425"/>
        <w:jc w:val="left"/>
      </w:pPr>
      <w:r>
        <w:rPr>
          <w:rFonts w:ascii="Times New Roman" w:hAnsi="Times New Roman" w:eastAsia="Times New Roman"/>
          <w:b w:val="0"/>
          <w:i w:val="0"/>
          <w:sz w:val="26"/>
        </w:rPr>
        <w:t xml:space="preserve">3.2. Kỳ thanh toán: </w:t>
      </w:r>
      <w:r>
        <w:rPr>
          <w:rFonts w:ascii="Times New Roman" w:hAnsi="Times New Roman" w:eastAsia="Times New Roman"/>
          <w:b w:val="0"/>
          <w:i w:val="0"/>
          <w:sz w:val="26"/>
        </w:rPr>
        <w:t>{{rent.paymentCycle}}</w:t>
      </w:r>
      <w:r>
        <w:rPr>
          <w:rFonts w:ascii="Times New Roman" w:hAnsi="Times New Roman" w:eastAsia="Times New Roman"/>
          <w:b w:val="0"/>
          <w:i w:val="0"/>
          <w:sz w:val="26"/>
        </w:rPr>
        <w:t xml:space="preserve">; hạn đóng tiền: </w:t>
      </w:r>
      <w:r>
        <w:rPr>
          <w:rFonts w:ascii="Times New Roman" w:hAnsi="Times New Roman" w:eastAsia="Times New Roman"/>
          <w:b w:val="0"/>
          <w:i w:val="0"/>
          <w:sz w:val="26"/>
        </w:rPr>
        <w:t>{{rent.paymentDueDay}}</w:t>
      </w:r>
      <w:r>
        <w:rPr>
          <w:rFonts w:ascii="Times New Roman" w:hAnsi="Times New Roman" w:eastAsia="Times New Roman"/>
          <w:b w:val="0"/>
          <w:i w:val="0"/>
          <w:sz w:val="26"/>
        </w:rPr>
        <w:t xml:space="preserve">; phương thức: </w:t>
      </w:r>
      <w:r>
        <w:rPr>
          <w:rFonts w:ascii="Times New Roman" w:hAnsi="Times New Roman" w:eastAsia="Times New Roman"/>
          <w:b w:val="0"/>
          <w:i w:val="0"/>
          <w:sz w:val="26"/>
        </w:rPr>
        <w:t>{{rent.paymentMethod}}</w:t>
      </w:r>
      <w:r>
        <w:rPr>
          <w:rFonts w:ascii="Times New Roman" w:hAnsi="Times New Roman" w:eastAsia="Times New Roman"/>
          <w:b w:val="0"/>
          <w:i w:val="0"/>
          <w:sz w:val="26"/>
        </w:rPr>
        <w:t>.</w:t>
      </w:r>
    </w:p>
    <w:p>
      <w:pPr>
        <w:spacing w:before="0" w:after="40" w:line="276" w:lineRule="auto"/>
        <w:ind w:firstLine="425"/>
        <w:jc w:val="left"/>
      </w:pPr>
      <w:r>
        <w:rPr>
          <w:rFonts w:ascii="Times New Roman" w:hAnsi="Times New Roman" w:eastAsia="Times New Roman"/>
          <w:b w:val="0"/>
          <w:i w:val="0"/>
          <w:sz w:val="26"/>
        </w:rPr>
        <w:t xml:space="preserve">3.3. Tiền thuê và tiền đặt cọc được thanh toán trực tuyến qua nền tảng HomeSpace theo </w:t>
      </w:r>
      <w:r>
        <w:rPr>
          <w:rFonts w:ascii="Times New Roman" w:hAnsi="Times New Roman" w:eastAsia="Times New Roman"/>
          <w:b w:val="0"/>
          <w:i w:val="0"/>
          <w:sz w:val="26"/>
        </w:rPr>
        <w:t>{{rent.paymentMethod}}</w:t>
      </w:r>
      <w:r>
        <w:rPr>
          <w:rFonts w:ascii="Times New Roman" w:hAnsi="Times New Roman" w:eastAsia="Times New Roman"/>
          <w:b w:val="0"/>
          <w:i w:val="0"/>
          <w:sz w:val="26"/>
        </w:rPr>
        <w:t>. Việc ghi nhận thanh toán trên hệ thống là căn cứ đối soát giữa các bên, trừ trường hợp pháp luật yêu cầu chứng từ khác.</w:t>
      </w:r>
    </w:p>
    <w:p>
      <w:pPr>
        <w:spacing w:before="0" w:after="40" w:line="276" w:lineRule="auto"/>
        <w:ind w:firstLine="425"/>
        <w:jc w:val="left"/>
      </w:pPr>
      <w:r>
        <w:rPr>
          <w:rFonts w:ascii="Times New Roman" w:hAnsi="Times New Roman" w:eastAsia="Times New Roman"/>
          <w:b w:val="0"/>
          <w:i w:val="0"/>
          <w:sz w:val="26"/>
        </w:rPr>
        <w:t xml:space="preserve">3.4. Tiền đặt cọc: </w:t>
      </w:r>
      <w:r>
        <w:rPr>
          <w:rFonts w:ascii="Times New Roman" w:hAnsi="Times New Roman" w:eastAsia="Times New Roman"/>
          <w:b w:val="0"/>
          <w:i w:val="0"/>
          <w:sz w:val="26"/>
        </w:rPr>
        <w:t>{{deposit.amountNumber}}</w:t>
      </w:r>
      <w:r>
        <w:rPr>
          <w:rFonts w:ascii="Times New Roman" w:hAnsi="Times New Roman" w:eastAsia="Times New Roman"/>
          <w:b w:val="0"/>
          <w:i w:val="0"/>
          <w:sz w:val="26"/>
        </w:rPr>
        <w:t xml:space="preserve"> (bằng chữ: </w:t>
      </w:r>
      <w:r>
        <w:rPr>
          <w:rFonts w:ascii="Times New Roman" w:hAnsi="Times New Roman" w:eastAsia="Times New Roman"/>
          <w:b w:val="0"/>
          <w:i w:val="0"/>
          <w:sz w:val="26"/>
        </w:rPr>
        <w:t>{{deposit.amountWords}}</w:t>
      </w:r>
      <w:r>
        <w:rPr>
          <w:rFonts w:ascii="Times New Roman" w:hAnsi="Times New Roman" w:eastAsia="Times New Roman"/>
          <w:b w:val="0"/>
          <w:i w:val="0"/>
          <w:sz w:val="26"/>
        </w:rPr>
        <w:t xml:space="preserve">). Việc quản lý, hoàn trả, khấu trừ hoặc xử lý tiền cọc thực hiện theo: </w:t>
      </w:r>
      <w:r>
        <w:rPr>
          <w:rFonts w:ascii="Times New Roman" w:hAnsi="Times New Roman" w:eastAsia="Times New Roman"/>
          <w:b w:val="0"/>
          <w:i w:val="0"/>
          <w:sz w:val="26"/>
        </w:rPr>
        <w:t>{{deposit.description}}</w:t>
      </w:r>
      <w:r>
        <w:rPr>
          <w:rFonts w:ascii="Times New Roman" w:hAnsi="Times New Roman" w:eastAsia="Times New Roman"/>
          <w:b w:val="0"/>
          <w:i w:val="0"/>
          <w:sz w:val="26"/>
        </w:rPr>
        <w:t>.</w:t>
      </w:r>
    </w:p>
    <w:p>
      <w:pPr>
        <w:spacing w:before="0" w:after="40" w:line="276" w:lineRule="auto"/>
        <w:ind w:firstLine="425"/>
        <w:jc w:val="left"/>
      </w:pPr>
      <w:r>
        <w:rPr>
          <w:rFonts w:ascii="Times New Roman" w:hAnsi="Times New Roman" w:eastAsia="Times New Roman"/>
          <w:b w:val="0"/>
          <w:i w:val="0"/>
          <w:sz w:val="26"/>
        </w:rPr>
        <w:t>3.5. Bên A không được yêu cầu Bên B thanh toán ngoài hệ thống trái với phương thức đã thống nhất trong Hợp đồng.</w:t>
      </w:r>
    </w:p>
    <w:p>
      <w:pPr>
        <w:spacing w:before="140" w:after="80" w:line="276" w:lineRule="auto"/>
        <w:ind w:firstLine="0"/>
        <w:jc w:val="left"/>
        <w:keepNext/>
      </w:pPr>
      <w:r>
        <w:rPr>
          <w:rFonts w:ascii="Times New Roman" w:hAnsi="Times New Roman" w:eastAsia="Times New Roman"/>
          <w:b/>
          <w:i w:val="0"/>
          <w:sz w:val="26"/>
        </w:rPr>
        <w:t>ĐIỀU 4. PHÍ DỊCH VỤ VÀ TÀI SẢN BÀN GIAO</w:t>
      </w:r>
    </w:p>
    <w:p>
      <w:pPr>
        <w:spacing w:before="0" w:after="40" w:line="276" w:lineRule="auto"/>
        <w:ind w:firstLine="425"/>
        <w:jc w:val="left"/>
      </w:pPr>
      <w:r>
        <w:rPr>
          <w:rFonts w:ascii="Times New Roman" w:hAnsi="Times New Roman" w:eastAsia="Times New Roman"/>
          <w:b w:val="0"/>
          <w:i w:val="0"/>
          <w:sz w:val="26"/>
        </w:rPr>
        <w:t>4.1. Các khoản phí quản lý chung cư, gửi xe, điện, nước và dịch vụ khác được xác định theo biểu phí dưới đây và/hoặc quy định hợp pháp của đơn vị quản lý vận hành tòa nhà.</w:t>
      </w:r>
    </w:p>
    <w:p>
      <w:pPr>
        <w:spacing w:before="80" w:after="40" w:line="276" w:lineRule="auto"/>
        <w:ind w:firstLine="0"/>
        <w:jc w:val="left"/>
        <w:keepNext/>
      </w:pPr>
      <w:r>
        <w:rPr>
          <w:rFonts w:ascii="Times New Roman" w:hAnsi="Times New Roman" w:eastAsia="Times New Roman"/>
          <w:b/>
          <w:i w:val="0"/>
          <w:sz w:val="26"/>
        </w:rPr>
        <w:t>4.2. Bảng biểu phí dịch vụ tòa nhà, gửi xe, điện nước</w:t>
      </w:r>
    </w:p>
    <w:tbl>
      <w:tblPr>
        <w:tblW w:type="auto" w:w="0"/>
        <w:jc w:val="center"/>
        <w:tblLayout w:type="autofit"/>
        <w:tblLook w:firstColumn="1" w:firstRow="1" w:lastColumn="0" w:lastRow="0" w:noHBand="0" w:noVBand="1" w:val="04A0"/>
      </w:tblPr>
      <w:tblGrid>
        <w:gridCol w:w="9298"/>
      </w:tblGrid>
      <w:tr>
        <w:tc>
          <w:tcPr>
            <w:tcW w:type="dxa" w:w="9298"/>
            <w:vAlign w:val="center"/>
            <w:shd w:fill="F2F2F2"/>
          </w:tcPr>
          <w:p>
            <w:pPr>
              <w:spacing w:before="120" w:after="120"/>
              <w:jc w:val="center"/>
            </w:pPr>
            <w:r>
              <w:rPr>
                <w:rFonts w:ascii="Times New Roman" w:hAnsi="Times New Roman" w:eastAsia="Times New Roman"/>
                <w:b/>
                <w:i w:val="0"/>
                <w:sz w:val="26"/>
              </w:rPr>
              <w:t>{{#chargesTable}}</w:t>
            </w:r>
          </w:p>
        </w:tc>
      </w:tr>
    </w:tbl>
    <w:p>
      <w:pPr>
        <w:spacing w:before="0" w:after="40" w:line="276" w:lineRule="auto"/>
        <w:ind w:firstLine="425"/>
        <w:jc w:val="both"/>
      </w:pPr>
      <w:r>
        <w:rPr>
          <w:rFonts w:ascii="Times New Roman" w:hAnsi="Times New Roman" w:eastAsia="Times New Roman"/>
          <w:b w:val="0"/>
          <w:i/>
          <w:sz w:val="26"/>
        </w:rPr>
        <w:t>Bảng này do hệ thống HomeSpace tự sinh từ dữ liệu cấu hình phí. Không chỉnh sửa thủ công tên tag.</w:t>
      </w:r>
    </w:p>
    <w:p>
      <w:pPr>
        <w:spacing w:before="80" w:after="40" w:line="276" w:lineRule="auto"/>
        <w:ind w:firstLine="0"/>
        <w:jc w:val="left"/>
        <w:keepNext/>
      </w:pPr>
      <w:r>
        <w:rPr>
          <w:rFonts w:ascii="Times New Roman" w:hAnsi="Times New Roman" w:eastAsia="Times New Roman"/>
          <w:b/>
          <w:i w:val="0"/>
          <w:sz w:val="26"/>
        </w:rPr>
        <w:t>4.3. Danh mục trang thiết bị, nội thất bàn giao</w:t>
      </w:r>
    </w:p>
    <w:tbl>
      <w:tblPr>
        <w:tblW w:type="auto" w:w="0"/>
        <w:jc w:val="center"/>
        <w:tblLayout w:type="autofit"/>
        <w:tblLook w:firstColumn="1" w:firstRow="1" w:lastColumn="0" w:lastRow="0" w:noHBand="0" w:noVBand="1" w:val="04A0"/>
      </w:tblPr>
      <w:tblGrid>
        <w:gridCol w:w="9298"/>
      </w:tblGrid>
      <w:tr>
        <w:tc>
          <w:tcPr>
            <w:tcW w:type="dxa" w:w="9298"/>
            <w:vAlign w:val="center"/>
            <w:shd w:fill="F2F2F2"/>
          </w:tcPr>
          <w:p>
            <w:pPr>
              <w:spacing w:before="120" w:after="120"/>
              <w:jc w:val="center"/>
            </w:pPr>
            <w:r>
              <w:rPr>
                <w:rFonts w:ascii="Times New Roman" w:hAnsi="Times New Roman" w:eastAsia="Times New Roman"/>
                <w:b/>
                <w:i w:val="0"/>
                <w:sz w:val="26"/>
              </w:rPr>
              <w:t>{{#equipmentTable}}</w:t>
            </w:r>
          </w:p>
        </w:tc>
      </w:tr>
    </w:tbl>
    <w:p>
      <w:pPr>
        <w:spacing w:before="0" w:after="40" w:line="276" w:lineRule="auto"/>
        <w:ind w:firstLine="425"/>
        <w:jc w:val="both"/>
      </w:pPr>
      <w:r>
        <w:rPr>
          <w:rFonts w:ascii="Times New Roman" w:hAnsi="Times New Roman" w:eastAsia="Times New Roman"/>
          <w:b w:val="0"/>
          <w:i/>
          <w:sz w:val="26"/>
        </w:rPr>
        <w:t>Bảng này là bộ phận không tách rời của Hợp đồng và là căn cứ xác định hiện trạng khi hoàn trả căn hộ.</w:t>
      </w:r>
    </w:p>
    <w:p>
      <w:pPr>
        <w:spacing w:before="140" w:after="80" w:line="276" w:lineRule="auto"/>
        <w:ind w:firstLine="0"/>
        <w:jc w:val="left"/>
        <w:keepNext/>
      </w:pPr>
      <w:r>
        <w:rPr>
          <w:rFonts w:ascii="Times New Roman" w:hAnsi="Times New Roman" w:eastAsia="Times New Roman"/>
          <w:b/>
          <w:i w:val="0"/>
          <w:sz w:val="26"/>
        </w:rPr>
        <w:t>ĐIỀU 5. QUYỀN VÀ NGHĨA VỤ CỦA BÊN A</w:t>
      </w:r>
    </w:p>
    <w:p>
      <w:pPr>
        <w:spacing w:before="0" w:after="40" w:line="276" w:lineRule="auto"/>
        <w:ind w:firstLine="425"/>
        <w:jc w:val="left"/>
      </w:pPr>
      <w:r>
        <w:rPr>
          <w:rFonts w:ascii="Times New Roman" w:hAnsi="Times New Roman" w:eastAsia="Times New Roman"/>
          <w:b w:val="0"/>
          <w:i w:val="0"/>
          <w:sz w:val="26"/>
        </w:rPr>
        <w:t>5.1. Bàn giao căn hộ đúng thời điểm, hiện trạng và khả năng sử dụng đã thỏa thuận; bảo đảm quyền cho thuê hợp pháp và quyền sử dụng ổn định của Bên B trong thời hạn thuê.</w:t>
      </w:r>
    </w:p>
    <w:p>
      <w:pPr>
        <w:spacing w:before="0" w:after="40" w:line="276" w:lineRule="auto"/>
        <w:ind w:firstLine="425"/>
        <w:jc w:val="left"/>
      </w:pPr>
      <w:r>
        <w:rPr>
          <w:rFonts w:ascii="Times New Roman" w:hAnsi="Times New Roman" w:eastAsia="Times New Roman"/>
          <w:b w:val="0"/>
          <w:i w:val="0"/>
          <w:sz w:val="26"/>
        </w:rPr>
        <w:t>5.2. Thực hiện hoặc phối hợp sửa chữa các hư hỏng thuộc kết cấu, hệ thống kỹ thuật chung hoặc lỗi không do Bên B gây ra trong phạm vi trách nhiệm của chủ sở hữu.</w:t>
      </w:r>
    </w:p>
    <w:p>
      <w:pPr>
        <w:spacing w:before="0" w:after="40" w:line="276" w:lineRule="auto"/>
        <w:ind w:firstLine="425"/>
        <w:jc w:val="left"/>
      </w:pPr>
      <w:r>
        <w:rPr>
          <w:rFonts w:ascii="Times New Roman" w:hAnsi="Times New Roman" w:eastAsia="Times New Roman"/>
          <w:b w:val="0"/>
          <w:i w:val="0"/>
          <w:sz w:val="26"/>
        </w:rPr>
        <w:t>5.3. Phối hợp cung cấp giấy tờ cần thiết để Bên B thực hiện đăng ký cư trú, đăng ký thẻ cư dân và thủ tục với Ban Quản lý/Ban Quản trị khi pháp luật hoặc nội quy yêu cầu.</w:t>
      </w:r>
    </w:p>
    <w:p>
      <w:pPr>
        <w:spacing w:before="0" w:after="40" w:line="276" w:lineRule="auto"/>
        <w:ind w:firstLine="425"/>
        <w:jc w:val="left"/>
      </w:pPr>
      <w:r>
        <w:rPr>
          <w:rFonts w:ascii="Times New Roman" w:hAnsi="Times New Roman" w:eastAsia="Times New Roman"/>
          <w:b w:val="0"/>
          <w:i w:val="0"/>
          <w:sz w:val="26"/>
        </w:rPr>
        <w:t>5.4. Được kiểm tra tình trạng căn hộ định kỳ hoặc khi có dấu hiệu sự cố, với nguyên tắc thông báo trước hợp lý, trừ trường hợp khẩn cấp liên quan đến an toàn, PCCC, cấp thoát nước hoặc nguy cơ gây thiệt hại cho tòa nhà.</w:t>
      </w:r>
    </w:p>
    <w:p>
      <w:pPr>
        <w:spacing w:before="140" w:after="80" w:line="276" w:lineRule="auto"/>
        <w:ind w:firstLine="0"/>
        <w:jc w:val="left"/>
        <w:keepNext/>
      </w:pPr>
      <w:r>
        <w:rPr>
          <w:rFonts w:ascii="Times New Roman" w:hAnsi="Times New Roman" w:eastAsia="Times New Roman"/>
          <w:b/>
          <w:i w:val="0"/>
          <w:sz w:val="26"/>
        </w:rPr>
        <w:t>ĐIỀU 6. QUYỀN VÀ NGHĨA VỤ CỦA BÊN B</w:t>
      </w:r>
    </w:p>
    <w:p>
      <w:pPr>
        <w:spacing w:before="0" w:after="40" w:line="276" w:lineRule="auto"/>
        <w:ind w:firstLine="425"/>
        <w:jc w:val="left"/>
      </w:pPr>
      <w:r>
        <w:rPr>
          <w:rFonts w:ascii="Times New Roman" w:hAnsi="Times New Roman" w:eastAsia="Times New Roman"/>
          <w:b w:val="0"/>
          <w:i w:val="0"/>
          <w:sz w:val="26"/>
        </w:rPr>
        <w:t>6.1. Thanh toán đầy đủ, đúng hạn; sử dụng căn hộ đúng mục đích, bảo quản tài sản thuê và thông báo kịp thời khi phát hiện hư hỏng hoặc sự cố.</w:t>
      </w:r>
    </w:p>
    <w:p>
      <w:pPr>
        <w:spacing w:before="0" w:after="40" w:line="276" w:lineRule="auto"/>
        <w:ind w:firstLine="425"/>
        <w:jc w:val="left"/>
      </w:pPr>
      <w:r>
        <w:rPr>
          <w:rFonts w:ascii="Times New Roman" w:hAnsi="Times New Roman" w:eastAsia="Times New Roman"/>
          <w:b w:val="0"/>
          <w:i w:val="0"/>
          <w:sz w:val="26"/>
        </w:rPr>
        <w:t>6.2. Tuân thủ Nội quy quản lý, sử dụng nhà chung cư, quy định chuyển đồ, đăng ký thẻ cư dân, thẻ thang máy, thẻ gửi xe, quy định về giờ thi công/sửa chữa và các yêu cầu hợp pháp của Ban Quản lý/Ban Quản trị.</w:t>
      </w:r>
    </w:p>
    <w:p>
      <w:pPr>
        <w:spacing w:before="0" w:after="40" w:line="276" w:lineRule="auto"/>
        <w:ind w:firstLine="425"/>
        <w:jc w:val="left"/>
      </w:pPr>
      <w:r>
        <w:rPr>
          <w:rFonts w:ascii="Times New Roman" w:hAnsi="Times New Roman" w:eastAsia="Times New Roman"/>
          <w:b w:val="0"/>
          <w:i w:val="0"/>
          <w:sz w:val="26"/>
        </w:rPr>
        <w:t>6.3. Không tự ý thay đổi kết cấu, cơi nới, đục phá phần sở hữu chung hoặc can thiệp hệ thống kỹ thuật của tòa nhà. Mọi sửa chữa có ảnh hưởng đến kết cấu, mặt ngoài hoặc hệ thống chung phải được chấp thuận theo quy định.</w:t>
      </w:r>
    </w:p>
    <w:p>
      <w:pPr>
        <w:spacing w:before="0" w:after="40" w:line="276" w:lineRule="auto"/>
        <w:ind w:firstLine="425"/>
        <w:jc w:val="left"/>
      </w:pPr>
      <w:r>
        <w:rPr>
          <w:rFonts w:ascii="Times New Roman" w:hAnsi="Times New Roman" w:eastAsia="Times New Roman"/>
          <w:b w:val="0"/>
          <w:i w:val="0"/>
          <w:sz w:val="26"/>
        </w:rPr>
        <w:t>6.4. Chịu trách nhiệm đối với thiệt hại do mình, người cùng cư trú, khách hoặc nhà thầu do mình thuê gây ra cho căn hộ, phần sở hữu chung hoặc bên thứ ba.</w:t>
      </w:r>
    </w:p>
    <w:p>
      <w:pPr>
        <w:spacing w:before="140" w:after="80" w:line="276" w:lineRule="auto"/>
        <w:ind w:firstLine="0"/>
        <w:jc w:val="left"/>
        <w:keepNext/>
      </w:pPr>
      <w:r>
        <w:rPr>
          <w:rFonts w:ascii="Times New Roman" w:hAnsi="Times New Roman" w:eastAsia="Times New Roman"/>
          <w:b/>
          <w:i w:val="0"/>
          <w:sz w:val="26"/>
        </w:rPr>
        <w:t>ĐIỀU 7. AN TOÀN PCCC, AN NINH VÀ QUY TẮC SỬ DỤNG CHUNG CƯ</w:t>
      </w:r>
    </w:p>
    <w:p>
      <w:pPr>
        <w:spacing w:before="0" w:after="40" w:line="276" w:lineRule="auto"/>
        <w:ind w:firstLine="425"/>
        <w:jc w:val="left"/>
      </w:pPr>
      <w:r>
        <w:rPr>
          <w:rFonts w:ascii="Times New Roman" w:hAnsi="Times New Roman" w:eastAsia="Times New Roman"/>
          <w:b w:val="0"/>
          <w:i w:val="0"/>
          <w:sz w:val="26"/>
        </w:rPr>
        <w:t>7.1. Nghiêm cấm che chắn, tháo dỡ, vô hiệu hóa hoặc can thiệp trái phép đầu báo khói, đầu phun chữa cháy, chuông báo cháy, cửa chống cháy hoặc thiết bị PCCC.</w:t>
      </w:r>
    </w:p>
    <w:p>
      <w:pPr>
        <w:spacing w:before="0" w:after="40" w:line="276" w:lineRule="auto"/>
        <w:ind w:firstLine="425"/>
        <w:jc w:val="left"/>
      </w:pPr>
      <w:r>
        <w:rPr>
          <w:rFonts w:ascii="Times New Roman" w:hAnsi="Times New Roman" w:eastAsia="Times New Roman"/>
          <w:b w:val="0"/>
          <w:i w:val="0"/>
          <w:sz w:val="26"/>
        </w:rPr>
        <w:t>7.2. Không nướng than, đốt vàng mã hoặc sử dụng nguồn lửa trần tại ban công, hành lang và khu vực bị cấm. Việc sử dụng thiết bị sinh nhiệt phải tuân thủ hướng dẫn an toàn của nhà sản xuất và nội quy tòa nhà.</w:t>
      </w:r>
    </w:p>
    <w:p>
      <w:pPr>
        <w:spacing w:before="0" w:after="40" w:line="276" w:lineRule="auto"/>
        <w:ind w:firstLine="425"/>
        <w:jc w:val="left"/>
      </w:pPr>
      <w:r>
        <w:rPr>
          <w:rFonts w:ascii="Times New Roman" w:hAnsi="Times New Roman" w:eastAsia="Times New Roman"/>
          <w:b w:val="0"/>
          <w:i w:val="0"/>
          <w:sz w:val="26"/>
        </w:rPr>
        <w:t>7.3. Không mang xe điện hoặc pin xe điện lên căn hộ để sạc khi nội quy tòa nhà hoặc quy định PCCC cấm; việc sạc phải thực hiện đúng khu vực, thiết bị và thời gian được phép.</w:t>
      </w:r>
    </w:p>
    <w:p>
      <w:pPr>
        <w:spacing w:before="0" w:after="40" w:line="276" w:lineRule="auto"/>
        <w:ind w:firstLine="425"/>
        <w:jc w:val="left"/>
      </w:pPr>
      <w:r>
        <w:rPr>
          <w:rFonts w:ascii="Times New Roman" w:hAnsi="Times New Roman" w:eastAsia="Times New Roman"/>
          <w:b w:val="0"/>
          <w:i w:val="0"/>
          <w:sz w:val="26"/>
        </w:rPr>
        <w:t>7.4. Bên B có nghĩa vụ giữ gìn an ninh, trật tự, vệ sinh môi trường, không gây tiếng ồn quá mức và không thực hiện hành vi ảnh hưởng đến quyền sử dụng hợp pháp của cư dân khác.</w:t>
      </w:r>
    </w:p>
    <w:p>
      <w:pPr>
        <w:spacing w:before="140" w:after="80" w:line="276" w:lineRule="auto"/>
        <w:ind w:firstLine="0"/>
        <w:jc w:val="left"/>
        <w:keepNext/>
      </w:pPr>
      <w:r>
        <w:rPr>
          <w:rFonts w:ascii="Times New Roman" w:hAnsi="Times New Roman" w:eastAsia="Times New Roman"/>
          <w:b/>
          <w:i w:val="0"/>
          <w:sz w:val="26"/>
        </w:rPr>
        <w:t>ĐIỀU 8. SỬA CHỮA, KIỂM TRA VÀ BỒI THƯỜNG HƯ HẠI</w:t>
      </w:r>
    </w:p>
    <w:p>
      <w:pPr>
        <w:spacing w:before="0" w:after="40" w:line="276" w:lineRule="auto"/>
        <w:ind w:firstLine="425"/>
        <w:jc w:val="left"/>
      </w:pPr>
      <w:r>
        <w:rPr>
          <w:rFonts w:ascii="Times New Roman" w:hAnsi="Times New Roman" w:eastAsia="Times New Roman"/>
          <w:b w:val="0"/>
          <w:i w:val="0"/>
          <w:sz w:val="26"/>
        </w:rPr>
        <w:t>8.1. Bên B chịu chi phí khắc phục hư hỏng do lỗi sử dụng của mình hoặc người thuộc phạm vi quản lý của mình. Hao mòn tự nhiên do sử dụng đúng công năng không được coi là thiệt hại phải bồi thường.</w:t>
      </w:r>
    </w:p>
    <w:p>
      <w:pPr>
        <w:spacing w:before="0" w:after="40" w:line="276" w:lineRule="auto"/>
        <w:ind w:firstLine="425"/>
        <w:jc w:val="left"/>
      </w:pPr>
      <w:r>
        <w:rPr>
          <w:rFonts w:ascii="Times New Roman" w:hAnsi="Times New Roman" w:eastAsia="Times New Roman"/>
          <w:b w:val="0"/>
          <w:i w:val="0"/>
          <w:sz w:val="26"/>
        </w:rPr>
        <w:t>8.2. Bên A được kiểm tra căn hộ định kỳ sau khi thông báo trước cho Bên B, ưu tiên thời điểm phù hợp với sinh hoạt của Bên B; trường hợp khẩn cấp có thể tiếp cận ngay để ngăn ngừa thiệt hại.</w:t>
      </w:r>
    </w:p>
    <w:p>
      <w:pPr>
        <w:spacing w:before="0" w:after="40" w:line="276" w:lineRule="auto"/>
        <w:ind w:firstLine="425"/>
        <w:jc w:val="left"/>
      </w:pPr>
      <w:r>
        <w:rPr>
          <w:rFonts w:ascii="Times New Roman" w:hAnsi="Times New Roman" w:eastAsia="Times New Roman"/>
          <w:b w:val="0"/>
          <w:i w:val="0"/>
          <w:sz w:val="26"/>
        </w:rPr>
        <w:t xml:space="preserve">8.3. Khi chấm dứt Hợp đồng, hai bên đối chiếu danh mục tài sản, hiện trạng và công nợ. Chi phí hợp lý để khắc phục hư hại vượt quá hao mòn tự nhiên có thể được khấu trừ từ tiền cọc theo </w:t>
      </w:r>
      <w:r>
        <w:rPr>
          <w:rFonts w:ascii="Times New Roman" w:hAnsi="Times New Roman" w:eastAsia="Times New Roman"/>
          <w:b w:val="0"/>
          <w:i w:val="0"/>
          <w:sz w:val="26"/>
        </w:rPr>
        <w:t>{{deposit.description}}</w:t>
      </w:r>
      <w:r>
        <w:rPr>
          <w:rFonts w:ascii="Times New Roman" w:hAnsi="Times New Roman" w:eastAsia="Times New Roman"/>
          <w:b w:val="0"/>
          <w:i w:val="0"/>
          <w:sz w:val="26"/>
        </w:rPr>
        <w:t>, kèm căn cứ xác định rõ ràng.</w:t>
      </w:r>
    </w:p>
    <w:p>
      <w:pPr>
        <w:spacing w:before="140" w:after="80" w:line="276" w:lineRule="auto"/>
        <w:ind w:firstLine="0"/>
        <w:jc w:val="left"/>
        <w:keepNext/>
      </w:pPr>
      <w:r>
        <w:rPr>
          <w:rFonts w:ascii="Times New Roman" w:hAnsi="Times New Roman" w:eastAsia="Times New Roman"/>
          <w:b/>
          <w:i w:val="0"/>
          <w:sz w:val="26"/>
        </w:rPr>
        <w:t>ĐIỀU 9. VI PHẠM, ĐƠN PHƯƠNG CHẤM DỨT VÀ HOÀN TRẢ CĂN HỘ</w:t>
      </w:r>
    </w:p>
    <w:p>
      <w:pPr>
        <w:spacing w:before="0" w:after="40" w:line="276" w:lineRule="auto"/>
        <w:ind w:firstLine="425"/>
        <w:jc w:val="left"/>
      </w:pPr>
      <w:r>
        <w:rPr>
          <w:rFonts w:ascii="Times New Roman" w:hAnsi="Times New Roman" w:eastAsia="Times New Roman"/>
          <w:b w:val="0"/>
          <w:i w:val="0"/>
          <w:sz w:val="26"/>
        </w:rPr>
        <w:t>9.1. Việc đơn phương chấm dứt hợp đồng thuê nhà ở thực hiện theo thỏa thuận này và các trường hợp pháp luật về nhà ở cho phép. Bên đơn phương chấm dứt phải thông báo trước theo thời hạn luật định hoặc thời hạn khác mà hai bên có thỏa thuận hợp pháp.</w:t>
      </w:r>
    </w:p>
    <w:p>
      <w:pPr>
        <w:spacing w:before="0" w:after="40" w:line="276" w:lineRule="auto"/>
        <w:ind w:firstLine="425"/>
        <w:jc w:val="left"/>
      </w:pPr>
      <w:r>
        <w:rPr>
          <w:rFonts w:ascii="Times New Roman" w:hAnsi="Times New Roman" w:eastAsia="Times New Roman"/>
          <w:b w:val="0"/>
          <w:i w:val="0"/>
          <w:sz w:val="26"/>
        </w:rPr>
        <w:t>9.2. Bên A có quyền yêu cầu khắc phục vi phạm và áp dụng quyền chấm dứt theo pháp luật nếu Bên B chậm thanh toán nghiêm trọng, sử dụng sai mục đích, cố ý gây hư hỏng nghiêm trọng, vi phạm PCCC hoặc nội quy ở mức làm phát sinh căn cứ chấm dứt.</w:t>
      </w:r>
    </w:p>
    <w:p>
      <w:pPr>
        <w:spacing w:before="0" w:after="40" w:line="276" w:lineRule="auto"/>
        <w:ind w:firstLine="425"/>
        <w:jc w:val="left"/>
      </w:pPr>
      <w:r>
        <w:rPr>
          <w:rFonts w:ascii="Times New Roman" w:hAnsi="Times New Roman" w:eastAsia="Times New Roman"/>
          <w:b w:val="0"/>
          <w:i w:val="0"/>
          <w:sz w:val="26"/>
        </w:rPr>
        <w:t>9.3. Bên B có quyền yêu cầu khắc phục hoặc chấm dứt theo pháp luật nếu Bên A không bảo đảm quyền sử dụng ổn định, không sửa chữa hư hỏng nghiêm trọng thuộc trách nhiệm của Bên A hoặc có hành vi cản trở trái pháp luật việc sử dụng căn hộ.</w:t>
      </w:r>
    </w:p>
    <w:p>
      <w:pPr>
        <w:spacing w:before="0" w:after="40" w:line="276" w:lineRule="auto"/>
        <w:ind w:firstLine="425"/>
        <w:jc w:val="left"/>
      </w:pPr>
      <w:r>
        <w:rPr>
          <w:rFonts w:ascii="Times New Roman" w:hAnsi="Times New Roman" w:eastAsia="Times New Roman"/>
          <w:b w:val="0"/>
          <w:i w:val="0"/>
          <w:sz w:val="26"/>
        </w:rPr>
        <w:t>9.4. Khi chấm dứt, Bên B bàn giao căn hộ, chìa khóa, thẻ và tài sản theo biên bản; hai bên chốt công nợ, phí và tiền cọc theo Điều 3 và Điều 8.</w:t>
      </w:r>
    </w:p>
    <w:p>
      <w:pPr>
        <w:spacing w:before="140" w:after="80" w:line="276" w:lineRule="auto"/>
        <w:ind w:firstLine="0"/>
        <w:jc w:val="left"/>
        <w:keepNext/>
      </w:pPr>
      <w:r>
        <w:rPr>
          <w:rFonts w:ascii="Times New Roman" w:hAnsi="Times New Roman" w:eastAsia="Times New Roman"/>
          <w:b/>
          <w:i w:val="0"/>
          <w:sz w:val="26"/>
        </w:rPr>
        <w:t>ĐIỀU 10. ĐIỀU KHOẢN CHUNG VÀ HIỆU LỰC</w:t>
      </w:r>
    </w:p>
    <w:p>
      <w:pPr>
        <w:spacing w:before="0" w:after="40" w:line="276" w:lineRule="auto"/>
        <w:ind w:firstLine="425"/>
        <w:jc w:val="left"/>
      </w:pPr>
      <w:r>
        <w:rPr>
          <w:rFonts w:ascii="Times New Roman" w:hAnsi="Times New Roman" w:eastAsia="Times New Roman"/>
          <w:b w:val="0"/>
          <w:i w:val="0"/>
          <w:sz w:val="26"/>
        </w:rPr>
        <w:t>10.1. Hợp đồng có hiệu lực theo thỏa thuận của các bên và quy định pháp luật. Việc công chứng/chứng thực được thực hiện khi pháp luật bắt buộc hoặc khi các bên có nhu cầu.</w:t>
      </w:r>
    </w:p>
    <w:p>
      <w:pPr>
        <w:spacing w:before="0" w:after="40" w:line="276" w:lineRule="auto"/>
        <w:ind w:firstLine="425"/>
        <w:jc w:val="left"/>
      </w:pPr>
      <w:r>
        <w:rPr>
          <w:rFonts w:ascii="Times New Roman" w:hAnsi="Times New Roman" w:eastAsia="Times New Roman"/>
          <w:b w:val="0"/>
          <w:i w:val="0"/>
          <w:sz w:val="26"/>
        </w:rPr>
        <w:t>10.2. Thông báo qua HomeSpace, email hoặc phương thức điện tử mà các bên đã đăng ký được sử dụng làm kênh trao đổi và lưu vết giao dịch, phù hợp quy định pháp luật về giao dịch điện tử.</w:t>
      </w:r>
    </w:p>
    <w:p>
      <w:pPr>
        <w:spacing w:before="0" w:after="40" w:line="276" w:lineRule="auto"/>
        <w:ind w:firstLine="425"/>
        <w:jc w:val="left"/>
      </w:pPr>
      <w:r>
        <w:rPr>
          <w:rFonts w:ascii="Times New Roman" w:hAnsi="Times New Roman" w:eastAsia="Times New Roman"/>
          <w:b w:val="0"/>
          <w:i w:val="0"/>
          <w:sz w:val="26"/>
        </w:rPr>
        <w:t>10.3. Mọi sửa đổi, bổ sung phải được các bên xác nhận bằng văn bản hoặc phương thức điện tử có khả năng lưu trữ, truy xuất và xác định chủ thể.</w:t>
      </w:r>
    </w:p>
    <w:p>
      <w:pPr>
        <w:spacing w:before="0" w:after="40" w:line="276" w:lineRule="auto"/>
        <w:ind w:firstLine="425"/>
        <w:jc w:val="left"/>
      </w:pPr>
      <w:r>
        <w:rPr>
          <w:rFonts w:ascii="Times New Roman" w:hAnsi="Times New Roman" w:eastAsia="Times New Roman"/>
          <w:b w:val="0"/>
          <w:i w:val="0"/>
          <w:sz w:val="26"/>
        </w:rPr>
        <w:t>10.4. Tranh chấp trước hết được thương lượng; nếu không giải quyết được, một bên có quyền yêu cầu cơ quan có thẩm quyền giải quyết theo pháp luật Việt Nam.</w:t>
      </w:r>
    </w:p>
    <w:p>
      <w:pPr>
        <w:spacing w:before="0" w:after="40" w:line="276" w:lineRule="auto"/>
        <w:ind w:firstLine="425"/>
        <w:jc w:val="left"/>
      </w:pPr>
      <w:r>
        <w:rPr>
          <w:rFonts w:ascii="Times New Roman" w:hAnsi="Times New Roman" w:eastAsia="Times New Roman"/>
          <w:b w:val="0"/>
          <w:i w:val="0"/>
          <w:sz w:val="26"/>
        </w:rPr>
        <w:t>10.5. Các bảng động và dữ liệu được HomeSpace điền vào đúng các trường của mẫu là bộ phận không tách rời của Hợp đồng.</w:t>
      </w:r>
    </w:p>
    <w:p>
      <w:pPr>
        <w:spacing w:before="200" w:after="100" w:line="276" w:lineRule="auto"/>
        <w:ind w:firstLine="0"/>
        <w:jc w:val="center"/>
      </w:pPr>
      <w:r>
        <w:rPr>
          <w:rFonts w:ascii="Times New Roman" w:hAnsi="Times New Roman" w:eastAsia="Times New Roman"/>
          <w:b/>
          <w:i w:val="0"/>
          <w:sz w:val="26"/>
        </w:rPr>
        <w:t>ĐẠI DIỆN CÁC BÊN KÝ/XÁC NHẬN</w:t>
      </w:r>
    </w:p>
    <w:tbl>
      <w:tblPr>
        <w:tblW w:type="auto" w:w="0"/>
        <w:jc w:val="center"/>
        <w:tblLook w:firstColumn="1" w:firstRow="1" w:lastColumn="0" w:lastRow="0" w:noHBand="0" w:noVBand="1" w:val="04A0"/>
      </w:tblPr>
      <w:tblGrid>
        <w:gridCol w:w="4649"/>
        <w:gridCol w:w="4649"/>
      </w:tblGrid>
      <w:tr>
        <w:tc>
          <w:tcPr>
            <w:tcW w:type="dxa" w:w="4649"/>
            <w:vAlign w:val="top"/>
          </w:tcPr>
          <w:p>
            <w:pPr>
              <w:jc w:val="center"/>
            </w:pPr>
            <w:r>
              <w:rPr>
                <w:rFonts w:ascii="Times New Roman" w:hAnsi="Times New Roman" w:eastAsia="Times New Roman"/>
                <w:b/>
                <w:sz w:val="26"/>
              </w:rPr>
              <w:t>BÊN CHO THUÊ (BÊN A)</w:t>
            </w:r>
          </w:p>
          <w:p>
            <w:pPr>
              <w:jc w:val="center"/>
            </w:pPr>
            <w:r>
              <w:rPr>
                <w:rFonts w:ascii="Times New Roman" w:hAnsi="Times New Roman" w:eastAsia="Times New Roman"/>
                <w:i/>
                <w:sz w:val="22"/>
              </w:rPr>
              <w:t>(Ký, ghi rõ họ tên hoặc ký điện tử)</w:t>
            </w:r>
          </w:p>
          <w:p/>
          <w:p/>
          <w:p/>
          <w:p/>
        </w:tc>
        <w:tc>
          <w:tcPr>
            <w:tcW w:type="dxa" w:w="4649"/>
            <w:vAlign w:val="top"/>
          </w:tcPr>
          <w:p>
            <w:pPr>
              <w:jc w:val="center"/>
            </w:pPr>
            <w:r>
              <w:rPr>
                <w:rFonts w:ascii="Times New Roman" w:hAnsi="Times New Roman" w:eastAsia="Times New Roman"/>
                <w:b/>
                <w:sz w:val="26"/>
              </w:rPr>
              <w:t>BÊN THUÊ (BÊN B)</w:t>
            </w:r>
          </w:p>
          <w:p>
            <w:pPr>
              <w:jc w:val="center"/>
            </w:pPr>
            <w:r>
              <w:rPr>
                <w:rFonts w:ascii="Times New Roman" w:hAnsi="Times New Roman" w:eastAsia="Times New Roman"/>
                <w:i/>
                <w:sz w:val="22"/>
              </w:rPr>
              <w:t>(Ký, ghi rõ họ tên hoặc ký điện tử)</w:t>
            </w:r>
          </w:p>
          <w:p/>
          <w:p/>
          <w:p/>
          <w:p/>
        </w:tc>
      </w:tr>
    </w:tbl>
    <w:sectPr w:rsidR="00FC693F" w:rsidRPr="0006063C" w:rsidSect="00034616">
      <w:footerReference w:type="default" r:id="rId9"/>
      <w:pgSz w:w="11906" w:h="16838"/>
      <w:pgMar w:top="1134" w:right="1134" w:bottom="1134" w:left="147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i/>
        <w:sz w:val="18"/>
      </w:rPr>
      <w:t>HomeSpace | Mẫu hợp đồng điện tử | Căn hộ chung cư</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