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26"/>
        </w:rPr>
        <w:t>CỘNG HÒA XÃ HỘI CHỦ NGHĨA VIỆT NAM</w:t>
      </w:r>
    </w:p>
    <w:p>
      <w:pPr>
        <w:spacing w:after="20"/>
        <w:jc w:val="center"/>
      </w:pPr>
      <w:r>
        <w:rPr>
          <w:rFonts w:ascii="Times New Roman" w:hAnsi="Times New Roman" w:eastAsia="Times New Roman"/>
          <w:b/>
          <w:sz w:val="26"/>
        </w:rPr>
        <w:t>Độc lập - Tự do - Hạnh phúc</w:t>
      </w:r>
    </w:p>
    <w:p>
      <w:pPr>
        <w:spacing w:after="160"/>
        <w:jc w:val="center"/>
      </w:pPr>
      <w:r>
        <w:rPr>
          <w:rFonts w:ascii="Times New Roman" w:hAnsi="Times New Roman" w:eastAsia="Times New Roman"/>
          <w:b w:val="0"/>
          <w:sz w:val="22"/>
        </w:rPr>
        <w:t>____________________</w:t>
      </w:r>
    </w:p>
    <w:p>
      <w:pPr>
        <w:spacing w:after="40"/>
        <w:jc w:val="center"/>
      </w:pPr>
      <w:r>
        <w:rPr>
          <w:rFonts w:ascii="Times New Roman" w:hAnsi="Times New Roman" w:eastAsia="Times New Roman"/>
          <w:b/>
          <w:sz w:val="32"/>
        </w:rPr>
        <w:t>HỢP ĐỒNG THUÊ NHÀ NGUYÊN CĂN</w:t>
      </w:r>
    </w:p>
    <w:p>
      <w:pPr>
        <w:spacing w:after="160"/>
        <w:jc w:val="center"/>
      </w:pPr>
      <w:r>
        <w:rPr>
          <w:rFonts w:ascii="Times New Roman" w:hAnsi="Times New Roman" w:eastAsia="Times New Roman"/>
          <w:b/>
          <w:sz w:val="26"/>
        </w:rPr>
        <w:t>Số: {{contract.number}}</w:t>
      </w:r>
    </w:p>
    <w:p>
      <w:pPr>
        <w:spacing w:before="0" w:after="40" w:line="276" w:lineRule="auto"/>
        <w:ind w:firstLine="0"/>
        <w:jc w:val="left"/>
      </w:pPr>
      <w:r>
        <w:rPr>
          <w:rFonts w:ascii="Times New Roman" w:hAnsi="Times New Roman" w:eastAsia="Times New Roman"/>
          <w:b/>
          <w:i w:val="0"/>
          <w:sz w:val="26"/>
        </w:rPr>
        <w:t>Căn cứ:</w:t>
      </w:r>
    </w:p>
    <w:p>
      <w:pPr>
        <w:spacing w:before="0" w:after="20" w:line="276" w:lineRule="auto"/>
        <w:ind w:left="340" w:hanging="198"/>
        <w:jc w:val="both"/>
      </w:pPr>
      <w:r>
        <w:rPr>
          <w:rFonts w:ascii="Times New Roman" w:hAnsi="Times New Roman" w:eastAsia="Times New Roman"/>
          <w:b w:val="0"/>
          <w:i w:val="0"/>
          <w:sz w:val="26"/>
        </w:rPr>
        <w:t>• Bộ luật Dân sự số 91/2015/QH13 ngày 24/11/2015, đặc biệt các Điều 472 đến 482 về hợp đồng thuê tài sản;</w:t>
      </w:r>
    </w:p>
    <w:p>
      <w:pPr>
        <w:spacing w:before="0" w:after="20" w:line="276" w:lineRule="auto"/>
        <w:ind w:left="340" w:hanging="198"/>
        <w:jc w:val="both"/>
      </w:pPr>
      <w:r>
        <w:rPr>
          <w:rFonts w:ascii="Times New Roman" w:hAnsi="Times New Roman" w:eastAsia="Times New Roman"/>
          <w:b w:val="0"/>
          <w:i w:val="0"/>
          <w:sz w:val="26"/>
        </w:rPr>
        <w:t>• Luật Nhà ở số 27/2023/QH15 ngày 27/11/2023, được điều chỉnh thời điểm hiệu lực bởi Luật số 43/2024/QH15 ngày 29/06/2024 và các văn bản sửa đổi, bổ sung còn hiệu lực;</w:t>
      </w:r>
    </w:p>
    <w:p>
      <w:pPr>
        <w:spacing w:before="0" w:after="20" w:line="276" w:lineRule="auto"/>
        <w:ind w:left="340" w:hanging="198"/>
        <w:jc w:val="both"/>
      </w:pPr>
      <w:r>
        <w:rPr>
          <w:rFonts w:ascii="Times New Roman" w:hAnsi="Times New Roman" w:eastAsia="Times New Roman"/>
          <w:b w:val="0"/>
          <w:i w:val="0"/>
          <w:sz w:val="26"/>
        </w:rPr>
        <w:t>• Luật Cư trú số 68/2020/QH14 ngày 13/11/2020 và Luật số 118/2025/QH15 ngày 10/12/2025 sửa đổi, bổ sung một số luật có liên quan đến an ninh, trật tự;</w:t>
      </w:r>
    </w:p>
    <w:p>
      <w:pPr>
        <w:spacing w:before="0" w:after="20" w:line="276" w:lineRule="auto"/>
        <w:ind w:left="340" w:hanging="198"/>
        <w:jc w:val="both"/>
      </w:pPr>
      <w:r>
        <w:rPr>
          <w:rFonts w:ascii="Times New Roman" w:hAnsi="Times New Roman" w:eastAsia="Times New Roman"/>
          <w:b w:val="0"/>
          <w:i w:val="0"/>
          <w:sz w:val="26"/>
        </w:rPr>
        <w:t>• Luật Phòng cháy, chữa cháy và cứu nạn, cứu hộ số 55/2024/QH15 ngày 29/11/2024 và Nghị định số 105/2025/NĐ-CP ngày 15/05/2025 quy định chi tiết một số điều và biện pháp thi hành;</w:t>
      </w:r>
    </w:p>
    <w:p>
      <w:pPr>
        <w:spacing w:before="0" w:after="100" w:line="276" w:lineRule="auto"/>
        <w:ind w:firstLine="425"/>
        <w:jc w:val="both"/>
      </w:pPr>
      <w:r>
        <w:rPr>
          <w:rFonts w:ascii="Times New Roman" w:hAnsi="Times New Roman" w:eastAsia="Times New Roman"/>
          <w:b w:val="0"/>
          <w:i w:val="0"/>
          <w:sz w:val="26"/>
        </w:rPr>
        <w:t xml:space="preserve">Trên cơ sở nhu cầu thuê, khả năng cho thuê và sự tự nguyện của các bên, ngày </w:t>
      </w:r>
      <w:r>
        <w:rPr>
          <w:rFonts w:ascii="Times New Roman" w:hAnsi="Times New Roman" w:eastAsia="Times New Roman"/>
          <w:b w:val="0"/>
          <w:i w:val="0"/>
          <w:sz w:val="26"/>
        </w:rPr>
        <w:t>{{contract.signingDate}}</w:t>
      </w:r>
      <w:r>
        <w:rPr>
          <w:rFonts w:ascii="Times New Roman" w:hAnsi="Times New Roman" w:eastAsia="Times New Roman"/>
          <w:b w:val="0"/>
          <w:i w:val="0"/>
          <w:sz w:val="26"/>
        </w:rPr>
        <w:t xml:space="preserve"> tại </w:t>
      </w:r>
      <w:r>
        <w:rPr>
          <w:rFonts w:ascii="Times New Roman" w:hAnsi="Times New Roman" w:eastAsia="Times New Roman"/>
          <w:b w:val="0"/>
          <w:i w:val="0"/>
          <w:sz w:val="26"/>
        </w:rPr>
        <w:t>{{contract.signingCity}}</w:t>
      </w:r>
      <w:r>
        <w:rPr>
          <w:rFonts w:ascii="Times New Roman" w:hAnsi="Times New Roman" w:eastAsia="Times New Roman"/>
          <w:b w:val="0"/>
          <w:i w:val="0"/>
          <w:sz w:val="26"/>
        </w:rPr>
        <w:t>, các bên thống nhất giao kết Hợp đồng với các điều khoản sau:</w:t>
      </w:r>
    </w:p>
    <w:p>
      <w:pPr>
        <w:spacing w:before="60" w:after="40" w:line="276" w:lineRule="auto"/>
        <w:ind w:firstLine="0"/>
        <w:jc w:val="left"/>
        <w:keepNext/>
      </w:pPr>
      <w:r>
        <w:rPr>
          <w:rFonts w:ascii="Times New Roman" w:hAnsi="Times New Roman" w:eastAsia="Times New Roman"/>
          <w:b/>
          <w:i w:val="0"/>
          <w:sz w:val="26"/>
        </w:rPr>
        <w:t>BÊN CHO THUÊ (BÊN A)</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{{landlord.fullName}}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{{landlord.idNumber}}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{{landlord.idIssueDate}}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{{landlord.idIssuePlace}}</w:t>
      </w:r>
    </w:p>
    <w:p>
      <w:pPr>
        <w:spacing w:before="0" w:after="20" w:line="276" w:lineRule="auto"/>
        <w:ind w:left="340"/>
        <w:jc w:val="left"/>
      </w:pPr>
      <w:r>
        <w:rPr>
          <w:rFonts w:ascii="Times New Roman" w:hAnsi="Times New Roman" w:eastAsia="Times New Roman"/>
          <w:b w:val="0"/>
          <w:i w:val="0"/>
          <w:sz w:val="26"/>
        </w:rPr>
        <w:t xml:space="preserve">Nơi thường trú/địa chỉ liên hệ: </w:t>
      </w:r>
      <w:r>
        <w:rPr>
          <w:rFonts w:ascii="Times New Roman" w:hAnsi="Times New Roman" w:eastAsia="Times New Roman"/>
          <w:b w:val="0"/>
          <w:i w:val="0"/>
          <w:sz w:val="26"/>
        </w:rPr>
        <w:t>{{landlord.permanentAddress}}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{{landlord.phone}}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{{landlord.email}}</w:t>
      </w:r>
    </w:p>
    <w:p>
      <w:pPr>
        <w:spacing w:before="60" w:after="40" w:line="276" w:lineRule="auto"/>
        <w:ind w:firstLine="0"/>
        <w:jc w:val="left"/>
        <w:keepNext/>
      </w:pPr>
      <w:r>
        <w:rPr>
          <w:rFonts w:ascii="Times New Roman" w:hAnsi="Times New Roman" w:eastAsia="Times New Roman"/>
          <w:b/>
          <w:i w:val="0"/>
          <w:sz w:val="26"/>
        </w:rPr>
        <w:t>BÊN THUÊ (BÊN B)</w:t>
      </w:r>
    </w:p>
    <w:p>
      <w:pPr>
        <w:spacing w:before="0" w:after="20" w:line="276" w:lineRule="auto"/>
        <w:ind w:left="340"/>
        <w:jc w:val="left"/>
      </w:pPr>
      <w:r>
        <w:rPr>
          <w:rFonts w:ascii="Times New Roman" w:hAnsi="Times New Roman" w:eastAsia="Times New Roman"/>
          <w:b w:val="0"/>
          <w:i w:val="0"/>
          <w:sz w:val="26"/>
        </w:rPr>
        <w:t xml:space="preserve">Họ và tên: </w:t>
      </w:r>
      <w:r>
        <w:rPr>
          <w:rFonts w:ascii="Times New Roman" w:hAnsi="Times New Roman" w:eastAsia="Times New Roman"/>
          <w:b w:val="0"/>
          <w:i w:val="0"/>
          <w:sz w:val="26"/>
        </w:rPr>
        <w:t>{{tenant.fullName}}</w:t>
      </w:r>
    </w:p>
    <w:p>
      <w:pPr>
        <w:spacing w:before="0" w:after="20" w:line="276" w:lineRule="auto"/>
        <w:ind w:left="340"/>
        <w:jc w:val="left"/>
      </w:pPr>
      <w:r>
        <w:rPr>
          <w:rFonts w:ascii="Times New Roman" w:hAnsi="Times New Roman" w:eastAsia="Times New Roman"/>
          <w:b w:val="0"/>
          <w:i w:val="0"/>
          <w:sz w:val="26"/>
        </w:rPr>
        <w:t xml:space="preserve">CCCD/Mã số định danh: </w:t>
      </w:r>
      <w:r>
        <w:rPr>
          <w:rFonts w:ascii="Times New Roman" w:hAnsi="Times New Roman" w:eastAsia="Times New Roman"/>
          <w:b w:val="0"/>
          <w:i w:val="0"/>
          <w:sz w:val="26"/>
        </w:rPr>
        <w:t>{{tenant.idNumber}}</w:t>
      </w:r>
      <w:r>
        <w:rPr>
          <w:rFonts w:ascii="Times New Roman" w:hAnsi="Times New Roman" w:eastAsia="Times New Roman"/>
          <w:b w:val="0"/>
          <w:i w:val="0"/>
          <w:sz w:val="26"/>
        </w:rPr>
        <w:t xml:space="preserve">; ngày cấp: </w:t>
      </w:r>
      <w:r>
        <w:rPr>
          <w:rFonts w:ascii="Times New Roman" w:hAnsi="Times New Roman" w:eastAsia="Times New Roman"/>
          <w:b w:val="0"/>
          <w:i w:val="0"/>
          <w:sz w:val="26"/>
        </w:rPr>
        <w:t>{{tenant.idIssueDate}}</w:t>
      </w:r>
      <w:r>
        <w:rPr>
          <w:rFonts w:ascii="Times New Roman" w:hAnsi="Times New Roman" w:eastAsia="Times New Roman"/>
          <w:b w:val="0"/>
          <w:i w:val="0"/>
          <w:sz w:val="26"/>
        </w:rPr>
        <w:t xml:space="preserve">; nơi cấp: </w:t>
      </w:r>
      <w:r>
        <w:rPr>
          <w:rFonts w:ascii="Times New Roman" w:hAnsi="Times New Roman" w:eastAsia="Times New Roman"/>
          <w:b w:val="0"/>
          <w:i w:val="0"/>
          <w:sz w:val="26"/>
        </w:rPr>
        <w:t>{{tenant.idIssuePlace}}</w:t>
      </w:r>
    </w:p>
    <w:p>
      <w:pPr>
        <w:spacing w:before="0" w:after="20" w:line="276" w:lineRule="auto"/>
        <w:ind w:left="340"/>
        <w:jc w:val="left"/>
      </w:pPr>
      <w:r>
        <w:rPr>
          <w:rFonts w:ascii="Times New Roman" w:hAnsi="Times New Roman" w:eastAsia="Times New Roman"/>
          <w:b w:val="0"/>
          <w:i w:val="0"/>
          <w:sz w:val="26"/>
        </w:rPr>
        <w:t xml:space="preserve">Nơi thường trú: </w:t>
      </w:r>
      <w:r>
        <w:rPr>
          <w:rFonts w:ascii="Times New Roman" w:hAnsi="Times New Roman" w:eastAsia="Times New Roman"/>
          <w:b w:val="0"/>
          <w:i w:val="0"/>
          <w:sz w:val="26"/>
        </w:rPr>
        <w:t>{{tenant.permanentAddress}}</w:t>
      </w:r>
    </w:p>
    <w:p>
      <w:pPr>
        <w:spacing w:before="0" w:after="20" w:line="276" w:lineRule="auto"/>
        <w:ind w:left="340"/>
        <w:jc w:val="left"/>
      </w:pPr>
      <w:r>
        <w:rPr>
          <w:rFonts w:ascii="Times New Roman" w:hAnsi="Times New Roman" w:eastAsia="Times New Roman"/>
          <w:b w:val="0"/>
          <w:i w:val="0"/>
          <w:sz w:val="26"/>
        </w:rPr>
        <w:t xml:space="preserve">Điện thoại: </w:t>
      </w:r>
      <w:r>
        <w:rPr>
          <w:rFonts w:ascii="Times New Roman" w:hAnsi="Times New Roman" w:eastAsia="Times New Roman"/>
          <w:b w:val="0"/>
          <w:i w:val="0"/>
          <w:sz w:val="26"/>
        </w:rPr>
        <w:t>{{tenant.phone}}</w:t>
      </w:r>
      <w:r>
        <w:rPr>
          <w:rFonts w:ascii="Times New Roman" w:hAnsi="Times New Roman" w:eastAsia="Times New Roman"/>
          <w:b w:val="0"/>
          <w:i w:val="0"/>
          <w:sz w:val="26"/>
        </w:rPr>
        <w:t xml:space="preserve">; Email: </w:t>
      </w:r>
      <w:r>
        <w:rPr>
          <w:rFonts w:ascii="Times New Roman" w:hAnsi="Times New Roman" w:eastAsia="Times New Roman"/>
          <w:b w:val="0"/>
          <w:i w:val="0"/>
          <w:sz w:val="26"/>
        </w:rPr>
        <w:t>{{tenant.email}}</w:t>
      </w:r>
    </w:p>
    <w:p>
      <w:pPr>
        <w:spacing w:before="0" w:after="20" w:line="276" w:lineRule="auto"/>
        <w:ind w:left="340"/>
        <w:jc w:val="left"/>
      </w:pPr>
      <w:r>
        <w:rPr>
          <w:rFonts w:ascii="Times New Roman" w:hAnsi="Times New Roman" w:eastAsia="Times New Roman"/>
          <w:b w:val="0"/>
          <w:i w:val="0"/>
          <w:sz w:val="26"/>
        </w:rPr>
        <w:t xml:space="preserve">Số lượng người cùng cư trú/sử dụng để ở đã đăng ký: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w:t>
      </w:r>
    </w:p>
    <w:p>
      <w:pPr>
        <w:spacing w:before="140" w:after="80" w:line="276" w:lineRule="auto"/>
        <w:ind w:firstLine="0"/>
        <w:jc w:val="left"/>
        <w:keepNext/>
      </w:pPr>
      <w:r>
        <w:rPr>
          <w:rFonts w:ascii="Times New Roman" w:hAnsi="Times New Roman" w:eastAsia="Times New Roman"/>
          <w:b/>
          <w:i w:val="0"/>
          <w:sz w:val="26"/>
        </w:rPr>
        <w:t>ĐIỀU 1. NHÀ CHO THUÊ, HÌNH THỨC VÀ MỤC ĐÍCH SỬ DỤNG</w:t>
      </w:r>
    </w:p>
    <w:p>
      <w:pPr>
        <w:spacing w:before="0" w:after="40" w:line="276" w:lineRule="auto"/>
        <w:ind w:firstLine="425"/>
        <w:jc w:val="left"/>
      </w:pPr>
      <w:r>
        <w:rPr>
          <w:rFonts w:ascii="Times New Roman" w:hAnsi="Times New Roman" w:eastAsia="Times New Roman"/>
          <w:b w:val="0"/>
          <w:i w:val="0"/>
          <w:sz w:val="26"/>
        </w:rPr>
        <w:t xml:space="preserve">1.1. Bên A cho Bên B thuê căn nhà tại </w:t>
      </w:r>
      <w:r>
        <w:rPr>
          <w:rFonts w:ascii="Times New Roman" w:hAnsi="Times New Roman" w:eastAsia="Times New Roman"/>
          <w:b w:val="0"/>
          <w:i w:val="0"/>
          <w:sz w:val="26"/>
        </w:rPr>
        <w:t>{{property.fullAddress}}</w:t>
      </w:r>
      <w:r>
        <w:rPr>
          <w:rFonts w:ascii="Times New Roman" w:hAnsi="Times New Roman" w:eastAsia="Times New Roman"/>
          <w:b w:val="0"/>
          <w:i w:val="0"/>
          <w:sz w:val="26"/>
        </w:rPr>
        <w:t xml:space="preserve">; kết cấu/số tầng: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diện tích: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loại nhà: </w:t>
      </w:r>
      <w:r>
        <w:rPr>
          <w:rFonts w:ascii="Times New Roman" w:hAnsi="Times New Roman" w:eastAsia="Times New Roman"/>
          <w:b w:val="0"/>
          <w:i w:val="0"/>
          <w:sz w:val="26"/>
        </w:rPr>
        <w:t>{{property.propertyType}}</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1.2. Hình thức thuê: </w:t>
      </w:r>
      <w:r>
        <w:rPr>
          <w:rFonts w:ascii="Times New Roman" w:hAnsi="Times New Roman" w:eastAsia="Times New Roman"/>
          <w:b w:val="0"/>
          <w:i w:val="0"/>
          <w:sz w:val="26"/>
        </w:rPr>
        <w:t>{{lease.rentalMode}}</w:t>
      </w:r>
      <w:r>
        <w:rPr>
          <w:rFonts w:ascii="Times New Roman" w:hAnsi="Times New Roman" w:eastAsia="Times New Roman"/>
          <w:b w:val="0"/>
          <w:i w:val="0"/>
          <w:sz w:val="26"/>
        </w:rPr>
        <w:t>. Phạm vi thuê bao gồm phần nhà, sân, cổng và khuôn viên thuộc quyền sử dụng hợp pháp của Bên A theo hiện trạng bàn giao, trừ phần được xác định rõ là dùng chung hoặc không thuộc đối tượng thuê.</w:t>
      </w:r>
    </w:p>
    <w:p>
      <w:pPr>
        <w:spacing w:before="0" w:after="40" w:line="276" w:lineRule="auto"/>
        <w:ind w:firstLine="425"/>
        <w:jc w:val="left"/>
      </w:pPr>
      <w:r>
        <w:rPr>
          <w:rFonts w:ascii="Times New Roman" w:hAnsi="Times New Roman" w:eastAsia="Times New Roman"/>
          <w:b w:val="0"/>
          <w:i w:val="0"/>
          <w:sz w:val="26"/>
        </w:rPr>
        <w:t xml:space="preserve">1.3. Mục đích sử dụng chính là để ở; số người ở đã đăng ký là </w:t>
      </w:r>
      <w:r>
        <w:rPr>
          <w:rFonts w:ascii="Times New Roman" w:hAnsi="Times New Roman" w:eastAsia="Times New Roman"/>
          <w:b w:val="0"/>
          <w:i w:val="0"/>
          <w:sz w:val="26"/>
        </w:rPr>
        <w:t>{{tenant.occupantCount}}</w:t>
      </w:r>
      <w:r>
        <w:rPr>
          <w:rFonts w:ascii="Times New Roman" w:hAnsi="Times New Roman" w:eastAsia="Times New Roman"/>
          <w:b w:val="0"/>
          <w:i w:val="0"/>
          <w:sz w:val="26"/>
        </w:rPr>
        <w:t xml:space="preserve"> người. Mục đích khác chỉ được thực hiện khi hợp pháp và có sự đồng ý cần thiết của Bên A.</w:t>
      </w:r>
    </w:p>
    <w:p>
      <w:pPr>
        <w:spacing w:before="140" w:after="80" w:line="276" w:lineRule="auto"/>
        <w:ind w:firstLine="0"/>
        <w:jc w:val="left"/>
        <w:keepNext/>
      </w:pPr>
      <w:r>
        <w:rPr>
          <w:rFonts w:ascii="Times New Roman" w:hAnsi="Times New Roman" w:eastAsia="Times New Roman"/>
          <w:b/>
          <w:i w:val="0"/>
          <w:sz w:val="26"/>
        </w:rPr>
        <w:t>ĐIỀU 2. THỜI HẠN THUÊ VÀ BÀN GIAO</w:t>
      </w:r>
    </w:p>
    <w:p>
      <w:pPr>
        <w:spacing w:before="0" w:after="40" w:line="276" w:lineRule="auto"/>
        <w:ind w:firstLine="425"/>
        <w:jc w:val="left"/>
      </w:pPr>
      <w:r>
        <w:rPr>
          <w:rFonts w:ascii="Times New Roman" w:hAnsi="Times New Roman" w:eastAsia="Times New Roman"/>
          <w:b w:val="0"/>
          <w:i w:val="0"/>
          <w:sz w:val="26"/>
        </w:rPr>
        <w:t xml:space="preserve">2.1. Thời hạn thuê từ ngày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ngày </w:t>
      </w:r>
      <w:r>
        <w:rPr>
          <w:rFonts w:ascii="Times New Roman" w:hAnsi="Times New Roman" w:eastAsia="Times New Roman"/>
          <w:b w:val="0"/>
          <w:i w:val="0"/>
          <w:sz w:val="26"/>
        </w:rPr>
        <w:t>{{lease.endDateText}}</w:t>
      </w:r>
      <w:r>
        <w:rPr>
          <w:rFonts w:ascii="Times New Roman" w:hAnsi="Times New Roman" w:eastAsia="Times New Roman"/>
          <w:b w:val="0"/>
          <w:i w:val="0"/>
          <w:sz w:val="26"/>
        </w:rPr>
        <w:t xml:space="preserve">, tương ứng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w:t>
      </w:r>
    </w:p>
    <w:p>
      <w:pPr>
        <w:spacing w:before="0" w:after="40" w:line="276" w:lineRule="auto"/>
        <w:ind w:firstLine="425"/>
        <w:jc w:val="left"/>
      </w:pPr>
      <w:r>
        <w:rPr>
          <w:rFonts w:ascii="Times New Roman" w:hAnsi="Times New Roman" w:eastAsia="Times New Roman"/>
          <w:b w:val="0"/>
          <w:i w:val="0"/>
          <w:sz w:val="26"/>
        </w:rPr>
        <w:t xml:space="preserve">2.2. Ngày bàn giao chìa khóa và quyền quản lý thực tế: </w:t>
      </w:r>
      <w:r>
        <w:rPr>
          <w:rFonts w:ascii="Times New Roman" w:hAnsi="Times New Roman" w:eastAsia="Times New Roman"/>
          <w:b w:val="0"/>
          <w:i w:val="0"/>
          <w:sz w:val="26"/>
        </w:rPr>
        <w:t>{{lease.handoverDateText}}</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2.3. Chỉ số công tơ điện khi bàn giao: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chỉ số công tơ nước: </w:t>
      </w:r>
      <w:r>
        <w:rPr>
          <w:rFonts w:ascii="Times New Roman" w:hAnsi="Times New Roman" w:eastAsia="Times New Roman"/>
          <w:b w:val="0"/>
          <w:i w:val="0"/>
          <w:sz w:val="26"/>
        </w:rPr>
        <w:t>{{meters.waterInitial}}</w:t>
      </w:r>
      <w:r>
        <w:rPr>
          <w:rFonts w:ascii="Times New Roman" w:hAnsi="Times New Roman" w:eastAsia="Times New Roman"/>
          <w:b w:val="0"/>
          <w:i w:val="0"/>
          <w:sz w:val="26"/>
        </w:rPr>
        <w:t>.</w:t>
      </w:r>
    </w:p>
    <w:p>
      <w:pPr>
        <w:spacing w:before="140" w:after="80" w:line="276" w:lineRule="auto"/>
        <w:ind w:firstLine="0"/>
        <w:jc w:val="left"/>
        <w:keepNext/>
      </w:pPr>
      <w:r>
        <w:rPr>
          <w:rFonts w:ascii="Times New Roman" w:hAnsi="Times New Roman" w:eastAsia="Times New Roman"/>
          <w:b/>
          <w:i w:val="0"/>
          <w:sz w:val="26"/>
        </w:rPr>
        <w:t>ĐIỀU 3. GIÁ THUÊ, ĐẶT CỌC VÀ THANH TOÁN</w:t>
      </w:r>
    </w:p>
    <w:p>
      <w:pPr>
        <w:spacing w:before="0" w:after="40" w:line="276" w:lineRule="auto"/>
        <w:ind w:firstLine="425"/>
        <w:jc w:val="left"/>
      </w:pPr>
      <w:r>
        <w:rPr>
          <w:rFonts w:ascii="Times New Roman" w:hAnsi="Times New Roman" w:eastAsia="Times New Roman"/>
          <w:b w:val="0"/>
          <w:i w:val="0"/>
          <w:sz w:val="26"/>
        </w:rPr>
        <w:t xml:space="preserve">3.1. Đơn giá thuê: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3.2. Kỳ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hạn thanh toán: </w:t>
      </w:r>
      <w:r>
        <w:rPr>
          <w:rFonts w:ascii="Times New Roman" w:hAnsi="Times New Roman" w:eastAsia="Times New Roman"/>
          <w:b w:val="0"/>
          <w:i w:val="0"/>
          <w:sz w:val="26"/>
        </w:rPr>
        <w:t>{{rent.paymentDueDay}}</w:t>
      </w:r>
      <w:r>
        <w:rPr>
          <w:rFonts w:ascii="Times New Roman" w:hAnsi="Times New Roman" w:eastAsia="Times New Roman"/>
          <w:b w:val="0"/>
          <w:i w:val="0"/>
          <w:sz w:val="26"/>
        </w:rPr>
        <w:t xml:space="preserve">; hình thức: </w:t>
      </w:r>
      <w:r>
        <w:rPr>
          <w:rFonts w:ascii="Times New Roman" w:hAnsi="Times New Roman" w:eastAsia="Times New Roman"/>
          <w:b w:val="0"/>
          <w:i w:val="0"/>
          <w:sz w:val="26"/>
        </w:rPr>
        <w:t>{{rent.paymentMethod}}</w:t>
      </w:r>
      <w:r>
        <w:rPr>
          <w:rFonts w:ascii="Times New Roman" w:hAnsi="Times New Roman" w:eastAsia="Times New Roman"/>
          <w:b w:val="0"/>
          <w:i w:val="0"/>
          <w:sz w:val="26"/>
        </w:rPr>
        <w:t>.</w:t>
      </w:r>
    </w:p>
    <w:p>
      <w:pPr>
        <w:spacing w:before="0" w:after="40" w:line="276" w:lineRule="auto"/>
        <w:ind w:firstLine="425"/>
        <w:jc w:val="left"/>
      </w:pPr>
      <w:r>
        <w:rPr>
          <w:rFonts w:ascii="Times New Roman" w:hAnsi="Times New Roman" w:eastAsia="Times New Roman"/>
          <w:b w:val="0"/>
          <w:i w:val="0"/>
          <w:sz w:val="26"/>
        </w:rPr>
        <w:t xml:space="preserve">3.3. Tiền thuê và tiền cọc được nộp trực tuyến qua nền tảng HomeSpace theo </w:t>
      </w:r>
      <w:r>
        <w:rPr>
          <w:rFonts w:ascii="Times New Roman" w:hAnsi="Times New Roman" w:eastAsia="Times New Roman"/>
          <w:b w:val="0"/>
          <w:i w:val="0"/>
          <w:sz w:val="26"/>
        </w:rPr>
        <w:t>{{rent.paymentMethod}}</w:t>
      </w:r>
      <w:r>
        <w:rPr>
          <w:rFonts w:ascii="Times New Roman" w:hAnsi="Times New Roman" w:eastAsia="Times New Roman"/>
          <w:b w:val="0"/>
          <w:i w:val="0"/>
          <w:sz w:val="26"/>
        </w:rPr>
        <w:t>; các bên không sử dụng thông tin tài khoản cá nhân của Bên A trong mẫu Hợp đồng này.</w:t>
      </w:r>
    </w:p>
    <w:p>
      <w:pPr>
        <w:spacing w:before="0" w:after="40" w:line="276" w:lineRule="auto"/>
        <w:ind w:firstLine="425"/>
        <w:jc w:val="left"/>
      </w:pPr>
      <w:r>
        <w:rPr>
          <w:rFonts w:ascii="Times New Roman" w:hAnsi="Times New Roman" w:eastAsia="Times New Roman"/>
          <w:b w:val="0"/>
          <w:i w:val="0"/>
          <w:sz w:val="26"/>
        </w:rPr>
        <w:t xml:space="preserve">3.4. Tiền đặt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 xml:space="preserve">). Việc hoàn trả, khấu trừ và xử lý cọc theo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before="140" w:after="80" w:line="276" w:lineRule="auto"/>
        <w:ind w:firstLine="0"/>
        <w:jc w:val="left"/>
        <w:keepNext/>
      </w:pPr>
      <w:r>
        <w:rPr>
          <w:rFonts w:ascii="Times New Roman" w:hAnsi="Times New Roman" w:eastAsia="Times New Roman"/>
          <w:b/>
          <w:i w:val="0"/>
          <w:sz w:val="26"/>
        </w:rPr>
        <w:t>ĐIỀU 4. CHI PHÍ, HIỆN TRẠNG VÀ TÀI SẢN BÀN GIAO</w:t>
      </w:r>
    </w:p>
    <w:p>
      <w:pPr>
        <w:spacing w:before="0" w:after="40" w:line="276" w:lineRule="auto"/>
        <w:ind w:firstLine="425"/>
        <w:jc w:val="left"/>
      </w:pPr>
      <w:r>
        <w:rPr>
          <w:rFonts w:ascii="Times New Roman" w:hAnsi="Times New Roman" w:eastAsia="Times New Roman"/>
          <w:b w:val="0"/>
          <w:i w:val="0"/>
          <w:sz w:val="26"/>
        </w:rPr>
        <w:t>4.1. Bên B thanh toán các chi phí tiêu dùng và dịch vụ thuộc trách nhiệm của người sử dụng theo biểu phí hoặc hóa đơn hợp pháp; Bên A chịu các nghĩa vụ tài chính gắn với quyền sở hữu nhà, trừ khi pháp luật và thỏa thuận hợp pháp có quy định khác.</w:t>
      </w:r>
    </w:p>
    <w:p>
      <w:pPr>
        <w:spacing w:before="80" w:after="40" w:line="276" w:lineRule="auto"/>
        <w:ind w:firstLine="0"/>
        <w:jc w:val="left"/>
        <w:keepNext/>
      </w:pPr>
      <w:r>
        <w:rPr>
          <w:rFonts w:ascii="Times New Roman" w:hAnsi="Times New Roman" w:eastAsia="Times New Roman"/>
          <w:b/>
          <w:i w:val="0"/>
          <w:sz w:val="26"/>
        </w:rPr>
        <w:t>4.2. Bảng chi phí rác sinh hoạt, dịch vụ phụ trợ</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{{#chargesTable}}</w:t>
            </w:r>
          </w:p>
        </w:tc>
      </w:tr>
    </w:tbl>
    <w:p>
      <w:pPr>
        <w:spacing w:before="0" w:after="40" w:line="276" w:lineRule="auto"/>
        <w:ind w:firstLine="425"/>
        <w:jc w:val="both"/>
      </w:pPr>
      <w:r>
        <w:rPr>
          <w:rFonts w:ascii="Times New Roman" w:hAnsi="Times New Roman" w:eastAsia="Times New Roman"/>
          <w:b w:val="0"/>
          <w:i/>
          <w:sz w:val="26"/>
        </w:rPr>
        <w:t>Bảng do HomeSpace tự sinh và là căn cứ đối chiếu chi phí trong thời hạn thuê.</w:t>
      </w:r>
    </w:p>
    <w:p>
      <w:pPr>
        <w:spacing w:before="80" w:after="40" w:line="276" w:lineRule="auto"/>
        <w:ind w:firstLine="0"/>
        <w:jc w:val="left"/>
        <w:keepNext/>
      </w:pPr>
      <w:r>
        <w:rPr>
          <w:rFonts w:ascii="Times New Roman" w:hAnsi="Times New Roman" w:eastAsia="Times New Roman"/>
          <w:b/>
          <w:i w:val="0"/>
          <w:sz w:val="26"/>
        </w:rPr>
        <w:t>4.3. Biên bản kiểm kê hiện trạng kết cấu nhà, thiết bị và nội thất</w:t>
      </w:r>
    </w:p>
    <w:tbl>
      <w:tblPr>
        <w:tblW w:type="auto" w:w="0"/>
        <w:jc w:val="center"/>
        <w:tblLayout w:type="autofit"/>
        <w:tblLook w:firstColumn="1" w:firstRow="1" w:lastColumn="0" w:lastRow="0" w:noHBand="0" w:noVBand="1" w:val="04A0"/>
      </w:tblPr>
      <w:tblGrid>
        <w:gridCol w:w="9298"/>
      </w:tblGrid>
      <w:tr>
        <w:tc>
          <w:tcPr>
            <w:tcW w:type="dxa" w:w="9298"/>
            <w:vAlign w:val="center"/>
            <w:shd w:fill="F2F2F2"/>
          </w:tcPr>
          <w:p>
            <w:pPr>
              <w:spacing w:before="120" w:after="120"/>
              <w:jc w:val="center"/>
            </w:pPr>
            <w:r>
              <w:rPr>
                <w:rFonts w:ascii="Times New Roman" w:hAnsi="Times New Roman" w:eastAsia="Times New Roman"/>
                <w:b/>
                <w:i w:val="0"/>
                <w:sz w:val="26"/>
              </w:rPr>
              <w:t>{{#equipmentTable}}</w:t>
            </w:r>
          </w:p>
        </w:tc>
      </w:tr>
    </w:tbl>
    <w:p>
      <w:pPr>
        <w:spacing w:before="0" w:after="40" w:line="276" w:lineRule="auto"/>
        <w:ind w:firstLine="425"/>
        <w:jc w:val="both"/>
      </w:pPr>
      <w:r>
        <w:rPr>
          <w:rFonts w:ascii="Times New Roman" w:hAnsi="Times New Roman" w:eastAsia="Times New Roman"/>
          <w:b w:val="0"/>
          <w:i/>
          <w:sz w:val="26"/>
        </w:rPr>
        <w:t>Bảng là căn cứ xác định tình trạng tài sản khi bàn giao và hoàn trả.</w:t>
      </w:r>
    </w:p>
    <w:p>
      <w:pPr>
        <w:spacing w:before="140" w:after="80" w:line="276" w:lineRule="auto"/>
        <w:ind w:firstLine="0"/>
        <w:jc w:val="left"/>
        <w:keepNext/>
      </w:pPr>
      <w:r>
        <w:rPr>
          <w:rFonts w:ascii="Times New Roman" w:hAnsi="Times New Roman" w:eastAsia="Times New Roman"/>
          <w:b/>
          <w:i w:val="0"/>
          <w:sz w:val="26"/>
        </w:rPr>
        <w:t>ĐIỀU 5. QUYỀN VÀ NGHĨA VỤ CỦA BÊN A</w:t>
      </w:r>
    </w:p>
    <w:p>
      <w:pPr>
        <w:spacing w:before="0" w:after="40" w:line="276" w:lineRule="auto"/>
        <w:ind w:firstLine="425"/>
        <w:jc w:val="left"/>
      </w:pPr>
      <w:r>
        <w:rPr>
          <w:rFonts w:ascii="Times New Roman" w:hAnsi="Times New Roman" w:eastAsia="Times New Roman"/>
          <w:b w:val="0"/>
          <w:i w:val="0"/>
          <w:sz w:val="26"/>
        </w:rPr>
        <w:t>5.1. Bàn giao nhà đúng hiện trạng thỏa thuận; bảo đảm quyền cho thuê hợp pháp và không cản trở trái pháp luật việc sử dụng ổn định của Bên B.</w:t>
      </w:r>
    </w:p>
    <w:p>
      <w:pPr>
        <w:spacing w:before="0" w:after="40" w:line="276" w:lineRule="auto"/>
        <w:ind w:firstLine="425"/>
        <w:jc w:val="left"/>
      </w:pPr>
      <w:r>
        <w:rPr>
          <w:rFonts w:ascii="Times New Roman" w:hAnsi="Times New Roman" w:eastAsia="Times New Roman"/>
          <w:b w:val="0"/>
          <w:i w:val="0"/>
          <w:sz w:val="26"/>
        </w:rPr>
        <w:t>5.2. Chịu trách nhiệm đối với sửa chữa lớn liên quan đến kết cấu chịu lực, mái, hệ thống cấp thoát nước ngầm và hệ thống điện tổng nếu hư hỏng không do lỗi của Bên B.</w:t>
      </w:r>
    </w:p>
    <w:p>
      <w:pPr>
        <w:spacing w:before="0" w:after="40" w:line="276" w:lineRule="auto"/>
        <w:ind w:firstLine="425"/>
        <w:jc w:val="left"/>
      </w:pPr>
      <w:r>
        <w:rPr>
          <w:rFonts w:ascii="Times New Roman" w:hAnsi="Times New Roman" w:eastAsia="Times New Roman"/>
          <w:b w:val="0"/>
          <w:i w:val="0"/>
          <w:sz w:val="26"/>
        </w:rPr>
        <w:t>5.3. Được kiểm tra tình trạng nhà định kỳ sau khi báo trước cho Bên B từ 24 đến 48 giờ, trừ sự cố khẩn cấp cần tiếp cận ngay để bảo vệ người và tài sản.</w:t>
      </w:r>
    </w:p>
    <w:p>
      <w:pPr>
        <w:spacing w:before="0" w:after="40" w:line="276" w:lineRule="auto"/>
        <w:ind w:firstLine="425"/>
        <w:jc w:val="left"/>
      </w:pPr>
      <w:r>
        <w:rPr>
          <w:rFonts w:ascii="Times New Roman" w:hAnsi="Times New Roman" w:eastAsia="Times New Roman"/>
          <w:b w:val="0"/>
          <w:i w:val="0"/>
          <w:sz w:val="26"/>
        </w:rPr>
        <w:t>5.4. Phối hợp cung cấp thông tin, giấy tờ thuộc trách nhiệm chủ nhà để Bên B thực hiện thủ tục cư trú theo pháp luật.</w:t>
      </w:r>
    </w:p>
    <w:p>
      <w:pPr>
        <w:spacing w:before="140" w:after="80" w:line="276" w:lineRule="auto"/>
        <w:ind w:firstLine="0"/>
        <w:jc w:val="left"/>
        <w:keepNext/>
      </w:pPr>
      <w:r>
        <w:rPr>
          <w:rFonts w:ascii="Times New Roman" w:hAnsi="Times New Roman" w:eastAsia="Times New Roman"/>
          <w:b/>
          <w:i w:val="0"/>
          <w:sz w:val="26"/>
        </w:rPr>
        <w:t>ĐIỀU 6. QUYỀN VÀ NGHĨA VỤ CỦA BÊN B</w:t>
      </w:r>
    </w:p>
    <w:p>
      <w:pPr>
        <w:spacing w:before="0" w:after="40" w:line="276" w:lineRule="auto"/>
        <w:ind w:firstLine="425"/>
        <w:jc w:val="left"/>
      </w:pPr>
      <w:r>
        <w:rPr>
          <w:rFonts w:ascii="Times New Roman" w:hAnsi="Times New Roman" w:eastAsia="Times New Roman"/>
          <w:b w:val="0"/>
          <w:i w:val="0"/>
          <w:sz w:val="26"/>
        </w:rPr>
        <w:t>6.1. Quản lý, bảo quản toàn bộ khuôn viên thuê, tường rào, cổng ngõ, mái nhà, hệ thống điện nước ngầm và đồng hồ tổng theo đúng công năng; thông báo ngay khi phát hiện dấu hiệu lún, nứt, thấm, rò điện, rò nước hoặc nguy cơ mất an toàn.</w:t>
      </w:r>
    </w:p>
    <w:p>
      <w:pPr>
        <w:spacing w:before="0" w:after="40" w:line="276" w:lineRule="auto"/>
        <w:ind w:firstLine="425"/>
        <w:jc w:val="left"/>
      </w:pPr>
      <w:r>
        <w:rPr>
          <w:rFonts w:ascii="Times New Roman" w:hAnsi="Times New Roman" w:eastAsia="Times New Roman"/>
          <w:b w:val="0"/>
          <w:i w:val="0"/>
          <w:sz w:val="26"/>
        </w:rPr>
        <w:t>6.2. Không tự ý khoan đục tường chịu lực, phá dỡ, cơi nới, nâng tầng, thay đổi kết cấu chịu lực, kiến trúc mặt ngoài hoặc hệ thống kỹ thuật chính khi chưa có chấp thuận bằng văn bản của Bên A và giấy phép cần thiết theo pháp luật.</w:t>
      </w:r>
    </w:p>
    <w:p>
      <w:pPr>
        <w:spacing w:before="0" w:after="40" w:line="276" w:lineRule="auto"/>
        <w:ind w:firstLine="425"/>
        <w:jc w:val="left"/>
      </w:pPr>
      <w:r>
        <w:rPr>
          <w:rFonts w:ascii="Times New Roman" w:hAnsi="Times New Roman" w:eastAsia="Times New Roman"/>
          <w:b w:val="0"/>
          <w:i w:val="0"/>
          <w:sz w:val="26"/>
        </w:rPr>
        <w:t>6.3. Giữ gìn an ninh, trật tự khu phố; không chứa chấp hàng cấm, không tổ chức hoặc tạo điều kiện cho tệ nạn xã hội; tuân thủ quy định về vệ sinh môi trường.</w:t>
      </w:r>
    </w:p>
    <w:p>
      <w:pPr>
        <w:spacing w:before="0" w:after="40" w:line="276" w:lineRule="auto"/>
        <w:ind w:firstLine="425"/>
        <w:jc w:val="left"/>
      </w:pPr>
      <w:r>
        <w:rPr>
          <w:rFonts w:ascii="Times New Roman" w:hAnsi="Times New Roman" w:eastAsia="Times New Roman"/>
          <w:b w:val="0"/>
          <w:i w:val="0"/>
          <w:sz w:val="26"/>
        </w:rPr>
        <w:t>6.4. Cung cấp thông tin chính xác, kịp thời để thực hiện đăng ký tạm trú, thông báo lưu trú và các thủ tục cư trú khác thuộc trường hợp áp dụng.</w:t>
      </w:r>
    </w:p>
    <w:p>
      <w:pPr>
        <w:spacing w:before="140" w:after="80" w:line="276" w:lineRule="auto"/>
        <w:ind w:firstLine="0"/>
        <w:jc w:val="left"/>
        <w:keepNext/>
      </w:pPr>
      <w:r>
        <w:rPr>
          <w:rFonts w:ascii="Times New Roman" w:hAnsi="Times New Roman" w:eastAsia="Times New Roman"/>
          <w:b/>
          <w:i w:val="0"/>
          <w:sz w:val="26"/>
        </w:rPr>
        <w:t>ĐIỀU 7. AN TOÀN PCCC, ĐIỆN VÀ SỬ DỤNG TÀI SẢN</w:t>
      </w:r>
    </w:p>
    <w:p>
      <w:pPr>
        <w:spacing w:before="0" w:after="40" w:line="276" w:lineRule="auto"/>
        <w:ind w:firstLine="425"/>
        <w:jc w:val="left"/>
      </w:pPr>
      <w:r>
        <w:rPr>
          <w:rFonts w:ascii="Times New Roman" w:hAnsi="Times New Roman" w:eastAsia="Times New Roman"/>
          <w:b w:val="0"/>
          <w:i w:val="0"/>
          <w:sz w:val="26"/>
        </w:rPr>
        <w:t>7.1. Bên B phải sử dụng thiết bị điện, thiết bị sinh nhiệt và nguồn lửa an toàn; không tự ý đấu nối điện vượt tải, câu mắc điện không đúng kỹ thuật hoặc che chắn lối thoát nạn.</w:t>
      </w:r>
    </w:p>
    <w:p>
      <w:pPr>
        <w:spacing w:before="0" w:after="40" w:line="276" w:lineRule="auto"/>
        <w:ind w:firstLine="425"/>
        <w:jc w:val="left"/>
      </w:pPr>
      <w:r>
        <w:rPr>
          <w:rFonts w:ascii="Times New Roman" w:hAnsi="Times New Roman" w:eastAsia="Times New Roman"/>
          <w:b w:val="0"/>
          <w:i w:val="0"/>
          <w:sz w:val="26"/>
        </w:rPr>
        <w:t>7.2. Bên A chịu trách nhiệm trong phạm vi nghĩa vụ của chủ sở hữu đối với điều kiện an toàn của hệ thống cố định của căn nhà; Bên B chịu trách nhiệm đối với thiết bị, vật dụng và hoạt động do mình đưa vào sử dụng.</w:t>
      </w:r>
    </w:p>
    <w:p>
      <w:pPr>
        <w:spacing w:before="0" w:after="40" w:line="276" w:lineRule="auto"/>
        <w:ind w:firstLine="425"/>
        <w:jc w:val="left"/>
      </w:pPr>
      <w:r>
        <w:rPr>
          <w:rFonts w:ascii="Times New Roman" w:hAnsi="Times New Roman" w:eastAsia="Times New Roman"/>
          <w:b w:val="0"/>
          <w:i w:val="0"/>
          <w:sz w:val="26"/>
        </w:rPr>
        <w:t>7.3. Khi xảy ra sự cố có nguy cơ gây cháy, chập điện, rò khí hoặc ngập nước, Bên B phải áp dụng biện pháp an toàn phù hợp, thông báo kịp thời cho Bên A và cơ quan có thẩm quyền khi cần thiết.</w:t>
      </w:r>
    </w:p>
    <w:p>
      <w:pPr>
        <w:spacing w:before="140" w:after="80" w:line="276" w:lineRule="auto"/>
        <w:ind w:firstLine="0"/>
        <w:jc w:val="left"/>
        <w:keepNext/>
      </w:pPr>
      <w:r>
        <w:rPr>
          <w:rFonts w:ascii="Times New Roman" w:hAnsi="Times New Roman" w:eastAsia="Times New Roman"/>
          <w:b/>
          <w:i w:val="0"/>
          <w:sz w:val="26"/>
        </w:rPr>
        <w:t>ĐIỀU 8. SỬA CHỮA, CẢI TẠO VÀ HOÀN TRẢ NGUYÊN TRẠNG</w:t>
      </w:r>
    </w:p>
    <w:p>
      <w:pPr>
        <w:spacing w:before="0" w:after="40" w:line="276" w:lineRule="auto"/>
        <w:ind w:firstLine="425"/>
        <w:jc w:val="left"/>
      </w:pPr>
      <w:r>
        <w:rPr>
          <w:rFonts w:ascii="Times New Roman" w:hAnsi="Times New Roman" w:eastAsia="Times New Roman"/>
          <w:b w:val="0"/>
          <w:i w:val="0"/>
          <w:sz w:val="26"/>
        </w:rPr>
        <w:t>8.1. Hạng mục trang trí nhỏ không ảnh hưởng kết cấu có thể được thực hiện sau khi đáp ứng yêu cầu hợp lý của Bên A; hạng mục làm thay đổi kiến trúc, hệ thống kỹ thuật hoặc công năng phải có chấp thuận bằng văn bản và giấy phép khi pháp luật yêu cầu.</w:t>
      </w:r>
    </w:p>
    <w:p>
      <w:pPr>
        <w:spacing w:before="0" w:after="40" w:line="276" w:lineRule="auto"/>
        <w:ind w:firstLine="425"/>
        <w:jc w:val="left"/>
      </w:pPr>
      <w:r>
        <w:rPr>
          <w:rFonts w:ascii="Times New Roman" w:hAnsi="Times New Roman" w:eastAsia="Times New Roman"/>
          <w:b w:val="0"/>
          <w:i w:val="0"/>
          <w:sz w:val="26"/>
        </w:rPr>
        <w:t>8.2. Khi chấm dứt Hợp đồng, Bên B phải tháo dỡ tài sản của mình, vệ sinh và bàn giao nhà theo hiện trạng ban đầu có tính đến hao mòn tự nhiên, trừ các cải tạo mà Bên A đồng ý giữ lại.</w:t>
      </w:r>
    </w:p>
    <w:p>
      <w:pPr>
        <w:spacing w:before="0" w:after="40" w:line="276" w:lineRule="auto"/>
        <w:ind w:firstLine="425"/>
        <w:jc w:val="left"/>
      </w:pPr>
      <w:r>
        <w:rPr>
          <w:rFonts w:ascii="Times New Roman" w:hAnsi="Times New Roman" w:eastAsia="Times New Roman"/>
          <w:b w:val="0"/>
          <w:i w:val="0"/>
          <w:sz w:val="26"/>
        </w:rPr>
        <w:t xml:space="preserve">8.3. Bên B chịu chi phí sửa chữa hư hỏng do lỗi của mình, người ở cùng, khách hoặc người do Bên B quản lý gây ra. Chi phí hợp lý có thể được khấu trừ từ tiền cọc theo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spacing w:before="140" w:after="80" w:line="276" w:lineRule="auto"/>
        <w:ind w:firstLine="0"/>
        <w:jc w:val="left"/>
        <w:keepNext/>
      </w:pPr>
      <w:r>
        <w:rPr>
          <w:rFonts w:ascii="Times New Roman" w:hAnsi="Times New Roman" w:eastAsia="Times New Roman"/>
          <w:b/>
          <w:i w:val="0"/>
          <w:sz w:val="26"/>
        </w:rPr>
        <w:t>ĐIỀU 9. VI PHẠM VÀ CHẤM DỨT HỢP ĐỒNG</w:t>
      </w:r>
    </w:p>
    <w:p>
      <w:pPr>
        <w:spacing w:before="0" w:after="40" w:line="276" w:lineRule="auto"/>
        <w:ind w:firstLine="425"/>
        <w:jc w:val="left"/>
      </w:pPr>
      <w:r>
        <w:rPr>
          <w:rFonts w:ascii="Times New Roman" w:hAnsi="Times New Roman" w:eastAsia="Times New Roman"/>
          <w:b w:val="0"/>
          <w:i w:val="0"/>
          <w:sz w:val="26"/>
        </w:rPr>
        <w:t>9.1. Một bên có quyền yêu cầu bên kia khắc phục vi phạm trong thời hạn hợp lý trước khi áp dụng quyền chấm dứt, trừ trường hợp vi phạm nghiêm trọng hoặc pháp luật cho phép chấm dứt ngay.</w:t>
      </w:r>
    </w:p>
    <w:p>
      <w:pPr>
        <w:spacing w:before="0" w:after="40" w:line="276" w:lineRule="auto"/>
        <w:ind w:firstLine="425"/>
        <w:jc w:val="left"/>
      </w:pPr>
      <w:r>
        <w:rPr>
          <w:rFonts w:ascii="Times New Roman" w:hAnsi="Times New Roman" w:eastAsia="Times New Roman"/>
          <w:b w:val="0"/>
          <w:i w:val="0"/>
          <w:sz w:val="26"/>
        </w:rPr>
        <w:t>9.2. Các trường hợp chấm dứt, đơn phương chấm dứt hợp đồng thuê nhà thực hiện theo Luật Nhà ở, Bộ luật Dân sự và thỏa thuận hợp pháp của các bên.</w:t>
      </w:r>
    </w:p>
    <w:p>
      <w:pPr>
        <w:spacing w:before="0" w:after="40" w:line="276" w:lineRule="auto"/>
        <w:ind w:firstLine="425"/>
        <w:jc w:val="left"/>
      </w:pPr>
      <w:r>
        <w:rPr>
          <w:rFonts w:ascii="Times New Roman" w:hAnsi="Times New Roman" w:eastAsia="Times New Roman"/>
          <w:b w:val="0"/>
          <w:i w:val="0"/>
          <w:sz w:val="26"/>
        </w:rPr>
        <w:t>9.3. Khi chấm dứt, hai bên lập biên bản bàn giao, chốt tiền thuê, phí, chi phí sửa chữa và tiền cọc. Không bên nào được tự ý chiếm giữ tài sản hợp pháp của bên kia ngoài trường hợp pháp luật cho phép.</w:t>
      </w:r>
    </w:p>
    <w:p>
      <w:pPr>
        <w:spacing w:before="140" w:after="80" w:line="276" w:lineRule="auto"/>
        <w:ind w:firstLine="0"/>
        <w:jc w:val="left"/>
        <w:keepNext/>
      </w:pPr>
      <w:r>
        <w:rPr>
          <w:rFonts w:ascii="Times New Roman" w:hAnsi="Times New Roman" w:eastAsia="Times New Roman"/>
          <w:b/>
          <w:i w:val="0"/>
          <w:sz w:val="26"/>
        </w:rPr>
        <w:t>ĐIỀU 10. ĐIỀU KHOẢN CHUNG</w:t>
      </w:r>
    </w:p>
    <w:p>
      <w:pPr>
        <w:spacing w:before="0" w:after="40" w:line="276" w:lineRule="auto"/>
        <w:ind w:firstLine="425"/>
        <w:jc w:val="left"/>
      </w:pPr>
      <w:r>
        <w:rPr>
          <w:rFonts w:ascii="Times New Roman" w:hAnsi="Times New Roman" w:eastAsia="Times New Roman"/>
          <w:b w:val="0"/>
          <w:i w:val="0"/>
          <w:sz w:val="26"/>
        </w:rPr>
        <w:t>10.1. Hợp đồng, dữ liệu giao dịch trên HomeSpace và các bảng động kèm theo tạo thành một chỉnh thể thống nhất.</w:t>
      </w:r>
    </w:p>
    <w:p>
      <w:pPr>
        <w:spacing w:before="0" w:after="40" w:line="276" w:lineRule="auto"/>
        <w:ind w:firstLine="425"/>
        <w:jc w:val="left"/>
      </w:pPr>
      <w:r>
        <w:rPr>
          <w:rFonts w:ascii="Times New Roman" w:hAnsi="Times New Roman" w:eastAsia="Times New Roman"/>
          <w:b w:val="0"/>
          <w:i w:val="0"/>
          <w:sz w:val="26"/>
        </w:rPr>
        <w:t>10.2. Thông báo, sửa đổi và gia hạn phải được xác nhận bằng văn bản hoặc phương tiện điện tử có thể lưu trữ và truy xuất.</w:t>
      </w:r>
    </w:p>
    <w:p>
      <w:pPr>
        <w:spacing w:before="0" w:after="40" w:line="276" w:lineRule="auto"/>
        <w:ind w:firstLine="425"/>
        <w:jc w:val="left"/>
      </w:pPr>
      <w:r>
        <w:rPr>
          <w:rFonts w:ascii="Times New Roman" w:hAnsi="Times New Roman" w:eastAsia="Times New Roman"/>
          <w:b w:val="0"/>
          <w:i w:val="0"/>
          <w:sz w:val="26"/>
        </w:rPr>
        <w:t>10.3. Tranh chấp được ưu tiên giải quyết bằng thương lượng; nếu không thành, các bên có quyền yêu cầu cơ quan có thẩm quyền giải quyết theo pháp luật Việt Nam.</w:t>
      </w:r>
    </w:p>
    <w:p>
      <w:pPr>
        <w:spacing w:before="0" w:after="40" w:line="276" w:lineRule="auto"/>
        <w:ind w:firstLine="425"/>
        <w:jc w:val="left"/>
      </w:pPr>
      <w:r>
        <w:rPr>
          <w:rFonts w:ascii="Times New Roman" w:hAnsi="Times New Roman" w:eastAsia="Times New Roman"/>
          <w:b w:val="0"/>
          <w:i w:val="0"/>
          <w:sz w:val="26"/>
        </w:rPr>
        <w:t>10.4. Hợp đồng có hiệu lực theo thỏa thuận của các bên và quy định pháp luật.</w:t>
      </w:r>
    </w:p>
    <w:p>
      <w:pPr>
        <w:spacing w:before="200" w:after="100" w:line="276" w:lineRule="auto"/>
        <w:ind w:firstLine="0"/>
        <w:jc w:val="center"/>
      </w:pPr>
      <w:r>
        <w:rPr>
          <w:rFonts w:ascii="Times New Roman" w:hAnsi="Times New Roman" w:eastAsia="Times New Roman"/>
          <w:b/>
          <w:i w:val="0"/>
          <w:sz w:val="26"/>
        </w:rPr>
        <w:t>ĐẠI DIỆN CÁC BÊN KÝ/XÁC NHẬN</w:t>
      </w:r>
    </w:p>
    <w:tbl>
      <w:tblPr>
        <w:tblW w:type="auto" w:w="0"/>
        <w:jc w:val="center"/>
        <w:tblLook w:firstColumn="1" w:firstRow="1" w:lastColumn="0" w:lastRow="0" w:noHBand="0" w:noVBand="1" w:val="04A0"/>
      </w:tblPr>
      <w:tblGrid>
        <w:gridCol w:w="4649"/>
        <w:gridCol w:w="4649"/>
      </w:tblGrid>
      <w:tr>
        <w:tc>
          <w:tcPr>
            <w:tcW w:type="dxa" w:w="4649"/>
            <w:vAlign w:val="top"/>
          </w:tcPr>
          <w:p>
            <w:pPr>
              <w:jc w:val="center"/>
            </w:pPr>
            <w:r>
              <w:rPr>
                <w:rFonts w:ascii="Times New Roman" w:hAnsi="Times New Roman" w:eastAsia="Times New Roman"/>
                <w:b/>
                <w:sz w:val="26"/>
              </w:rPr>
              <w:t>BÊN CHO THUÊ (BÊN A)</w:t>
            </w:r>
          </w:p>
          <w:p>
            <w:pPr>
              <w:jc w:val="center"/>
            </w:pPr>
            <w:r>
              <w:rPr>
                <w:rFonts w:ascii="Times New Roman" w:hAnsi="Times New Roman" w:eastAsia="Times New Roman"/>
                <w:i/>
                <w:sz w:val="22"/>
              </w:rPr>
              <w:t>(Ký, ghi rõ họ tên hoặc ký điện tử)</w:t>
            </w:r>
          </w:p>
          <w:p/>
          <w:p/>
          <w:p/>
          <w:p/>
        </w:tc>
        <w:tc>
          <w:tcPr>
            <w:tcW w:type="dxa" w:w="4649"/>
            <w:vAlign w:val="top"/>
          </w:tcPr>
          <w:p>
            <w:pPr>
              <w:jc w:val="center"/>
            </w:pPr>
            <w:r>
              <w:rPr>
                <w:rFonts w:ascii="Times New Roman" w:hAnsi="Times New Roman" w:eastAsia="Times New Roman"/>
                <w:b/>
                <w:sz w:val="26"/>
              </w:rPr>
              <w:t>BÊN THUÊ (BÊN B)</w:t>
            </w:r>
          </w:p>
          <w:p>
            <w:pPr>
              <w:jc w:val="center"/>
            </w:pPr>
            <w:r>
              <w:rPr>
                <w:rFonts w:ascii="Times New Roman" w:hAnsi="Times New Roman" w:eastAsia="Times New Roman"/>
                <w:i/>
                <w:sz w:val="22"/>
              </w:rPr>
              <w:t>(Ký, ghi rõ họ tên hoặc ký điện tử)</w:t>
            </w:r>
          </w:p>
          <w:p/>
          <w:p/>
          <w:p/>
          <w:p/>
        </w:tc>
      </w:tr>
    </w:tbl>
    <w:sectPr w:rsidR="00FC693F" w:rsidRPr="0006063C" w:rsidSect="00034616">
      <w:footerReference w:type="default" r:id="rId9"/>
      <w:pgSz w:w="11906" w:h="16838"/>
      <w:pgMar w:top="1134" w:right="1134" w:bottom="1134" w:left="147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18"/>
      </w:rPr>
      <w:t>HomeSpace | Mẫu hợp đồng điện tử | Nhà nguyên căn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