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eastAsia="Times New Roman"/>
          <w:b/>
          <w:sz w:val="26"/>
        </w:rPr>
        <w:t>CỘNG HÒA XÃ HỘI CHỦ NGHĨA VIỆT NAM</w:t>
      </w:r>
    </w:p>
    <w:p>
      <w:pPr>
        <w:spacing w:after="100"/>
        <w:jc w:val="center"/>
        <w:pBdr>
          <w:bottom w:val="single" w:sz="6" w:space="1" w:color="000000"/>
        </w:pBdr>
      </w:pPr>
      <w:r>
        <w:rPr>
          <w:rFonts w:ascii="Times New Roman" w:hAnsi="Times New Roman" w:eastAsia="Times New Roman"/>
          <w:b/>
          <w:sz w:val="26"/>
        </w:rPr>
        <w:t>Độc lập - Tự do - Hạnh phúc</w:t>
      </w:r>
    </w:p>
    <w:p>
      <w:pPr>
        <w:pStyle w:val="Title"/>
        <w:spacing w:before="160" w:after="40"/>
        <w:jc w:val="center"/>
      </w:pPr>
      <w:r>
        <w:rPr>
          <w:rFonts w:ascii="Times New Roman" w:hAnsi="Times New Roman" w:eastAsia="Times New Roman"/>
          <w:b/>
          <w:sz w:val="32"/>
        </w:rPr>
        <w:t>HỢP ĐỒNG THUÊ MẶT BẰNG KINH DOANH</w:t>
      </w:r>
    </w:p>
    <w:p>
      <w:pPr>
        <w:spacing w:after="160"/>
        <w:jc w:val="center"/>
      </w:pPr>
      <w:r>
        <w:rPr>
          <w:rFonts w:ascii="Times New Roman" w:hAnsi="Times New Roman" w:eastAsia="Times New Roman"/>
          <w:i/>
          <w:sz w:val="22"/>
        </w:rPr>
        <w:t>(Áp dụng cho Shophouse, Mặt bằng bán lẻ, Cửa hàng, Ki-ốt thương mại)</w:t>
      </w:r>
    </w:p>
    <w:p>
      <w:pPr>
        <w:spacing w:after="20" w:line="259" w:lineRule="auto"/>
        <w:jc w:val="center"/>
      </w:pPr>
      <w:r>
        <w:rPr>
          <w:rFonts w:ascii="Times New Roman" w:hAnsi="Times New Roman" w:eastAsia="Times New Roman"/>
          <w:sz w:val="25"/>
        </w:rPr>
        <w:t xml:space="preserve">Số hợp đồng: </w:t>
      </w:r>
      <w:r>
        <w:rPr>
          <w:rFonts w:ascii="Times New Roman" w:hAnsi="Times New Roman" w:eastAsia="Times New Roman"/>
          <w:b/>
          <w:sz w:val="25"/>
        </w:rPr>
        <w:t>{{contract.number}}</w:t>
      </w:r>
    </w:p>
    <w:p>
      <w:pPr>
        <w:spacing w:after="160" w:line="259" w:lineRule="auto"/>
        <w:jc w:val="center"/>
      </w:pPr>
      <w:r>
        <w:rPr>
          <w:rFonts w:ascii="Times New Roman" w:hAnsi="Times New Roman" w:eastAsia="Times New Roman"/>
          <w:sz w:val="25"/>
        </w:rPr>
        <w:t xml:space="preserve">Ngày lập: </w:t>
      </w:r>
      <w:r>
        <w:rPr>
          <w:rFonts w:ascii="Times New Roman" w:hAnsi="Times New Roman" w:eastAsia="Times New Roman"/>
          <w:b/>
          <w:sz w:val="25"/>
        </w:rPr>
        <w:t>{{contract.signingDate}}</w:t>
      </w:r>
      <w:r>
        <w:rPr>
          <w:rFonts w:ascii="Times New Roman" w:hAnsi="Times New Roman" w:eastAsia="Times New Roman"/>
          <w:sz w:val="25"/>
        </w:rPr>
        <w:t xml:space="preserve"> tại </w:t>
      </w:r>
      <w:r>
        <w:rPr>
          <w:rFonts w:ascii="Times New Roman" w:hAnsi="Times New Roman" w:eastAsia="Times New Roman"/>
          <w:b/>
          <w:sz w:val="25"/>
        </w:rPr>
        <w:t>{{contract.signingCity}}</w:t>
      </w:r>
    </w:p>
    <w:p>
      <w:pPr>
        <w:pStyle w:val="Heading1"/>
        <w:ind w:firstLine="0"/>
        <w:jc w:val="left"/>
      </w:pPr>
      <w:r>
        <w:rPr>
          <w:rFonts w:ascii="Times New Roman" w:hAnsi="Times New Roman" w:eastAsia="Times New Roman"/>
          <w:b/>
          <w:sz w:val="26"/>
        </w:rPr>
        <w:t>CĂN CỨ KÝ KẾT</w:t>
      </w:r>
    </w:p>
    <w:p>
      <w:pPr>
        <w:spacing w:after="40" w:line="259" w:lineRule="auto"/>
        <w:ind w:firstLine="425"/>
      </w:pPr>
      <w:r>
        <w:rPr>
          <w:rFonts w:ascii="Times New Roman" w:hAnsi="Times New Roman" w:eastAsia="Times New Roman"/>
          <w:sz w:val="25"/>
        </w:rPr>
        <w:t>Căn cứ Bộ luật Dân sự số 91/2015/QH13 ngày 24/11/2015, đặc biệt các quy định về đặt cọc, phạt vi phạm, bồi thường thiệt hại và hợp đồng thuê tài sản;</w:t>
      </w:r>
    </w:p>
    <w:p>
      <w:pPr>
        <w:spacing w:after="40" w:line="259" w:lineRule="auto"/>
        <w:ind w:firstLine="425"/>
      </w:pPr>
      <w:r>
        <w:rPr>
          <w:rFonts w:ascii="Times New Roman" w:hAnsi="Times New Roman" w:eastAsia="Times New Roman"/>
          <w:sz w:val="25"/>
        </w:rPr>
        <w:t>Căn cứ Luật Thương mại số 36/2005/QH11 ngày 14/06/2005, đã được sửa đổi, bổ sung, trong phạm vi áp dụng đối với hoạt động thương mại của các bên;</w:t>
      </w:r>
    </w:p>
    <w:p>
      <w:pPr>
        <w:spacing w:after="40" w:line="259" w:lineRule="auto"/>
        <w:ind w:firstLine="425"/>
      </w:pPr>
      <w:r>
        <w:rPr>
          <w:rFonts w:ascii="Times New Roman" w:hAnsi="Times New Roman" w:eastAsia="Times New Roman"/>
          <w:sz w:val="25"/>
        </w:rPr>
        <w:t>Căn cứ Luật Kinh doanh bất động sản số 29/2023/QH15 ngày 28/11/2023, có hiệu lực từ ngày 01/08/2024 theo Luật số 43/2024/QH15, và các quy định hiện hành về kinh doanh, cho thuê công trình xây dựng có sẵn;</w:t>
      </w:r>
    </w:p>
    <w:p>
      <w:pPr>
        <w:spacing w:after="40" w:line="259" w:lineRule="auto"/>
        <w:ind w:firstLine="425"/>
      </w:pPr>
      <w:r>
        <w:rPr>
          <w:rFonts w:ascii="Times New Roman" w:hAnsi="Times New Roman" w:eastAsia="Times New Roman"/>
          <w:sz w:val="25"/>
        </w:rPr>
        <w:t>Căn cứ Nghị định số 96/2024/NĐ-CP ngày 24/07/2024 của Chính phủ quy định chi tiết một số điều của Luật Kinh doanh bất động sản, đã được sửa đổi, bổ sung bởi các quy định hiện hành, trong trường hợp thuộc phạm vi áp dụng;</w:t>
      </w:r>
    </w:p>
    <w:p>
      <w:pPr>
        <w:spacing w:after="40" w:line="259" w:lineRule="auto"/>
        <w:ind w:firstLine="425"/>
      </w:pPr>
      <w:r>
        <w:rPr>
          <w:rFonts w:ascii="Times New Roman" w:hAnsi="Times New Roman" w:eastAsia="Times New Roman"/>
          <w:sz w:val="25"/>
        </w:rPr>
        <w:t>Căn cứ Luật Quảng cáo số 16/2012/QH13, đã được sửa đổi, bổ sung, bao gồm Luật số 75/2025/QH15 có hiệu lực từ ngày 01/01/2026, và quy định về biển hiệu của cơ sở sản xuất, kinh doanh;</w:t>
      </w:r>
    </w:p>
    <w:p>
      <w:pPr>
        <w:spacing w:after="40" w:line="259" w:lineRule="auto"/>
        <w:ind w:firstLine="425"/>
      </w:pPr>
      <w:r>
        <w:rPr>
          <w:rFonts w:ascii="Times New Roman" w:hAnsi="Times New Roman" w:eastAsia="Times New Roman"/>
          <w:sz w:val="25"/>
        </w:rPr>
        <w:t>Căn cứ Luật Phòng cháy, chữa cháy và cứu nạn, cứu hộ số 55/2024/QH15 có hiệu lực từ ngày 01/07/2025; Nghị định số 105/2025/NĐ-CP; QCVN 06:2022/BXD và Sửa đổi 1:2023 QCVN 06:2022/BXD trong phạm vi áp dụng đối với công trình/cơ sở;</w:t>
      </w:r>
    </w:p>
    <w:p>
      <w:pPr>
        <w:spacing w:after="40" w:line="259" w:lineRule="auto"/>
        <w:ind w:firstLine="425"/>
      </w:pPr>
      <w:r>
        <w:rPr>
          <w:rFonts w:ascii="Times New Roman" w:hAnsi="Times New Roman" w:eastAsia="Times New Roman"/>
          <w:sz w:val="25"/>
        </w:rPr>
        <w:t>Căn cứ Luật Giao dịch điện tử số 20/2023/QH15 và nhu cầu, khả năng, sự tự nguyện thỏa thuận của các bên.</w:t>
      </w:r>
    </w:p>
    <w:p>
      <w:pPr>
        <w:spacing w:after="120" w:line="259" w:lineRule="auto"/>
        <w:ind w:firstLine="425"/>
      </w:pPr>
      <w:r>
        <w:rPr>
          <w:rFonts w:ascii="Times New Roman" w:hAnsi="Times New Roman" w:eastAsia="Times New Roman"/>
          <w:sz w:val="25"/>
        </w:rPr>
        <w:t xml:space="preserve">Hôm nay, vào </w:t>
      </w:r>
      <w:r>
        <w:rPr>
          <w:rFonts w:ascii="Times New Roman" w:hAnsi="Times New Roman" w:eastAsia="Times New Roman"/>
          <w:b/>
          <w:sz w:val="25"/>
        </w:rPr>
        <w:t>{{contract.signingDate}}</w:t>
      </w:r>
      <w:r>
        <w:rPr>
          <w:rFonts w:ascii="Times New Roman" w:hAnsi="Times New Roman" w:eastAsia="Times New Roman"/>
          <w:sz w:val="25"/>
        </w:rPr>
        <w:t xml:space="preserve">, tại </w:t>
      </w:r>
      <w:r>
        <w:rPr>
          <w:rFonts w:ascii="Times New Roman" w:hAnsi="Times New Roman" w:eastAsia="Times New Roman"/>
          <w:b/>
          <w:sz w:val="25"/>
        </w:rPr>
        <w:t>{{contract.signingCity}}</w:t>
      </w:r>
      <w:r>
        <w:rPr>
          <w:rFonts w:ascii="Times New Roman" w:hAnsi="Times New Roman" w:eastAsia="Times New Roman"/>
          <w:sz w:val="25"/>
        </w:rPr>
        <w:t>, các bên thống nhất giao kết Hợp đồng thuê mặt bằng kinh doanh với các nội dung sau:</w:t>
      </w:r>
    </w:p>
    <w:p>
      <w:pPr>
        <w:pStyle w:val="Heading1"/>
        <w:ind w:firstLine="0"/>
        <w:jc w:val="left"/>
      </w:pPr>
      <w:r>
        <w:rPr>
          <w:rFonts w:ascii="Times New Roman" w:hAnsi="Times New Roman" w:eastAsia="Times New Roman"/>
          <w:b/>
          <w:sz w:val="26"/>
        </w:rPr>
        <w:t>THÔNG TIN CÁC BÊN</w:t>
      </w:r>
    </w:p>
    <w:p>
      <w:pPr>
        <w:pStyle w:val="Heading2"/>
        <w:ind w:firstLine="0"/>
      </w:pPr>
      <w:r>
        <w:rPr>
          <w:rFonts w:ascii="Times New Roman" w:hAnsi="Times New Roman" w:eastAsia="Times New Roman"/>
          <w:b/>
          <w:sz w:val="25"/>
        </w:rPr>
        <w:t>1. BÊN CHO THUÊ (BÊN A)</w:t>
      </w:r>
    </w:p>
    <w:p>
      <w:pPr>
        <w:spacing w:after="60" w:line="259" w:lineRule="auto"/>
        <w:ind w:firstLine="425"/>
      </w:pPr>
      <w:r>
        <w:rPr>
          <w:rFonts w:ascii="Times New Roman" w:hAnsi="Times New Roman" w:eastAsia="Times New Roman"/>
          <w:b/>
          <w:sz w:val="25"/>
        </w:rPr>
        <w:t>Họ và tên:</w:t>
      </w:r>
      <w:r>
        <w:rPr>
          <w:rFonts w:ascii="Times New Roman" w:hAnsi="Times New Roman" w:eastAsia="Times New Roman"/>
          <w:b w:val="0"/>
          <w:sz w:val="25"/>
        </w:rPr>
        <w:t xml:space="preserve"> </w:t>
      </w:r>
      <w:r>
        <w:rPr>
          <w:rFonts w:ascii="Times New Roman" w:hAnsi="Times New Roman" w:eastAsia="Times New Roman"/>
          <w:b/>
          <w:sz w:val="25"/>
        </w:rPr>
        <w:t>{{landlord.fullName}}</w:t>
      </w:r>
    </w:p>
    <w:p>
      <w:pPr>
        <w:spacing w:after="60" w:line="259" w:lineRule="auto"/>
        <w:ind w:firstLine="425"/>
      </w:pPr>
      <w:r>
        <w:rPr>
          <w:rFonts w:ascii="Times New Roman" w:hAnsi="Times New Roman" w:eastAsia="Times New Roman"/>
          <w:b/>
          <w:sz w:val="25"/>
        </w:rPr>
        <w:t>CCCD:</w:t>
      </w:r>
      <w:r>
        <w:rPr>
          <w:rFonts w:ascii="Times New Roman" w:hAnsi="Times New Roman" w:eastAsia="Times New Roman"/>
          <w:b w:val="0"/>
          <w:sz w:val="25"/>
        </w:rPr>
        <w:t xml:space="preserve"> </w:t>
      </w:r>
      <w:r>
        <w:rPr>
          <w:rFonts w:ascii="Times New Roman" w:hAnsi="Times New Roman" w:eastAsia="Times New Roman"/>
          <w:b/>
          <w:sz w:val="25"/>
        </w:rPr>
        <w:t>{{landlord.idNumber}}</w:t>
      </w:r>
      <w:r>
        <w:rPr>
          <w:rFonts w:ascii="Times New Roman" w:hAnsi="Times New Roman" w:eastAsia="Times New Roman"/>
          <w:b w:val="0"/>
          <w:sz w:val="25"/>
        </w:rPr>
        <w:t xml:space="preserve">; ngày cấp: </w:t>
      </w:r>
      <w:r>
        <w:rPr>
          <w:rFonts w:ascii="Times New Roman" w:hAnsi="Times New Roman" w:eastAsia="Times New Roman"/>
          <w:b/>
          <w:sz w:val="25"/>
        </w:rPr>
        <w:t>{{landlord.idIssueDate}}</w:t>
      </w:r>
      <w:r>
        <w:rPr>
          <w:rFonts w:ascii="Times New Roman" w:hAnsi="Times New Roman" w:eastAsia="Times New Roman"/>
          <w:b w:val="0"/>
          <w:sz w:val="25"/>
        </w:rPr>
        <w:t xml:space="preserve">; nơi cấp: </w:t>
      </w:r>
      <w:r>
        <w:rPr>
          <w:rFonts w:ascii="Times New Roman" w:hAnsi="Times New Roman" w:eastAsia="Times New Roman"/>
          <w:b/>
          <w:sz w:val="25"/>
        </w:rPr>
        <w:t>{{landlord.idIssuePlace}}</w:t>
      </w:r>
    </w:p>
    <w:p>
      <w:pPr>
        <w:spacing w:after="60" w:line="259" w:lineRule="auto"/>
        <w:ind w:firstLine="425"/>
      </w:pPr>
      <w:r>
        <w:rPr>
          <w:rFonts w:ascii="Times New Roman" w:hAnsi="Times New Roman" w:eastAsia="Times New Roman"/>
          <w:b/>
          <w:sz w:val="25"/>
        </w:rPr>
        <w:t>Hộ khẩu thường trú:</w:t>
      </w:r>
      <w:r>
        <w:rPr>
          <w:rFonts w:ascii="Times New Roman" w:hAnsi="Times New Roman" w:eastAsia="Times New Roman"/>
          <w:b w:val="0"/>
          <w:sz w:val="25"/>
        </w:rPr>
        <w:t xml:space="preserve"> </w:t>
      </w:r>
      <w:r>
        <w:rPr>
          <w:rFonts w:ascii="Times New Roman" w:hAnsi="Times New Roman" w:eastAsia="Times New Roman"/>
          <w:b/>
          <w:sz w:val="25"/>
        </w:rPr>
        <w:t>{{landlord.permanentAddress}}</w:t>
      </w:r>
    </w:p>
    <w:p>
      <w:pPr>
        <w:spacing w:after="60" w:line="259" w:lineRule="auto"/>
        <w:ind w:firstLine="425"/>
      </w:pPr>
      <w:r>
        <w:rPr>
          <w:rFonts w:ascii="Times New Roman" w:hAnsi="Times New Roman" w:eastAsia="Times New Roman"/>
          <w:b/>
          <w:sz w:val="25"/>
        </w:rPr>
        <w:t>Điện thoại:</w:t>
      </w:r>
      <w:r>
        <w:rPr>
          <w:rFonts w:ascii="Times New Roman" w:hAnsi="Times New Roman" w:eastAsia="Times New Roman"/>
          <w:b w:val="0"/>
          <w:sz w:val="25"/>
        </w:rPr>
        <w:t xml:space="preserve"> </w:t>
      </w:r>
      <w:r>
        <w:rPr>
          <w:rFonts w:ascii="Times New Roman" w:hAnsi="Times New Roman" w:eastAsia="Times New Roman"/>
          <w:b/>
          <w:sz w:val="25"/>
        </w:rPr>
        <w:t>{{landlord.phone}}</w:t>
      </w:r>
      <w:r>
        <w:rPr>
          <w:rFonts w:ascii="Times New Roman" w:hAnsi="Times New Roman" w:eastAsia="Times New Roman"/>
          <w:b w:val="0"/>
          <w:sz w:val="25"/>
        </w:rPr>
        <w:t xml:space="preserve">; email: </w:t>
      </w:r>
      <w:r>
        <w:rPr>
          <w:rFonts w:ascii="Times New Roman" w:hAnsi="Times New Roman" w:eastAsia="Times New Roman"/>
          <w:b/>
          <w:sz w:val="25"/>
        </w:rPr>
        <w:t>{{landlord.email}}</w:t>
      </w:r>
    </w:p>
    <w:p>
      <w:pPr>
        <w:spacing w:after="60" w:line="259" w:lineRule="auto"/>
        <w:ind w:firstLine="425"/>
      </w:pPr>
      <w:r>
        <w:rPr>
          <w:rFonts w:ascii="Times New Roman" w:hAnsi="Times New Roman" w:eastAsia="Times New Roman"/>
          <w:b/>
          <w:sz w:val="25"/>
        </w:rPr>
        <w:t>Tài khoản:</w:t>
      </w:r>
      <w:r>
        <w:rPr>
          <w:rFonts w:ascii="Times New Roman" w:hAnsi="Times New Roman" w:eastAsia="Times New Roman"/>
          <w:b w:val="0"/>
          <w:sz w:val="25"/>
        </w:rPr>
        <w:t xml:space="preserve"> </w:t>
      </w:r>
      <w:r>
        <w:rPr>
          <w:rFonts w:ascii="Times New Roman" w:hAnsi="Times New Roman" w:eastAsia="Times New Roman"/>
          <w:b/>
          <w:sz w:val="25"/>
        </w:rPr>
        <w:t>{{landlord.bankAccount}}</w:t>
      </w:r>
      <w:r>
        <w:rPr>
          <w:rFonts w:ascii="Times New Roman" w:hAnsi="Times New Roman" w:eastAsia="Times New Roman"/>
          <w:b w:val="0"/>
          <w:sz w:val="25"/>
        </w:rPr>
        <w:t xml:space="preserve"> mở tại </w:t>
      </w:r>
      <w:r>
        <w:rPr>
          <w:rFonts w:ascii="Times New Roman" w:hAnsi="Times New Roman" w:eastAsia="Times New Roman"/>
          <w:b/>
          <w:sz w:val="25"/>
        </w:rPr>
        <w:t>{{landlord.bankName}}</w:t>
      </w:r>
    </w:p>
    <w:p>
      <w:pPr>
        <w:pStyle w:val="Heading2"/>
        <w:ind w:firstLine="0"/>
      </w:pPr>
      <w:r>
        <w:rPr>
          <w:rFonts w:ascii="Times New Roman" w:hAnsi="Times New Roman" w:eastAsia="Times New Roman"/>
          <w:b/>
          <w:sz w:val="25"/>
        </w:rPr>
        <w:t>2. BÊN THUÊ (BÊN B)</w:t>
      </w:r>
    </w:p>
    <w:p>
      <w:pPr>
        <w:spacing w:after="60" w:line="259" w:lineRule="auto"/>
        <w:ind w:firstLine="425"/>
      </w:pPr>
      <w:r>
        <w:rPr>
          <w:rFonts w:ascii="Times New Roman" w:hAnsi="Times New Roman" w:eastAsia="Times New Roman"/>
          <w:b/>
          <w:sz w:val="25"/>
        </w:rPr>
        <w:t>Tên tổ chức/doanh nghiệp:</w:t>
      </w:r>
      <w:r>
        <w:rPr>
          <w:rFonts w:ascii="Times New Roman" w:hAnsi="Times New Roman" w:eastAsia="Times New Roman"/>
          <w:b w:val="0"/>
          <w:sz w:val="25"/>
        </w:rPr>
        <w:t xml:space="preserve"> </w:t>
      </w:r>
      <w:r>
        <w:rPr>
          <w:rFonts w:ascii="Times New Roman" w:hAnsi="Times New Roman" w:eastAsia="Times New Roman"/>
          <w:b/>
          <w:sz w:val="25"/>
        </w:rPr>
        <w:t>{{tenant.organizationName}}</w:t>
      </w:r>
      <w:r>
        <w:rPr>
          <w:rFonts w:ascii="Times New Roman" w:hAnsi="Times New Roman" w:eastAsia="Times New Roman"/>
          <w:b w:val="0"/>
          <w:sz w:val="25"/>
        </w:rPr>
        <w:t xml:space="preserve"> (áp dụng khi Bên B là tổ chức/doanh nghiệp).</w:t>
      </w:r>
    </w:p>
    <w:p>
      <w:pPr>
        <w:spacing w:after="60" w:line="259" w:lineRule="auto"/>
        <w:ind w:firstLine="425"/>
      </w:pPr>
      <w:r>
        <w:rPr>
          <w:rFonts w:ascii="Times New Roman" w:hAnsi="Times New Roman" w:eastAsia="Times New Roman"/>
          <w:b/>
          <w:sz w:val="25"/>
        </w:rPr>
        <w:t>Người đại diện theo pháp luật/được ủy quyền:</w:t>
      </w:r>
      <w:r>
        <w:rPr>
          <w:rFonts w:ascii="Times New Roman" w:hAnsi="Times New Roman" w:eastAsia="Times New Roman"/>
          <w:b w:val="0"/>
          <w:sz w:val="25"/>
        </w:rPr>
        <w:t xml:space="preserve"> </w:t>
      </w:r>
      <w:r>
        <w:rPr>
          <w:rFonts w:ascii="Times New Roman" w:hAnsi="Times New Roman" w:eastAsia="Times New Roman"/>
          <w:b/>
          <w:sz w:val="25"/>
        </w:rPr>
        <w:t>{{tenant.representativeName}}</w:t>
      </w:r>
      <w:r>
        <w:rPr>
          <w:rFonts w:ascii="Times New Roman" w:hAnsi="Times New Roman" w:eastAsia="Times New Roman"/>
          <w:b w:val="0"/>
          <w:sz w:val="25"/>
        </w:rPr>
        <w:t xml:space="preserve">; chức vụ: </w:t>
      </w:r>
      <w:r>
        <w:rPr>
          <w:rFonts w:ascii="Times New Roman" w:hAnsi="Times New Roman" w:eastAsia="Times New Roman"/>
          <w:b/>
          <w:sz w:val="25"/>
        </w:rPr>
        <w:t>{{tenant.representativePosition}}</w:t>
      </w:r>
      <w:r>
        <w:rPr>
          <w:rFonts w:ascii="Times New Roman" w:hAnsi="Times New Roman" w:eastAsia="Times New Roman"/>
          <w:b w:val="0"/>
          <w:sz w:val="25"/>
        </w:rPr>
        <w:t>.</w:t>
      </w:r>
    </w:p>
    <w:p>
      <w:pPr>
        <w:spacing w:after="60" w:line="259" w:lineRule="auto"/>
        <w:ind w:firstLine="425"/>
      </w:pPr>
      <w:r>
        <w:rPr>
          <w:rFonts w:ascii="Times New Roman" w:hAnsi="Times New Roman" w:eastAsia="Times New Roman"/>
          <w:b/>
          <w:sz w:val="25"/>
        </w:rPr>
        <w:t>Cá nhân đại diện ký kết/người thuê:</w:t>
      </w:r>
      <w:r>
        <w:rPr>
          <w:rFonts w:ascii="Times New Roman" w:hAnsi="Times New Roman" w:eastAsia="Times New Roman"/>
          <w:b w:val="0"/>
          <w:sz w:val="25"/>
        </w:rPr>
        <w:t xml:space="preserve"> </w:t>
      </w:r>
      <w:r>
        <w:rPr>
          <w:rFonts w:ascii="Times New Roman" w:hAnsi="Times New Roman" w:eastAsia="Times New Roman"/>
          <w:b/>
          <w:sz w:val="25"/>
        </w:rPr>
        <w:t>{{tenant.fullName}}</w:t>
      </w:r>
    </w:p>
    <w:p>
      <w:pPr>
        <w:spacing w:after="60" w:line="259" w:lineRule="auto"/>
        <w:ind w:firstLine="425"/>
      </w:pPr>
      <w:r>
        <w:rPr>
          <w:rFonts w:ascii="Times New Roman" w:hAnsi="Times New Roman" w:eastAsia="Times New Roman"/>
          <w:b/>
          <w:sz w:val="25"/>
        </w:rPr>
        <w:t>CCCD:</w:t>
      </w:r>
      <w:r>
        <w:rPr>
          <w:rFonts w:ascii="Times New Roman" w:hAnsi="Times New Roman" w:eastAsia="Times New Roman"/>
          <w:b w:val="0"/>
          <w:sz w:val="25"/>
        </w:rPr>
        <w:t xml:space="preserve"> </w:t>
      </w:r>
      <w:r>
        <w:rPr>
          <w:rFonts w:ascii="Times New Roman" w:hAnsi="Times New Roman" w:eastAsia="Times New Roman"/>
          <w:b/>
          <w:sz w:val="25"/>
        </w:rPr>
        <w:t>{{tenant.idNumber}}</w:t>
      </w:r>
      <w:r>
        <w:rPr>
          <w:rFonts w:ascii="Times New Roman" w:hAnsi="Times New Roman" w:eastAsia="Times New Roman"/>
          <w:b w:val="0"/>
          <w:sz w:val="25"/>
        </w:rPr>
        <w:t xml:space="preserve">; ngày cấp: </w:t>
      </w:r>
      <w:r>
        <w:rPr>
          <w:rFonts w:ascii="Times New Roman" w:hAnsi="Times New Roman" w:eastAsia="Times New Roman"/>
          <w:b/>
          <w:sz w:val="25"/>
        </w:rPr>
        <w:t>{{tenant.idIssueDate}}</w:t>
      </w:r>
      <w:r>
        <w:rPr>
          <w:rFonts w:ascii="Times New Roman" w:hAnsi="Times New Roman" w:eastAsia="Times New Roman"/>
          <w:b w:val="0"/>
          <w:sz w:val="25"/>
        </w:rPr>
        <w:t xml:space="preserve">; nơi cấp: </w:t>
      </w:r>
      <w:r>
        <w:rPr>
          <w:rFonts w:ascii="Times New Roman" w:hAnsi="Times New Roman" w:eastAsia="Times New Roman"/>
          <w:b/>
          <w:sz w:val="25"/>
        </w:rPr>
        <w:t>{{tenant.idIssuePlace}}</w:t>
      </w:r>
    </w:p>
    <w:p>
      <w:pPr>
        <w:spacing w:after="60" w:line="259" w:lineRule="auto"/>
        <w:ind w:firstLine="425"/>
      </w:pPr>
      <w:r>
        <w:rPr>
          <w:rFonts w:ascii="Times New Roman" w:hAnsi="Times New Roman" w:eastAsia="Times New Roman"/>
          <w:b/>
          <w:sz w:val="25"/>
        </w:rPr>
        <w:t>Hộ khẩu thường trú:</w:t>
      </w:r>
      <w:r>
        <w:rPr>
          <w:rFonts w:ascii="Times New Roman" w:hAnsi="Times New Roman" w:eastAsia="Times New Roman"/>
          <w:b w:val="0"/>
          <w:sz w:val="25"/>
        </w:rPr>
        <w:t xml:space="preserve"> </w:t>
      </w:r>
      <w:r>
        <w:rPr>
          <w:rFonts w:ascii="Times New Roman" w:hAnsi="Times New Roman" w:eastAsia="Times New Roman"/>
          <w:b/>
          <w:sz w:val="25"/>
        </w:rPr>
        <w:t>{{tenant.permanentAddress}}</w:t>
      </w:r>
    </w:p>
    <w:p>
      <w:pPr>
        <w:spacing w:after="60" w:line="259" w:lineRule="auto"/>
        <w:ind w:firstLine="425"/>
      </w:pPr>
      <w:r>
        <w:rPr>
          <w:rFonts w:ascii="Times New Roman" w:hAnsi="Times New Roman" w:eastAsia="Times New Roman"/>
          <w:b/>
          <w:sz w:val="25"/>
        </w:rPr>
        <w:t>Điện thoại:</w:t>
      </w:r>
      <w:r>
        <w:rPr>
          <w:rFonts w:ascii="Times New Roman" w:hAnsi="Times New Roman" w:eastAsia="Times New Roman"/>
          <w:b w:val="0"/>
          <w:sz w:val="25"/>
        </w:rPr>
        <w:t xml:space="preserve"> </w:t>
      </w:r>
      <w:r>
        <w:rPr>
          <w:rFonts w:ascii="Times New Roman" w:hAnsi="Times New Roman" w:eastAsia="Times New Roman"/>
          <w:b/>
          <w:sz w:val="25"/>
        </w:rPr>
        <w:t>{{tenant.phone}}</w:t>
      </w:r>
      <w:r>
        <w:rPr>
          <w:rFonts w:ascii="Times New Roman" w:hAnsi="Times New Roman" w:eastAsia="Times New Roman"/>
          <w:b w:val="0"/>
          <w:sz w:val="25"/>
        </w:rPr>
        <w:t xml:space="preserve">; email: </w:t>
      </w:r>
      <w:r>
        <w:rPr>
          <w:rFonts w:ascii="Times New Roman" w:hAnsi="Times New Roman" w:eastAsia="Times New Roman"/>
          <w:b/>
          <w:sz w:val="25"/>
        </w:rPr>
        <w:t>{{tenant.email}}</w:t>
      </w:r>
    </w:p>
    <w:p>
      <w:pPr>
        <w:spacing w:after="120" w:line="259" w:lineRule="auto"/>
        <w:ind w:firstLine="425"/>
      </w:pPr>
      <w:r>
        <w:rPr>
          <w:rFonts w:ascii="Times New Roman" w:hAnsi="Times New Roman" w:eastAsia="Times New Roman"/>
          <w:sz w:val="25"/>
        </w:rPr>
        <w:t>Trường hợp Bên B là tổ chức, người ký Hợp đồng cam kết có đầy đủ thẩm quyền đại diện theo pháp luật hoặc theo văn bản ủy quyền hợp lệ. Trường hợp Bên B là cá nhân, các thông tin tổ chức/đại diện không phát sinh nghĩa vụ nếu không áp dụng.</w:t>
      </w:r>
    </w:p>
    <w:p>
      <w:pPr>
        <w:pStyle w:val="Heading1"/>
        <w:ind w:firstLine="0"/>
        <w:jc w:val="left"/>
      </w:pPr>
      <w:r>
        <w:rPr>
          <w:rFonts w:ascii="Times New Roman" w:hAnsi="Times New Roman" w:eastAsia="Times New Roman"/>
          <w:b/>
          <w:sz w:val="26"/>
        </w:rPr>
        <w:t>ĐIỀU 1. ĐỐI TƯỢNG THUÊ, HIỆN TRẠNG VÀ MỤC ĐÍCH SỬ DỤNG</w:t>
      </w:r>
    </w:p>
    <w:p>
      <w:pPr>
        <w:spacing w:after="60" w:line="259" w:lineRule="auto"/>
        <w:ind w:firstLine="425"/>
      </w:pPr>
      <w:r>
        <w:rPr>
          <w:rFonts w:ascii="Times New Roman" w:hAnsi="Times New Roman" w:eastAsia="Times New Roman"/>
          <w:sz w:val="25"/>
        </w:rPr>
        <w:t xml:space="preserve">1.1. Bên A đồng ý cho Bên B thuê mặt bằng kinh doanh tại địa chỉ </w:t>
      </w:r>
      <w:r>
        <w:rPr>
          <w:rFonts w:ascii="Times New Roman" w:hAnsi="Times New Roman" w:eastAsia="Times New Roman"/>
          <w:b/>
          <w:sz w:val="25"/>
        </w:rPr>
        <w:t>{{property.fullAddress}}</w:t>
      </w:r>
      <w:r>
        <w:rPr>
          <w:rFonts w:ascii="Times New Roman" w:hAnsi="Times New Roman" w:eastAsia="Times New Roman"/>
          <w:sz w:val="25"/>
        </w:rPr>
        <w:t xml:space="preserve">, mã gian/ki-ốt </w:t>
      </w:r>
      <w:r>
        <w:rPr>
          <w:rFonts w:ascii="Times New Roman" w:hAnsi="Times New Roman" w:eastAsia="Times New Roman"/>
          <w:b/>
          <w:sz w:val="25"/>
        </w:rPr>
        <w:t>{{property.unitNumber}}</w:t>
      </w:r>
      <w:r>
        <w:rPr>
          <w:rFonts w:ascii="Times New Roman" w:hAnsi="Times New Roman" w:eastAsia="Times New Roman"/>
          <w:sz w:val="25"/>
        </w:rPr>
        <w:t xml:space="preserve">, diện tích kinh doanh </w:t>
      </w:r>
      <w:r>
        <w:rPr>
          <w:rFonts w:ascii="Times New Roman" w:hAnsi="Times New Roman" w:eastAsia="Times New Roman"/>
          <w:b/>
          <w:sz w:val="25"/>
        </w:rPr>
        <w:t>{{property.areaText}}</w:t>
      </w:r>
      <w:r>
        <w:rPr>
          <w:rFonts w:ascii="Times New Roman" w:hAnsi="Times New Roman" w:eastAsia="Times New Roman"/>
          <w:sz w:val="25"/>
        </w:rPr>
        <w:t xml:space="preserve">, loại hình </w:t>
      </w:r>
      <w:r>
        <w:rPr>
          <w:rFonts w:ascii="Times New Roman" w:hAnsi="Times New Roman" w:eastAsia="Times New Roman"/>
          <w:b/>
          <w:sz w:val="25"/>
        </w:rPr>
        <w:t>{{property.propertyType}}</w:t>
      </w:r>
      <w:r>
        <w:rPr>
          <w:rFonts w:ascii="Times New Roman" w:hAnsi="Times New Roman" w:eastAsia="Times New Roman"/>
          <w:sz w:val="25"/>
        </w:rPr>
        <w:t>.</w:t>
      </w:r>
    </w:p>
    <w:p>
      <w:pPr>
        <w:spacing w:after="60" w:line="259" w:lineRule="auto"/>
        <w:ind w:firstLine="425"/>
      </w:pPr>
      <w:r>
        <w:rPr>
          <w:rFonts w:ascii="Times New Roman" w:hAnsi="Times New Roman" w:eastAsia="Times New Roman"/>
          <w:sz w:val="25"/>
        </w:rPr>
        <w:t>1.2. Bên A cam kết có quyền hợp pháp để cho thuê Mặt bằng; Mặt bằng không thuộc trường hợp bị cấm giao dịch, bị kê biên hoặc đang bị đình chỉ giao dịch theo quyết định có hiệu lực của cơ quan có thẩm quyền. Khi pháp luật về kinh doanh bất động sản áp dụng, Bên A có trách nhiệm đáp ứng và công khai các điều kiện, thông tin bắt buộc đối với công trình xây dựng có sẵn.</w:t>
      </w:r>
    </w:p>
    <w:p>
      <w:pPr>
        <w:spacing w:after="60" w:line="259" w:lineRule="auto"/>
        <w:ind w:firstLine="425"/>
      </w:pPr>
      <w:r>
        <w:rPr>
          <w:rFonts w:ascii="Times New Roman" w:hAnsi="Times New Roman" w:eastAsia="Times New Roman"/>
          <w:sz w:val="25"/>
        </w:rPr>
        <w:t>1.3. Bên B chỉ được sử dụng Mặt bằng để thực hiện ngành, nghề kinh doanh hợp pháp, phù hợp công năng của công trình, đăng ký kinh doanh và các giấy phép chuyên ngành có liên quan. Nghiêm cấm kinh doanh hàng hóa, dịch vụ bị cấm; lưu giữ chất cấm, chất nguy hiểm trái phép; thực hiện hoạt động gây ô nhiễm, tiếng ồn, mùi, rung hoặc rủi ro cháy nổ vượt giới hạn pháp luật và quy định của khu vực.</w:t>
      </w:r>
    </w:p>
    <w:p>
      <w:pPr>
        <w:spacing w:after="60" w:line="259" w:lineRule="auto"/>
        <w:ind w:firstLine="425"/>
      </w:pPr>
      <w:r>
        <w:rPr>
          <w:rFonts w:ascii="Times New Roman" w:hAnsi="Times New Roman" w:eastAsia="Times New Roman"/>
          <w:sz w:val="25"/>
        </w:rPr>
        <w:t>1.4. Bên B không được chuyển nhượng Hợp đồng, cho thuê lại toàn bộ hoặc một phần Mặt bằng, cho bên thứ ba sử dụng độc lập hoặc thay đổi mục đích sử dụng nếu chưa có chấp thuận trước bằng văn bản hoặc phương thức điện tử có thể lưu trữ, truy xuất của Bên A, trừ trường hợp pháp luật có quy định khác.</w:t>
      </w:r>
    </w:p>
    <w:p>
      <w:pPr>
        <w:pStyle w:val="Heading1"/>
        <w:ind w:firstLine="0"/>
        <w:jc w:val="left"/>
      </w:pPr>
      <w:r>
        <w:rPr>
          <w:rFonts w:ascii="Times New Roman" w:hAnsi="Times New Roman" w:eastAsia="Times New Roman"/>
          <w:b/>
          <w:sz w:val="26"/>
        </w:rPr>
        <w:t>ĐIỀU 2. THỜI HẠN THUÊ, BÀN GIAO VÀ THỜI GIAN FIT-OUT</w:t>
      </w:r>
    </w:p>
    <w:p>
      <w:pPr>
        <w:spacing w:after="60" w:line="259" w:lineRule="auto"/>
        <w:ind w:firstLine="425"/>
      </w:pPr>
      <w:r>
        <w:rPr>
          <w:rFonts w:ascii="Times New Roman" w:hAnsi="Times New Roman" w:eastAsia="Times New Roman"/>
          <w:sz w:val="25"/>
        </w:rPr>
        <w:t xml:space="preserve">2.1. Thời hạn thuê từ ngày </w:t>
      </w:r>
      <w:r>
        <w:rPr>
          <w:rFonts w:ascii="Times New Roman" w:hAnsi="Times New Roman" w:eastAsia="Times New Roman"/>
          <w:b/>
          <w:sz w:val="25"/>
        </w:rPr>
        <w:t>{{lease.startDateText}}</w:t>
      </w:r>
      <w:r>
        <w:rPr>
          <w:rFonts w:ascii="Times New Roman" w:hAnsi="Times New Roman" w:eastAsia="Times New Roman"/>
          <w:sz w:val="25"/>
        </w:rPr>
        <w:t xml:space="preserve"> đến ngày </w:t>
      </w:r>
      <w:r>
        <w:rPr>
          <w:rFonts w:ascii="Times New Roman" w:hAnsi="Times New Roman" w:eastAsia="Times New Roman"/>
          <w:b/>
          <w:sz w:val="25"/>
        </w:rPr>
        <w:t>{{lease.endDateText}}</w:t>
      </w:r>
      <w:r>
        <w:rPr>
          <w:rFonts w:ascii="Times New Roman" w:hAnsi="Times New Roman" w:eastAsia="Times New Roman"/>
          <w:sz w:val="25"/>
        </w:rPr>
        <w:t xml:space="preserve">, tương ứng </w:t>
      </w:r>
      <w:r>
        <w:rPr>
          <w:rFonts w:ascii="Times New Roman" w:hAnsi="Times New Roman" w:eastAsia="Times New Roman"/>
          <w:b/>
          <w:sz w:val="25"/>
        </w:rPr>
        <w:t>{{lease.durationText}}</w:t>
      </w:r>
      <w:r>
        <w:rPr>
          <w:rFonts w:ascii="Times New Roman" w:hAnsi="Times New Roman" w:eastAsia="Times New Roman"/>
          <w:sz w:val="25"/>
        </w:rPr>
        <w:t xml:space="preserve"> - </w:t>
      </w:r>
      <w:r>
        <w:rPr>
          <w:rFonts w:ascii="Times New Roman" w:hAnsi="Times New Roman" w:eastAsia="Times New Roman"/>
          <w:b/>
          <w:sz w:val="25"/>
        </w:rPr>
        <w:t>{{lease.durationMonths}}</w:t>
      </w:r>
      <w:r>
        <w:rPr>
          <w:rFonts w:ascii="Times New Roman" w:hAnsi="Times New Roman" w:eastAsia="Times New Roman"/>
          <w:sz w:val="25"/>
        </w:rPr>
        <w:t xml:space="preserve"> tháng.</w:t>
      </w:r>
    </w:p>
    <w:p>
      <w:pPr>
        <w:spacing w:after="60" w:line="259" w:lineRule="auto"/>
        <w:ind w:firstLine="425"/>
      </w:pPr>
      <w:r>
        <w:rPr>
          <w:rFonts w:ascii="Times New Roman" w:hAnsi="Times New Roman" w:eastAsia="Times New Roman"/>
          <w:sz w:val="25"/>
        </w:rPr>
        <w:t xml:space="preserve">2.2. Ngày bàn giao Mặt bằng: </w:t>
      </w:r>
      <w:r>
        <w:rPr>
          <w:rFonts w:ascii="Times New Roman" w:hAnsi="Times New Roman" w:eastAsia="Times New Roman"/>
          <w:b/>
          <w:sz w:val="25"/>
        </w:rPr>
        <w:t>{{lease.handoverDateText}}</w:t>
      </w:r>
      <w:r>
        <w:rPr>
          <w:rFonts w:ascii="Times New Roman" w:hAnsi="Times New Roman" w:eastAsia="Times New Roman"/>
          <w:sz w:val="25"/>
        </w:rPr>
        <w:t>. Việc bàn giao phải ghi nhận hiện trạng, chìa khóa/thẻ ra vào (nếu có), chỉ số công tơ và tài sản bàn giao theo Điều 4 Hợp đồng.</w:t>
      </w:r>
    </w:p>
    <w:p>
      <w:pPr>
        <w:spacing w:after="60" w:line="259" w:lineRule="auto"/>
        <w:ind w:firstLine="425"/>
      </w:pPr>
      <w:r>
        <w:rPr>
          <w:rFonts w:ascii="Times New Roman" w:hAnsi="Times New Roman" w:eastAsia="Times New Roman"/>
          <w:sz w:val="25"/>
        </w:rPr>
        <w:t xml:space="preserve">2.3. Thời gian cải tạo, lắp đặt (fit-out) được xác định từ ngày bàn giao </w:t>
      </w:r>
      <w:r>
        <w:rPr>
          <w:rFonts w:ascii="Times New Roman" w:hAnsi="Times New Roman" w:eastAsia="Times New Roman"/>
          <w:b/>
          <w:sz w:val="25"/>
        </w:rPr>
        <w:t>{{lease.handoverDateText}}</w:t>
      </w:r>
      <w:r>
        <w:rPr>
          <w:rFonts w:ascii="Times New Roman" w:hAnsi="Times New Roman" w:eastAsia="Times New Roman"/>
          <w:sz w:val="25"/>
        </w:rPr>
        <w:t xml:space="preserve"> đến hết ngày liền trước ngày bắt đầu thời hạn thuê </w:t>
      </w:r>
      <w:r>
        <w:rPr>
          <w:rFonts w:ascii="Times New Roman" w:hAnsi="Times New Roman" w:eastAsia="Times New Roman"/>
          <w:b/>
          <w:sz w:val="25"/>
        </w:rPr>
        <w:t>{{lease.startDateText}}</w:t>
      </w:r>
      <w:r>
        <w:rPr>
          <w:rFonts w:ascii="Times New Roman" w:hAnsi="Times New Roman" w:eastAsia="Times New Roman"/>
          <w:sz w:val="25"/>
        </w:rPr>
        <w:t>. Trong khoảng thời gian này, Bên B được miễn tiền thuê Mặt bằng; các chi phí điện, nước, dịch vụ, bảo vệ, vận chuyển vật tư và chi phí phát sinh do việc fit-out vẫn do Bên B thanh toán theo mức áp dụng thực tế, trừ khi Bảng biểu phí quy định khác. Nếu ngày bàn giao trùng hoặc sau ngày bắt đầu thuê thì thời gian miễn tiền thuê theo khoản này bằng 0, trừ thỏa thuận khác bằng văn bản.</w:t>
      </w:r>
    </w:p>
    <w:p>
      <w:pPr>
        <w:spacing w:after="60" w:line="259" w:lineRule="auto"/>
        <w:ind w:firstLine="425"/>
      </w:pPr>
      <w:r>
        <w:rPr>
          <w:rFonts w:ascii="Times New Roman" w:hAnsi="Times New Roman" w:eastAsia="Times New Roman"/>
          <w:sz w:val="25"/>
        </w:rPr>
        <w:t>2.4. Bên A phải tạo điều kiện hợp lý cho Bên B tiếp cận Mặt bằng trong thời gian fit-out. Mọi hạng mục tác động đến kết cấu chịu lực, mặt ngoài, hệ thống điện tổng, cấp thoát nước chính, hệ thống PCCC, lối thoát nạn hoặc tài sản chung chỉ được thực hiện sau khi có chấp thuận cần thiết của Bên A và cơ quan/đơn vị có thẩm quyền theo pháp luật.</w:t>
      </w:r>
    </w:p>
    <w:p>
      <w:pPr>
        <w:spacing w:after="60" w:line="259" w:lineRule="auto"/>
        <w:ind w:firstLine="425"/>
      </w:pPr>
      <w:r>
        <w:rPr>
          <w:rFonts w:ascii="Times New Roman" w:hAnsi="Times New Roman" w:eastAsia="Times New Roman"/>
          <w:sz w:val="25"/>
        </w:rPr>
        <w:t>2.5. Nếu Bên A chậm bàn giao do lỗi của mình, Bên B không phải trả tiền thuê cho thời gian chưa được nhận và sử dụng Mặt bằng; Bên A phải khắc phục, đồng thời bồi thường thiệt hại trực tiếp, hợp lý và có chứng từ do việc chậm bàn giao gây ra nếu đủ điều kiện theo pháp luật.</w:t>
      </w:r>
    </w:p>
    <w:p>
      <w:pPr>
        <w:pStyle w:val="Heading1"/>
        <w:ind w:firstLine="0"/>
        <w:jc w:val="left"/>
      </w:pPr>
      <w:r>
        <w:rPr>
          <w:rFonts w:ascii="Times New Roman" w:hAnsi="Times New Roman" w:eastAsia="Times New Roman"/>
          <w:b/>
          <w:sz w:val="26"/>
        </w:rPr>
        <w:t>ĐIỀU 3. GIÁ THUÊ, THANH TOÁN, CHI PHÍ VÀ TIỀN ĐẶT CỌC</w:t>
      </w:r>
    </w:p>
    <w:p>
      <w:pPr>
        <w:spacing w:after="60" w:line="259" w:lineRule="auto"/>
        <w:ind w:firstLine="425"/>
      </w:pPr>
      <w:r>
        <w:rPr>
          <w:rFonts w:ascii="Times New Roman" w:hAnsi="Times New Roman" w:eastAsia="Times New Roman"/>
          <w:sz w:val="25"/>
        </w:rPr>
        <w:t xml:space="preserve">3.1. Đơn giá thuê: </w:t>
      </w:r>
      <w:r>
        <w:rPr>
          <w:rFonts w:ascii="Times New Roman" w:hAnsi="Times New Roman" w:eastAsia="Times New Roman"/>
          <w:b/>
          <w:sz w:val="25"/>
        </w:rPr>
        <w:t>{{rent.amountNumber}}</w:t>
      </w:r>
      <w:r>
        <w:rPr>
          <w:rFonts w:ascii="Times New Roman" w:hAnsi="Times New Roman" w:eastAsia="Times New Roman"/>
          <w:sz w:val="25"/>
        </w:rPr>
        <w:t xml:space="preserve"> (bằng chữ: </w:t>
      </w:r>
      <w:r>
        <w:rPr>
          <w:rFonts w:ascii="Times New Roman" w:hAnsi="Times New Roman" w:eastAsia="Times New Roman"/>
          <w:b/>
          <w:sz w:val="25"/>
        </w:rPr>
        <w:t>{{rent.amountWords}}</w:t>
      </w:r>
      <w:r>
        <w:rPr>
          <w:rFonts w:ascii="Times New Roman" w:hAnsi="Times New Roman" w:eastAsia="Times New Roman"/>
          <w:sz w:val="25"/>
        </w:rPr>
        <w:t xml:space="preserve">). Kỳ thanh toán: </w:t>
      </w:r>
      <w:r>
        <w:rPr>
          <w:rFonts w:ascii="Times New Roman" w:hAnsi="Times New Roman" w:eastAsia="Times New Roman"/>
          <w:b/>
          <w:sz w:val="25"/>
        </w:rPr>
        <w:t>{{rent.paymentCycle}}</w:t>
      </w:r>
      <w:r>
        <w:rPr>
          <w:rFonts w:ascii="Times New Roman" w:hAnsi="Times New Roman" w:eastAsia="Times New Roman"/>
          <w:sz w:val="25"/>
        </w:rPr>
        <w:t xml:space="preserve">; hạn thanh toán: </w:t>
      </w:r>
      <w:r>
        <w:rPr>
          <w:rFonts w:ascii="Times New Roman" w:hAnsi="Times New Roman" w:eastAsia="Times New Roman"/>
          <w:b/>
          <w:sz w:val="25"/>
        </w:rPr>
        <w:t>{{rent.paymentDueDay}}</w:t>
      </w:r>
      <w:r>
        <w:rPr>
          <w:rFonts w:ascii="Times New Roman" w:hAnsi="Times New Roman" w:eastAsia="Times New Roman"/>
          <w:sz w:val="25"/>
        </w:rPr>
        <w:t xml:space="preserve">; hình thức thanh toán: </w:t>
      </w:r>
      <w:r>
        <w:rPr>
          <w:rFonts w:ascii="Times New Roman" w:hAnsi="Times New Roman" w:eastAsia="Times New Roman"/>
          <w:b/>
          <w:sz w:val="25"/>
        </w:rPr>
        <w:t>{{rent.paymentMethod}}</w:t>
      </w:r>
      <w:r>
        <w:rPr>
          <w:rFonts w:ascii="Times New Roman" w:hAnsi="Times New Roman" w:eastAsia="Times New Roman"/>
          <w:sz w:val="25"/>
        </w:rPr>
        <w:t>.</w:t>
      </w:r>
    </w:p>
    <w:p>
      <w:pPr>
        <w:spacing w:after="60" w:line="259" w:lineRule="auto"/>
        <w:ind w:firstLine="425"/>
      </w:pPr>
      <w:r>
        <w:rPr>
          <w:rFonts w:ascii="Times New Roman" w:hAnsi="Times New Roman" w:eastAsia="Times New Roman"/>
          <w:sz w:val="25"/>
        </w:rPr>
        <w:t xml:space="preserve">3.2. Bên B thanh toán vào tài khoản của Bên A nêu tại phần thông tin các bên hoặc theo phương thức </w:t>
      </w:r>
      <w:r>
        <w:rPr>
          <w:rFonts w:ascii="Times New Roman" w:hAnsi="Times New Roman" w:eastAsia="Times New Roman"/>
          <w:b/>
          <w:sz w:val="25"/>
        </w:rPr>
        <w:t>{{rent.paymentMethod}}</w:t>
      </w:r>
      <w:r>
        <w:rPr>
          <w:rFonts w:ascii="Times New Roman" w:hAnsi="Times New Roman" w:eastAsia="Times New Roman"/>
          <w:sz w:val="25"/>
        </w:rPr>
        <w:t>. Việc thay đổi tài khoản nhận tiền chỉ có hiệu lực khi Bên A thông báo bằng văn bản/phương thức điện tử có thể xác minh; Bên B không chịu trách nhiệm đối với thanh toán đúng thông tin đã được Bên A xác nhận gần nhất.</w:t>
      </w:r>
    </w:p>
    <w:p>
      <w:pPr>
        <w:spacing w:after="60" w:line="259" w:lineRule="auto"/>
        <w:ind w:firstLine="425"/>
      </w:pPr>
      <w:r>
        <w:rPr>
          <w:rFonts w:ascii="Times New Roman" w:hAnsi="Times New Roman" w:eastAsia="Times New Roman"/>
          <w:sz w:val="25"/>
        </w:rPr>
        <w:t xml:space="preserve">3.3. Tiền đặt cọc bảo đảm thực hiện Hợp đồng: </w:t>
      </w:r>
      <w:r>
        <w:rPr>
          <w:rFonts w:ascii="Times New Roman" w:hAnsi="Times New Roman" w:eastAsia="Times New Roman"/>
          <w:b/>
          <w:sz w:val="25"/>
        </w:rPr>
        <w:t>{{deposit.amountNumber}}</w:t>
      </w:r>
      <w:r>
        <w:rPr>
          <w:rFonts w:ascii="Times New Roman" w:hAnsi="Times New Roman" w:eastAsia="Times New Roman"/>
          <w:sz w:val="25"/>
        </w:rPr>
        <w:t xml:space="preserve"> (bằng chữ: </w:t>
      </w:r>
      <w:r>
        <w:rPr>
          <w:rFonts w:ascii="Times New Roman" w:hAnsi="Times New Roman" w:eastAsia="Times New Roman"/>
          <w:b/>
          <w:sz w:val="25"/>
        </w:rPr>
        <w:t>{{deposit.amountWords}}</w:t>
      </w:r>
      <w:r>
        <w:rPr>
          <w:rFonts w:ascii="Times New Roman" w:hAnsi="Times New Roman" w:eastAsia="Times New Roman"/>
          <w:sz w:val="25"/>
        </w:rPr>
        <w:t xml:space="preserve">). Việc quản lý, khấu trừ, hoàn trả hoặc xử lý tiền cọc thực hiện theo thỏa thuận: </w:t>
      </w:r>
      <w:r>
        <w:rPr>
          <w:rFonts w:ascii="Times New Roman" w:hAnsi="Times New Roman" w:eastAsia="Times New Roman"/>
          <w:b/>
          <w:sz w:val="25"/>
        </w:rPr>
        <w:t>{{deposit.description}}</w:t>
      </w:r>
      <w:r>
        <w:rPr>
          <w:rFonts w:ascii="Times New Roman" w:hAnsi="Times New Roman" w:eastAsia="Times New Roman"/>
          <w:sz w:val="25"/>
        </w:rPr>
        <w:t xml:space="preserve"> và Điều 9 Hợp đồng này.</w:t>
      </w:r>
    </w:p>
    <w:p>
      <w:pPr>
        <w:spacing w:after="60" w:line="259" w:lineRule="auto"/>
        <w:ind w:firstLine="425"/>
      </w:pPr>
      <w:r>
        <w:rPr>
          <w:rFonts w:ascii="Times New Roman" w:hAnsi="Times New Roman" w:eastAsia="Times New Roman"/>
          <w:sz w:val="25"/>
        </w:rPr>
        <w:t>3.4. Các khoản phí dịch vụ chung, hạ tầng, vệ sinh, bảo vệ, điện, nước hoặc chi phí liên quan (nếu có) được xác định tại Bảng biểu phí dưới đây. Bên A không được tự ý đặt thêm khoản thu ngoài Hợp đồng/Bảng biểu phí nếu không có căn cứ pháp luật hoặc thỏa thuận bổ sung hợp lệ của Bên B.</w:t>
      </w:r>
    </w:p>
    <w:p>
      <w:pPr>
        <w:spacing w:before="80" w:after="80"/>
        <w:jc w:val="center"/>
      </w:pPr>
      <w:r>
        <w:rPr>
          <w:rFonts w:ascii="Times New Roman" w:hAnsi="Times New Roman" w:eastAsia="Times New Roman"/>
          <w:b/>
          <w:sz w:val="25"/>
        </w:rPr>
        <w:t>{{#chargesTable}}</w:t>
      </w:r>
    </w:p>
    <w:p>
      <w:pPr>
        <w:spacing w:after="100"/>
        <w:jc w:val="center"/>
      </w:pPr>
      <w:r>
        <w:rPr>
          <w:rFonts w:ascii="Times New Roman" w:hAnsi="Times New Roman" w:eastAsia="Times New Roman"/>
          <w:i/>
          <w:sz w:val="20"/>
        </w:rPr>
        <w:t>Bảng biểu phí dịch vụ chung, chi phí hạ tầng (do hệ thống HomeSpace tự sinh)</w:t>
      </w:r>
    </w:p>
    <w:p>
      <w:pPr>
        <w:spacing w:after="60" w:line="259" w:lineRule="auto"/>
        <w:ind w:firstLine="425"/>
      </w:pPr>
      <w:r>
        <w:rPr>
          <w:rFonts w:ascii="Times New Roman" w:hAnsi="Times New Roman" w:eastAsia="Times New Roman"/>
          <w:sz w:val="25"/>
        </w:rPr>
        <w:t>3.5. Nghĩa vụ kê khai, xuất hóa đơn, nộp thuế, phí, lệ phí đối với khoản tiền thuê được thực hiện bởi chủ thể có nghĩa vụ theo pháp luật thuế và tư cách pháp lý thực tế của các bên. Không điều khoản nào trong Hợp đồng được hiểu là chuyển nghĩa vụ thuế bắt buộc của một bên sang bên kia nếu pháp luật không cho phép.</w:t>
      </w:r>
    </w:p>
    <w:p>
      <w:pPr>
        <w:pStyle w:val="Heading1"/>
        <w:ind w:firstLine="0"/>
        <w:jc w:val="left"/>
      </w:pPr>
      <w:r>
        <w:rPr>
          <w:rFonts w:ascii="Times New Roman" w:hAnsi="Times New Roman" w:eastAsia="Times New Roman"/>
          <w:b/>
          <w:sz w:val="26"/>
        </w:rPr>
        <w:t>ĐIỀU 4. BÀN GIAO, KIỂM KÊ, CẢI TẠO VÀ TÀI SẢN GẮN VỚI MẶT BẰNG</w:t>
      </w:r>
    </w:p>
    <w:p>
      <w:pPr>
        <w:spacing w:after="60" w:line="259" w:lineRule="auto"/>
        <w:ind w:firstLine="425"/>
      </w:pPr>
      <w:r>
        <w:rPr>
          <w:rFonts w:ascii="Times New Roman" w:hAnsi="Times New Roman" w:eastAsia="Times New Roman"/>
          <w:sz w:val="25"/>
        </w:rPr>
        <w:t xml:space="preserve">4.1. Tại thời điểm bàn giao, chỉ số đồng hồ điện là </w:t>
      </w:r>
      <w:r>
        <w:rPr>
          <w:rFonts w:ascii="Times New Roman" w:hAnsi="Times New Roman" w:eastAsia="Times New Roman"/>
          <w:b/>
          <w:sz w:val="25"/>
        </w:rPr>
        <w:t>{{meters.electricityInitial}}</w:t>
      </w:r>
      <w:r>
        <w:rPr>
          <w:rFonts w:ascii="Times New Roman" w:hAnsi="Times New Roman" w:eastAsia="Times New Roman"/>
          <w:sz w:val="25"/>
        </w:rPr>
        <w:t xml:space="preserve"> và chỉ số đồng hồ nước là </w:t>
      </w:r>
      <w:r>
        <w:rPr>
          <w:rFonts w:ascii="Times New Roman" w:hAnsi="Times New Roman" w:eastAsia="Times New Roman"/>
          <w:b/>
          <w:sz w:val="25"/>
        </w:rPr>
        <w:t>{{meters.waterInitial}}</w:t>
      </w:r>
      <w:r>
        <w:rPr>
          <w:rFonts w:ascii="Times New Roman" w:hAnsi="Times New Roman" w:eastAsia="Times New Roman"/>
          <w:sz w:val="25"/>
        </w:rPr>
        <w:t>.</w:t>
      </w:r>
    </w:p>
    <w:p>
      <w:pPr>
        <w:spacing w:after="60" w:line="259" w:lineRule="auto"/>
        <w:ind w:firstLine="425"/>
      </w:pPr>
      <w:r>
        <w:rPr>
          <w:rFonts w:ascii="Times New Roman" w:hAnsi="Times New Roman" w:eastAsia="Times New Roman"/>
          <w:sz w:val="25"/>
        </w:rPr>
        <w:t>4.2. Hiện trạng Mặt bằng, mức độ hoàn thiện, thiết bị, tài sản và các hạng mục được bàn giao được ghi nhận tại Bảng kiểm kê sau; bảng này là bộ phận không tách rời của Hợp đồng.</w:t>
      </w:r>
    </w:p>
    <w:p>
      <w:pPr>
        <w:spacing w:before="80" w:after="80"/>
        <w:jc w:val="center"/>
      </w:pPr>
      <w:r>
        <w:rPr>
          <w:rFonts w:ascii="Times New Roman" w:hAnsi="Times New Roman" w:eastAsia="Times New Roman"/>
          <w:b/>
          <w:sz w:val="25"/>
        </w:rPr>
        <w:t>{{#equipmentTable}}</w:t>
      </w:r>
    </w:p>
    <w:p>
      <w:pPr>
        <w:spacing w:after="100"/>
        <w:jc w:val="center"/>
      </w:pPr>
      <w:r>
        <w:rPr>
          <w:rFonts w:ascii="Times New Roman" w:hAnsi="Times New Roman" w:eastAsia="Times New Roman"/>
          <w:i/>
          <w:sz w:val="20"/>
        </w:rPr>
        <w:t>Bảng biên bản kiểm kê hiện trạng mặt bằng bàn giao (do hệ thống HomeSpace tự sinh)</w:t>
      </w:r>
    </w:p>
    <w:p>
      <w:pPr>
        <w:spacing w:after="60" w:line="259" w:lineRule="auto"/>
        <w:ind w:firstLine="425"/>
      </w:pPr>
      <w:r>
        <w:rPr>
          <w:rFonts w:ascii="Times New Roman" w:hAnsi="Times New Roman" w:eastAsia="Times New Roman"/>
          <w:sz w:val="25"/>
        </w:rPr>
        <w:t>4.3. Bên B được quyền lắp đặt nội thất, quầy kệ, thiết bị, hệ thống nhận diện thương hiệu và hạng mục fit-out phục vụ kinh doanh trong phạm vi Mặt bằng, với điều kiện tuân thủ hồ sơ kỹ thuật, tải trọng, an toàn điện, PCCC, môi trường, quy định quản lý tòa nhà/khu thương mại (nếu có) và không làm giảm khả năng chịu lực hoặc công năng an toàn của công trình.</w:t>
      </w:r>
    </w:p>
    <w:p>
      <w:pPr>
        <w:spacing w:after="60" w:line="259" w:lineRule="auto"/>
        <w:ind w:firstLine="425"/>
      </w:pPr>
      <w:r>
        <w:rPr>
          <w:rFonts w:ascii="Times New Roman" w:hAnsi="Times New Roman" w:eastAsia="Times New Roman"/>
          <w:sz w:val="25"/>
        </w:rPr>
        <w:t>4.4. Bên B không được tự ý đục phá kết cấu, dầm, cột, sàn chịu lực; thay đổi mặt ngoài, đấu nối trái phép vào điện tổng/cấp thoát nước chính; di chuyển hoặc vô hiệu hóa đầu báo, sprinkler, họng nước, cửa chống cháy, đèn thoát nạn hoặc thiết bị PCCC. Mọi thay đổi thuộc các nhóm này phải có chấp thuận trước của Bên A và phê duyệt/chấp thuận chuyên ngành khi pháp luật yêu cầu.</w:t>
      </w:r>
    </w:p>
    <w:p>
      <w:pPr>
        <w:spacing w:after="60" w:line="259" w:lineRule="auto"/>
        <w:ind w:firstLine="425"/>
      </w:pPr>
      <w:r>
        <w:rPr>
          <w:rFonts w:ascii="Times New Roman" w:hAnsi="Times New Roman" w:eastAsia="Times New Roman"/>
          <w:sz w:val="25"/>
        </w:rPr>
        <w:t>4.5. Tài sản, thiết bị và hạng mục fit-out do Bên B tự đầu tư thuộc quyền của Bên B, trừ phần được hai bên thống nhất chuyển giao. Khi Hợp đồng chấm dứt, Bên B được tháo dỡ tài sản của mình nhưng phải khôi phục các hư hỏng do tháo dỡ và hoàn trả Mặt bằng theo hiện trạng bàn giao có tính đến hao mòn tự nhiên, trừ hạng mục Bên A đồng ý tiếp nhận bằng văn bản.</w:t>
      </w:r>
    </w:p>
    <w:p>
      <w:pPr>
        <w:pStyle w:val="Heading1"/>
        <w:ind w:firstLine="0"/>
        <w:jc w:val="left"/>
      </w:pPr>
      <w:r>
        <w:rPr>
          <w:rFonts w:ascii="Times New Roman" w:hAnsi="Times New Roman" w:eastAsia="Times New Roman"/>
          <w:b/>
          <w:sz w:val="26"/>
        </w:rPr>
        <w:t>ĐIỀU 5. QUYỀN VÀ NGHĨA VỤ CỦA BÊN A</w:t>
      </w:r>
    </w:p>
    <w:p>
      <w:pPr>
        <w:spacing w:after="60" w:line="259" w:lineRule="auto"/>
        <w:ind w:firstLine="425"/>
      </w:pPr>
      <w:r>
        <w:rPr>
          <w:rFonts w:ascii="Times New Roman" w:hAnsi="Times New Roman" w:eastAsia="Times New Roman"/>
          <w:sz w:val="25"/>
        </w:rPr>
        <w:t>5.1. Bàn giao Mặt bằng đúng thời hạn, hiện trạng đã cam kết; bảo đảm Bên B được sử dụng ổn định, liên tục và yên ổn trong suốt thời hạn thuê, trừ trường hợp cần can thiệp vì an toàn, sự cố khẩn cấp hoặc quyết định của cơ quan nhà nước có thẩm quyền.</w:t>
      </w:r>
    </w:p>
    <w:p>
      <w:pPr>
        <w:spacing w:after="60" w:line="259" w:lineRule="auto"/>
        <w:ind w:firstLine="425"/>
      </w:pPr>
      <w:r>
        <w:rPr>
          <w:rFonts w:ascii="Times New Roman" w:hAnsi="Times New Roman" w:eastAsia="Times New Roman"/>
          <w:sz w:val="25"/>
        </w:rPr>
        <w:t>5.2. Duy trì và sửa chữa các hạng mục thuộc kết cấu chính, mái, tường chịu lực, hệ thống kỹ thuật chung và các hư hỏng không do lỗi của Bên B, trong phạm vi trách nhiệm của chủ sở hữu/chủ thể quản lý công trình. Khi sửa chữa ảnh hưởng đáng kể đến hoạt động kinh doanh, Bên A phải thông báo sớm và phối hợp giảm thiểu gián đoạn.</w:t>
      </w:r>
    </w:p>
    <w:p>
      <w:pPr>
        <w:spacing w:after="60" w:line="259" w:lineRule="auto"/>
        <w:ind w:firstLine="425"/>
      </w:pPr>
      <w:r>
        <w:rPr>
          <w:rFonts w:ascii="Times New Roman" w:hAnsi="Times New Roman" w:eastAsia="Times New Roman"/>
          <w:sz w:val="25"/>
        </w:rPr>
        <w:t>5.3. Không tự ý khóa cửa, cản trở lối vào, cắt điện/nước, tháo biển hiệu hoặc chiếm giữ hàng hóa, thiết bị của Bên B để tự xử lý vi phạm, trừ trường hợp cấp thiết nhằm ngăn ngừa nguy hiểm tức thời hoặc thực hiện quyết định hợp pháp của cơ quan có thẩm quyền.</w:t>
      </w:r>
    </w:p>
    <w:p>
      <w:pPr>
        <w:spacing w:after="60" w:line="259" w:lineRule="auto"/>
        <w:ind w:firstLine="425"/>
      </w:pPr>
      <w:r>
        <w:rPr>
          <w:rFonts w:ascii="Times New Roman" w:hAnsi="Times New Roman" w:eastAsia="Times New Roman"/>
          <w:sz w:val="25"/>
        </w:rPr>
        <w:t>5.4. Được kiểm tra hiện trạng Mặt bằng khi cần thiết nhưng phải thông báo trước ít nhất 24 giờ, thực hiện trong thời gian hợp lý và hạn chế ảnh hưởng đến khách hàng, doanh thu, bí mật kinh doanh của Bên B; không cần báo trước trong trường hợp cháy, rò rỉ nước, sự cố điện, nguy cơ mất an toàn hoặc tình huống khẩn cấp khác.</w:t>
      </w:r>
    </w:p>
    <w:p>
      <w:pPr>
        <w:spacing w:after="60" w:line="259" w:lineRule="auto"/>
        <w:ind w:firstLine="425"/>
      </w:pPr>
      <w:r>
        <w:rPr>
          <w:rFonts w:ascii="Times New Roman" w:hAnsi="Times New Roman" w:eastAsia="Times New Roman"/>
          <w:sz w:val="25"/>
        </w:rPr>
        <w:t>5.5. Cung cấp, phối hợp cung cấp giấy tờ về quyền cho thuê, hiện trạng pháp lý công trình và tài liệu thuộc trách nhiệm của Bên A khi cơ quan có thẩm quyền yêu cầu hợp lý để Bên B thực hiện thủ tục kinh doanh tại Mặt bằng.</w:t>
      </w:r>
    </w:p>
    <w:p>
      <w:pPr>
        <w:spacing w:after="60" w:line="259" w:lineRule="auto"/>
        <w:ind w:firstLine="425"/>
      </w:pPr>
      <w:r>
        <w:rPr>
          <w:rFonts w:ascii="Times New Roman" w:hAnsi="Times New Roman" w:eastAsia="Times New Roman"/>
          <w:sz w:val="25"/>
        </w:rPr>
        <w:t>5.6. Không đơn phương thu hồi Mặt bằng trước hạn trái Hợp đồng. Trường hợp chuyển nhượng quyền sở hữu/quyền khai thác Mặt bằng cho bên thứ ba, Bên A phải thông báo và thực hiện các biện pháp hợp pháp cần thiết nhằm bảo đảm tính liên tục của Hợp đồng hoặc chịu trách nhiệm theo Điều 9 nếu làm Bên B mất quyền sử dụng Mặt bằng trước hạn.</w:t>
      </w:r>
    </w:p>
    <w:p>
      <w:pPr>
        <w:pStyle w:val="Heading1"/>
        <w:ind w:firstLine="0"/>
        <w:jc w:val="left"/>
      </w:pPr>
      <w:r>
        <w:rPr>
          <w:rFonts w:ascii="Times New Roman" w:hAnsi="Times New Roman" w:eastAsia="Times New Roman"/>
          <w:b/>
          <w:sz w:val="26"/>
        </w:rPr>
        <w:t>ĐIỀU 6. QUYỀN VÀ NGHĨA VỤ CỦA BÊN B</w:t>
      </w:r>
    </w:p>
    <w:p>
      <w:pPr>
        <w:spacing w:after="60" w:line="259" w:lineRule="auto"/>
        <w:ind w:firstLine="425"/>
      </w:pPr>
      <w:r>
        <w:rPr>
          <w:rFonts w:ascii="Times New Roman" w:hAnsi="Times New Roman" w:eastAsia="Times New Roman"/>
          <w:sz w:val="25"/>
        </w:rPr>
        <w:t>6.1. Thanh toán đầy đủ, đúng hạn tiền thuê và các khoản hợp lệ khác; sử dụng Mặt bằng đúng mục đích; bảo quản tài sản thuê và bồi thường hư hỏng do lỗi của mình, nhân viên, nhà thầu, khách hàng hoặc người do mình cho phép vào Mặt bằng.</w:t>
      </w:r>
    </w:p>
    <w:p>
      <w:pPr>
        <w:spacing w:after="60" w:line="259" w:lineRule="auto"/>
        <w:ind w:firstLine="425"/>
      </w:pPr>
      <w:r>
        <w:rPr>
          <w:rFonts w:ascii="Times New Roman" w:hAnsi="Times New Roman" w:eastAsia="Times New Roman"/>
          <w:sz w:val="25"/>
        </w:rPr>
        <w:t>6.2. Tự thực hiện và chịu chi phí đối với đăng ký doanh nghiệp/hộ kinh doanh, giấy phép kinh doanh, giấy phép chuyên ngành, điều kiện an toàn thực phẩm, môi trường và các chấp thuận khác gắn với ngành nghề của Bên B. Bên A có trách nhiệm hợp tác trong phần hồ sơ thuộc quyền sở hữu/quản lý của Bên A.</w:t>
      </w:r>
    </w:p>
    <w:p>
      <w:pPr>
        <w:spacing w:after="60" w:line="259" w:lineRule="auto"/>
        <w:ind w:firstLine="425"/>
      </w:pPr>
      <w:r>
        <w:rPr>
          <w:rFonts w:ascii="Times New Roman" w:hAnsi="Times New Roman" w:eastAsia="Times New Roman"/>
          <w:sz w:val="25"/>
        </w:rPr>
        <w:t>6.3. Tự tổ chức và chịu trách nhiệm đối với các điều kiện PCCC phát sinh từ hoạt động, hàng hóa, thiết bị, bố trí mặt bằng và hạng mục fit-out của Bên B; thực hiện thẩm định/thẩm duyệt, kiểm tra, nghiệm thu hoặc thủ tục PCCC đối với cơ sở/hạng mục của mình khi pháp luật yêu cầu. Trách nhiệm này không loại trừ nghĩa vụ PCCC thuộc chủ sở hữu, người quản lý công trình hoặc Bên A theo pháp luật.</w:t>
      </w:r>
    </w:p>
    <w:p>
      <w:pPr>
        <w:spacing w:after="60" w:line="259" w:lineRule="auto"/>
        <w:ind w:firstLine="425"/>
      </w:pPr>
      <w:r>
        <w:rPr>
          <w:rFonts w:ascii="Times New Roman" w:hAnsi="Times New Roman" w:eastAsia="Times New Roman"/>
          <w:sz w:val="25"/>
        </w:rPr>
        <w:t>6.4. Không che chắn, khóa, thu hẹp lối thoát nạn; không tự ý thay đổi hệ thống PCCC; không câu mắc điện quá tải, sử dụng nguồn lửa/nguồn nhiệt, tồn chứa vật tư dễ cháy nổ trái quy định; duy trì khoảng cách và điều kiện an toàn theo hồ sơ, tiêu chuẩn, quy chuẩn áp dụng.</w:t>
      </w:r>
    </w:p>
    <w:p>
      <w:pPr>
        <w:spacing w:after="60" w:line="259" w:lineRule="auto"/>
        <w:ind w:firstLine="425"/>
      </w:pPr>
      <w:r>
        <w:rPr>
          <w:rFonts w:ascii="Times New Roman" w:hAnsi="Times New Roman" w:eastAsia="Times New Roman"/>
          <w:sz w:val="25"/>
        </w:rPr>
        <w:t>6.5. Chấp hành quy định về an ninh, trật tự, vệ sinh môi trường, giờ hoạt động và quản lý khu thương mại/tòa nhà (nếu có), với điều kiện các quy định nội bộ được Bên A cung cấp hoặc công khai hợp lý và không trái pháp luật/Hợp đồng.</w:t>
      </w:r>
    </w:p>
    <w:p>
      <w:pPr>
        <w:spacing w:after="60" w:line="259" w:lineRule="auto"/>
        <w:ind w:firstLine="425"/>
      </w:pPr>
      <w:r>
        <w:rPr>
          <w:rFonts w:ascii="Times New Roman" w:hAnsi="Times New Roman" w:eastAsia="Times New Roman"/>
          <w:sz w:val="25"/>
        </w:rPr>
        <w:t>6.6. Được yêu cầu Bên A sửa chữa hư hỏng không do lỗi của Bên B; được yêu cầu bồi thường thiệt hại do lỗi của Bên A; được tạm ngừng hoặc đơn phương chấm dứt Hợp đồng trong các trường hợp quy định tại Điều 9 và Điều 10.</w:t>
      </w:r>
    </w:p>
    <w:p>
      <w:pPr>
        <w:pStyle w:val="Heading1"/>
        <w:ind w:firstLine="0"/>
        <w:jc w:val="left"/>
      </w:pPr>
      <w:r>
        <w:rPr>
          <w:rFonts w:ascii="Times New Roman" w:hAnsi="Times New Roman" w:eastAsia="Times New Roman"/>
          <w:b/>
          <w:sz w:val="26"/>
        </w:rPr>
        <w:t>ĐIỀU 7. BIỂN HIỆU, QUẢNG CÁO VÀ NHẬN DIỆN THƯƠNG HIỆU</w:t>
      </w:r>
    </w:p>
    <w:p>
      <w:pPr>
        <w:spacing w:after="60" w:line="259" w:lineRule="auto"/>
        <w:ind w:firstLine="425"/>
      </w:pPr>
      <w:r>
        <w:rPr>
          <w:rFonts w:ascii="Times New Roman" w:hAnsi="Times New Roman" w:eastAsia="Times New Roman"/>
          <w:sz w:val="25"/>
        </w:rPr>
        <w:t>7.1. Bên B được lắp đặt biển hiệu, logo, hộp đèn và hình thức nhận diện thương hiệu tại vị trí thuộc phạm vi sử dụng hợp pháp của Mặt bằng, sau khi thống nhất phương án kỹ thuật với Bên A nếu việc lắp đặt tác động đến mặt tiền, kết cấu, phần sở hữu/sử dụng chung hoặc hệ thống điện chung.</w:t>
      </w:r>
    </w:p>
    <w:p>
      <w:pPr>
        <w:spacing w:after="60" w:line="259" w:lineRule="auto"/>
        <w:ind w:firstLine="425"/>
      </w:pPr>
      <w:r>
        <w:rPr>
          <w:rFonts w:ascii="Times New Roman" w:hAnsi="Times New Roman" w:eastAsia="Times New Roman"/>
          <w:sz w:val="25"/>
        </w:rPr>
        <w:t>7.2. Biển hiệu phải đúng tên cơ sở kinh doanh và nội dung bắt buộc theo pháp luật quảng cáo. Theo quy định về biển hiệu hiện hành, biển ngang có chiều cao tối đa 2 m và chiều dài không vượt quá chiều ngang mặt tiền; biển dọc có chiều ngang tối đa 1 m, chiều cao tối đa 4 m và không vượt quá chiều cao tầng nhà nơi đặt biển, trừ trường hợp pháp luật được sửa đổi hoặc quy chuẩn/địa phương có yêu cầu chặt chẽ hơn.</w:t>
      </w:r>
    </w:p>
    <w:p>
      <w:pPr>
        <w:spacing w:after="60" w:line="259" w:lineRule="auto"/>
        <w:ind w:firstLine="425"/>
      </w:pPr>
      <w:r>
        <w:rPr>
          <w:rFonts w:ascii="Times New Roman" w:hAnsi="Times New Roman" w:eastAsia="Times New Roman"/>
          <w:sz w:val="25"/>
        </w:rPr>
        <w:t>7.3. Biển hiệu/quảng cáo không được che cửa sổ thoát nạn, không gian thoát hiểm, thiết bị chữa cháy; không lấn chiếm vỉa hè, lòng đường hoặc gây mất an toàn giao thông. Bên B chịu trách nhiệm thực hiện thủ tục thông báo, xin phép hoặc chấp thuận đối với sản phẩm quảng cáo thuộc diện pháp luật yêu cầu.</w:t>
      </w:r>
    </w:p>
    <w:p>
      <w:pPr>
        <w:spacing w:after="60" w:line="259" w:lineRule="auto"/>
        <w:ind w:firstLine="425"/>
      </w:pPr>
      <w:r>
        <w:rPr>
          <w:rFonts w:ascii="Times New Roman" w:hAnsi="Times New Roman" w:eastAsia="Times New Roman"/>
          <w:sz w:val="25"/>
        </w:rPr>
        <w:t>7.4. Khi chấm dứt Hợp đồng, Bên B tháo dỡ biển hiệu và hoàn trả bề mặt lắp đặt, trừ khi Bên A đồng ý tiếp nhận. Bên A không được tự ý tháo hoặc che biển hiệu hợp pháp của Bên B trong thời hạn thuê, ngoại trừ trường hợp khẩn cấp hoặc theo yêu cầu của cơ quan có thẩm quyền.</w:t>
      </w:r>
    </w:p>
    <w:p>
      <w:pPr>
        <w:pStyle w:val="Heading1"/>
        <w:ind w:firstLine="0"/>
        <w:jc w:val="left"/>
      </w:pPr>
      <w:r>
        <w:rPr>
          <w:rFonts w:ascii="Times New Roman" w:hAnsi="Times New Roman" w:eastAsia="Times New Roman"/>
          <w:b/>
          <w:sz w:val="26"/>
        </w:rPr>
        <w:t>ĐIỀU 8. BẢO ĐẢM TÍNH LIÊN TỤC TRONG KINH DOANH</w:t>
      </w:r>
    </w:p>
    <w:p>
      <w:pPr>
        <w:spacing w:after="60" w:line="259" w:lineRule="auto"/>
        <w:ind w:firstLine="425"/>
      </w:pPr>
      <w:r>
        <w:rPr>
          <w:rFonts w:ascii="Times New Roman" w:hAnsi="Times New Roman" w:eastAsia="Times New Roman"/>
          <w:sz w:val="25"/>
        </w:rPr>
        <w:t>8.1. Các bên thừa nhận tính liên tục của hoạt động kinh doanh là mục tiêu trọng yếu của Hợp đồng. Bên A phải hợp tác hợp lý để duy trì lối tiếp cận Mặt bằng, điện, nước và hạ tầng do Bên A kiểm soát, trừ thời gian bảo trì có thông báo, sự cố bất khả kháng, tình trạng khẩn cấp hoặc yêu cầu của cơ quan có thẩm quyền.</w:t>
      </w:r>
    </w:p>
    <w:p>
      <w:pPr>
        <w:spacing w:after="60" w:line="259" w:lineRule="auto"/>
        <w:ind w:firstLine="425"/>
      </w:pPr>
      <w:r>
        <w:rPr>
          <w:rFonts w:ascii="Times New Roman" w:hAnsi="Times New Roman" w:eastAsia="Times New Roman"/>
          <w:sz w:val="25"/>
        </w:rPr>
        <w:t>8.2. Nếu Mặt bằng không thể sử dụng toàn bộ cho mục đích kinh doanh trong thời gian liên tục trên 48 giờ do lỗi của Bên A hoặc do hư hỏng thuộc trách nhiệm sửa chữa của Bên A mà Bên A không khắc phục trong thời hạn hợp lý sau khi nhận thông báo, tiền thuê của thời gian không thể sử dụng được giảm tương ứng với mức độ và thời gian mất khả năng khai thác. Quyền yêu cầu bồi thường của Bên B được bảo lưu nếu có thiệt hại đủ điều kiện.</w:t>
      </w:r>
    </w:p>
    <w:p>
      <w:pPr>
        <w:spacing w:after="60" w:line="259" w:lineRule="auto"/>
        <w:ind w:firstLine="425"/>
      </w:pPr>
      <w:r>
        <w:rPr>
          <w:rFonts w:ascii="Times New Roman" w:hAnsi="Times New Roman" w:eastAsia="Times New Roman"/>
          <w:sz w:val="25"/>
        </w:rPr>
        <w:t>8.3. Việc bảo trì có kế hoạch của hệ thống chung mà Bên A kiểm soát phải được thông báo cho Bên B sớm nhất có thể; Bên A ưu tiên bố trí ngoài giờ cao điểm kinh doanh khi điều kiện kỹ thuật cho phép.</w:t>
      </w:r>
    </w:p>
    <w:p>
      <w:pPr>
        <w:spacing w:after="60" w:line="259" w:lineRule="auto"/>
        <w:ind w:firstLine="425"/>
      </w:pPr>
      <w:r>
        <w:rPr>
          <w:rFonts w:ascii="Times New Roman" w:hAnsi="Times New Roman" w:eastAsia="Times New Roman"/>
          <w:sz w:val="25"/>
        </w:rPr>
        <w:t>8.4. Bên B không được lợi dụng điều khoản bảo đảm hoạt động liên tục để cản trở việc xử lý sự cố, kiểm tra an toàn, chữa cháy, cứu nạn, thi hành quyết định của cơ quan nhà nước hoặc sửa chữa khẩn cấp.</w:t>
      </w:r>
    </w:p>
    <w:p>
      <w:pPr>
        <w:pStyle w:val="Heading1"/>
        <w:ind w:firstLine="0"/>
        <w:jc w:val="left"/>
      </w:pPr>
      <w:r>
        <w:rPr>
          <w:rFonts w:ascii="Times New Roman" w:hAnsi="Times New Roman" w:eastAsia="Times New Roman"/>
          <w:b/>
          <w:sz w:val="26"/>
        </w:rPr>
        <w:t>ĐIỀU 9. VI PHẠM HỢP ĐỒNG, PHẠT VI PHẠM, BỒI THƯỜNG VÀ XỬ LÝ TIỀN CỌC</w:t>
      </w:r>
    </w:p>
    <w:p>
      <w:pPr>
        <w:spacing w:after="60" w:line="259" w:lineRule="auto"/>
        <w:ind w:firstLine="425"/>
      </w:pPr>
      <w:r>
        <w:rPr>
          <w:rFonts w:ascii="Times New Roman" w:hAnsi="Times New Roman" w:eastAsia="Times New Roman"/>
          <w:sz w:val="25"/>
        </w:rPr>
        <w:t>9.1. Bên vi phạm phải chấm dứt hành vi vi phạm, khắc phục hậu quả và bồi thường thiệt hại thực tế, trực tiếp, hợp lý, có quan hệ nhân quả với hành vi vi phạm và được chứng minh theo pháp luật. Thiệt hại có thể bao gồm chi phí hợp lý để ngăn chặn, hạn chế, khắc phục thiệt hại và các khoản khác được pháp luật công nhận.</w:t>
      </w:r>
    </w:p>
    <w:p>
      <w:pPr>
        <w:spacing w:after="60" w:line="259" w:lineRule="auto"/>
        <w:ind w:firstLine="425"/>
      </w:pPr>
      <w:r>
        <w:rPr>
          <w:rFonts w:ascii="Times New Roman" w:hAnsi="Times New Roman" w:eastAsia="Times New Roman"/>
          <w:sz w:val="25"/>
        </w:rPr>
        <w:t>9.2. Trường hợp Bên B chậm thanh toán, Bên A có quyền yêu cầu thanh toán khoản nợ và lãi chậm trả theo thỏa thuận hợp pháp hoặc theo pháp luật; việc chậm thanh toán không mặc nhiên cho phép Bên A khóa cửa, cắt tiện ích hoặc chiếm giữ hàng hóa của Bên B trái pháp luật.</w:t>
      </w:r>
    </w:p>
    <w:p>
      <w:pPr>
        <w:spacing w:after="60" w:line="259" w:lineRule="auto"/>
        <w:ind w:firstLine="425"/>
      </w:pPr>
      <w:r>
        <w:rPr>
          <w:rFonts w:ascii="Times New Roman" w:hAnsi="Times New Roman" w:eastAsia="Times New Roman"/>
          <w:sz w:val="25"/>
        </w:rPr>
        <w:t xml:space="preserve">9.3. Nếu Bên A đơn phương thu hồi Mặt bằng trước hạn không thuộc trường hợp được Hợp đồng hoặc pháp luật cho phép, Bên A phải: (i) hoàn trả toàn bộ tiền đặt cọc còn phải hoàn; (ii) hoàn trả tiền thuê và phí Bên B đã trả trước tương ứng thời gian chưa sử dụng; (iii) bồi thường chi phí fit-out chưa thu hồi hợp lý, chi phí di dời và thiệt hại kinh doanh trực tiếp, có chứng từ và đủ điều kiện pháp luật; và (iv) chịu khoản phạt vi phạm tương đương số tiền đặt cọc </w:t>
      </w:r>
      <w:r>
        <w:rPr>
          <w:rFonts w:ascii="Times New Roman" w:hAnsi="Times New Roman" w:eastAsia="Times New Roman"/>
          <w:b/>
          <w:sz w:val="25"/>
        </w:rPr>
        <w:t>{{deposit.amountNumber}}</w:t>
      </w:r>
      <w:r>
        <w:rPr>
          <w:rFonts w:ascii="Times New Roman" w:hAnsi="Times New Roman" w:eastAsia="Times New Roman"/>
          <w:sz w:val="25"/>
        </w:rPr>
        <w:t>. Nếu quan hệ cụ thể thuộc phạm vi áp dụng mức trần phạt vi phạm bắt buộc của Luật Thương mại hoặc pháp luật chuyên ngành, khoản phạt tại điểm (iv) tự động được điều chỉnh xuống mức tối đa hợp pháp mà không làm mất quyền yêu cầu các khoản hoàn trả và bồi thường hợp pháp khác.</w:t>
      </w:r>
    </w:p>
    <w:p>
      <w:pPr>
        <w:spacing w:after="60" w:line="259" w:lineRule="auto"/>
        <w:ind w:firstLine="425"/>
      </w:pPr>
      <w:r>
        <w:rPr>
          <w:rFonts w:ascii="Times New Roman" w:hAnsi="Times New Roman" w:eastAsia="Times New Roman"/>
          <w:sz w:val="25"/>
        </w:rPr>
        <w:t xml:space="preserve">9.4. Nếu Bên B tự ý chấm dứt Hợp đồng trước hạn trái thỏa thuận, sử dụng Mặt bằng cho hoạt động bị cấm, cố ý gây hư hỏng nghiêm trọng hoặc không khắc phục vi phạm cơ bản sau thời hạn hợp lý được thông báo, Bên A có quyền xử lý tiền cọc theo </w:t>
      </w:r>
      <w:r>
        <w:rPr>
          <w:rFonts w:ascii="Times New Roman" w:hAnsi="Times New Roman" w:eastAsia="Times New Roman"/>
          <w:b/>
          <w:sz w:val="25"/>
        </w:rPr>
        <w:t>{{deposit.description}}</w:t>
      </w:r>
      <w:r>
        <w:rPr>
          <w:rFonts w:ascii="Times New Roman" w:hAnsi="Times New Roman" w:eastAsia="Times New Roman"/>
          <w:sz w:val="25"/>
        </w:rPr>
        <w:t>, khấu trừ các khoản nợ và thiệt hại có căn cứ; phần tiền cọc còn lại, nếu có, phải được hoàn trả cho Bên B.</w:t>
      </w:r>
    </w:p>
    <w:p>
      <w:pPr>
        <w:spacing w:after="60" w:line="259" w:lineRule="auto"/>
        <w:ind w:firstLine="425"/>
      </w:pPr>
      <w:r>
        <w:rPr>
          <w:rFonts w:ascii="Times New Roman" w:hAnsi="Times New Roman" w:eastAsia="Times New Roman"/>
          <w:sz w:val="25"/>
        </w:rPr>
        <w:t>9.5. Mọi khoản khấu trừ từ tiền cọc phải được Bên A thông báo kèm căn cứ tính toán, chứng từ hoặc mô tả thiệt hại. Hao mòn tự nhiên do sử dụng đúng công năng không được coi là hư hỏng để khấu trừ cọc.</w:t>
      </w:r>
    </w:p>
    <w:p>
      <w:pPr>
        <w:pStyle w:val="Heading1"/>
        <w:ind w:firstLine="0"/>
        <w:jc w:val="left"/>
      </w:pPr>
      <w:r>
        <w:rPr>
          <w:rFonts w:ascii="Times New Roman" w:hAnsi="Times New Roman" w:eastAsia="Times New Roman"/>
          <w:b/>
          <w:sz w:val="26"/>
        </w:rPr>
        <w:t>ĐIỀU 10. TẠM NGỪNG, ĐƠN PHƯƠNG CHẤM DỨT VÀ THANH LÝ</w:t>
      </w:r>
    </w:p>
    <w:p>
      <w:pPr>
        <w:spacing w:after="60" w:line="259" w:lineRule="auto"/>
        <w:ind w:firstLine="425"/>
      </w:pPr>
      <w:r>
        <w:rPr>
          <w:rFonts w:ascii="Times New Roman" w:hAnsi="Times New Roman" w:eastAsia="Times New Roman"/>
          <w:sz w:val="25"/>
        </w:rPr>
        <w:t>10.1. Một bên có quyền yêu cầu bên kia khắc phục vi phạm trong thời hạn hợp lý. Đối với vi phạm có thể khắc phục nhưng ảnh hưởng đáng kể đến quyền lợi bên kia, thời hạn khắc phục mặc định là 05 ngày làm việc kể từ khi nhận thông báo, trừ trường hợp cần thời gian dài hơn vì lý do kỹ thuật hợp lý hoặc pháp luật quy định khác.</w:t>
      </w:r>
    </w:p>
    <w:p>
      <w:pPr>
        <w:spacing w:after="60" w:line="259" w:lineRule="auto"/>
        <w:ind w:firstLine="425"/>
      </w:pPr>
      <w:r>
        <w:rPr>
          <w:rFonts w:ascii="Times New Roman" w:hAnsi="Times New Roman" w:eastAsia="Times New Roman"/>
          <w:sz w:val="25"/>
        </w:rPr>
        <w:t>10.2. Bên A có quyền đơn phương chấm dứt Hợp đồng khi Bên B: sử dụng Mặt bằng vào hoạt động bị pháp luật cấm; cố ý gây nguy cơ cháy nổ nghiêm trọng; tự ý phá hoại kết cấu; hoặc vi phạm nghĩa vụ thanh toán/vi phạm cơ bản khác và không khắc phục sau thông báo hợp lệ theo khoản 10.1, nếu pháp luật cho phép.</w:t>
      </w:r>
    </w:p>
    <w:p>
      <w:pPr>
        <w:spacing w:after="60" w:line="259" w:lineRule="auto"/>
        <w:ind w:firstLine="425"/>
      </w:pPr>
      <w:r>
        <w:rPr>
          <w:rFonts w:ascii="Times New Roman" w:hAnsi="Times New Roman" w:eastAsia="Times New Roman"/>
          <w:sz w:val="25"/>
        </w:rPr>
        <w:t>10.3. Bên B có quyền đơn phương chấm dứt Hợp đồng khi Bên A: không bàn giao hoặc không duy trì quyền sử dụng Mặt bằng theo cam kết; không sửa chữa hư hỏng làm Mặt bằng không bảo đảm an toàn; tăng giá trái thỏa thuận; cản trở hoạt động kinh doanh nghiêm trọng; quyền sử dụng Mặt bằng bị hạn chế bởi quyền của bên thứ ba; hoặc có vi phạm cơ bản khác không được khắc phục.</w:t>
      </w:r>
    </w:p>
    <w:p>
      <w:pPr>
        <w:spacing w:after="60" w:line="259" w:lineRule="auto"/>
        <w:ind w:firstLine="425"/>
      </w:pPr>
      <w:r>
        <w:rPr>
          <w:rFonts w:ascii="Times New Roman" w:hAnsi="Times New Roman" w:eastAsia="Times New Roman"/>
          <w:sz w:val="25"/>
        </w:rPr>
        <w:t>10.4. Trừ trường hợp vi phạm nghiêm trọng cần chấm dứt ngay để bảo đảm an toàn hoặc pháp luật có quy định khác, bên đơn phương chấm dứt phải thông báo trước ít nhất 30 ngày. Việc thanh toán, xử lý cọc và bồi thường thực hiện theo Điều 3, Điều 9 và pháp luật áp dụng.</w:t>
      </w:r>
    </w:p>
    <w:p>
      <w:pPr>
        <w:spacing w:after="60" w:line="259" w:lineRule="auto"/>
        <w:ind w:firstLine="425"/>
      </w:pPr>
      <w:r>
        <w:rPr>
          <w:rFonts w:ascii="Times New Roman" w:hAnsi="Times New Roman" w:eastAsia="Times New Roman"/>
          <w:sz w:val="25"/>
        </w:rPr>
        <w:t>10.5. Khi Hợp đồng chấm dứt, hai bên phối hợp đối chiếu công nợ, chỉ số điện/nước, kiểm kê hiện trạng, tháo dỡ tài sản thuộc Bên B và bàn giao lại Mặt bằng. Việc Bên B còn công nợ không cho phép Bên A tự ý chiếm giữ tài sản trái quy định; các bên thực hiện quyền bảo đảm, khởi kiện hoặc biện pháp pháp lý khác theo luật.</w:t>
      </w:r>
    </w:p>
    <w:p>
      <w:pPr>
        <w:pStyle w:val="Heading1"/>
        <w:ind w:firstLine="0"/>
        <w:jc w:val="left"/>
      </w:pPr>
      <w:r>
        <w:rPr>
          <w:rFonts w:ascii="Times New Roman" w:hAnsi="Times New Roman" w:eastAsia="Times New Roman"/>
          <w:b/>
          <w:sz w:val="26"/>
        </w:rPr>
        <w:t>ĐIỀU 11. SỰ KIỆN BẤT KHẢ KHÁNG, THAY ĐỔI PHÁP LUẬT VÀ GIẢI QUYẾT TRANH CHẤP</w:t>
      </w:r>
    </w:p>
    <w:p>
      <w:pPr>
        <w:spacing w:after="60" w:line="259" w:lineRule="auto"/>
        <w:ind w:firstLine="425"/>
      </w:pPr>
      <w:r>
        <w:rPr>
          <w:rFonts w:ascii="Times New Roman" w:hAnsi="Times New Roman" w:eastAsia="Times New Roman"/>
          <w:sz w:val="25"/>
        </w:rPr>
        <w:t>11.1. Bất khả kháng được hiểu theo Bộ luật Dân sự. Bên bị ảnh hưởng phải thông báo cho bên kia trong thời gian sớm nhất hợp lý, cung cấp thông tin về mức độ ảnh hưởng và áp dụng biện pháp cần thiết để hạn chế thiệt hại.</w:t>
      </w:r>
    </w:p>
    <w:p>
      <w:pPr>
        <w:spacing w:after="60" w:line="259" w:lineRule="auto"/>
        <w:ind w:firstLine="425"/>
      </w:pPr>
      <w:r>
        <w:rPr>
          <w:rFonts w:ascii="Times New Roman" w:hAnsi="Times New Roman" w:eastAsia="Times New Roman"/>
          <w:sz w:val="25"/>
        </w:rPr>
        <w:t>11.2. Nếu sự kiện bất khả kháng hoặc quyết định hợp pháp của cơ quan nhà nước làm Mặt bằng không thể khai thác trong thời gian đáng kể mà không do lỗi của bên nào, hai bên ưu tiên thương lượng điều chỉnh nghĩa vụ tiền thuê, thời hạn hoặc phương án tiếp tục Hợp đồng trên nguyên tắc cân bằng lợi ích và duy trì hoạt động nếu có thể.</w:t>
      </w:r>
    </w:p>
    <w:p>
      <w:pPr>
        <w:spacing w:after="60" w:line="259" w:lineRule="auto"/>
        <w:ind w:firstLine="425"/>
      </w:pPr>
      <w:r>
        <w:rPr>
          <w:rFonts w:ascii="Times New Roman" w:hAnsi="Times New Roman" w:eastAsia="Times New Roman"/>
          <w:sz w:val="25"/>
        </w:rPr>
        <w:t>11.3. Khi pháp luật, quy chuẩn bắt buộc thay đổi làm một điều khoản của Hợp đồng không còn phù hợp, điều khoản đó được giải thích/điều chỉnh trong phạm vi tối thiểu cần thiết để hợp pháp; các điều khoản còn lại vẫn có hiệu lực.</w:t>
      </w:r>
    </w:p>
    <w:p>
      <w:pPr>
        <w:spacing w:after="60" w:line="259" w:lineRule="auto"/>
        <w:ind w:firstLine="425"/>
      </w:pPr>
      <w:r>
        <w:rPr>
          <w:rFonts w:ascii="Times New Roman" w:hAnsi="Times New Roman" w:eastAsia="Times New Roman"/>
          <w:sz w:val="25"/>
        </w:rPr>
        <w:t>11.4. Tranh chấp trước hết được thương lượng thiện chí. Nếu không giải quyết được, tranh chấp được giải quyết tại Tòa án có thẩm quyền của Việt Nam, trừ khi các bên có thỏa thuận trọng tài hợp lệ bằng văn bản.</w:t>
      </w:r>
    </w:p>
    <w:p>
      <w:pPr>
        <w:pStyle w:val="Heading1"/>
        <w:ind w:firstLine="0"/>
        <w:jc w:val="left"/>
      </w:pPr>
      <w:r>
        <w:rPr>
          <w:rFonts w:ascii="Times New Roman" w:hAnsi="Times New Roman" w:eastAsia="Times New Roman"/>
          <w:b/>
          <w:sz w:val="26"/>
        </w:rPr>
        <w:t>ĐIỀU 12. HIỆU LỰC, THÔNG BÁO VÀ KÝ KẾT ĐIỆN TỬ</w:t>
      </w:r>
    </w:p>
    <w:p>
      <w:pPr>
        <w:spacing w:after="60" w:line="259" w:lineRule="auto"/>
        <w:ind w:firstLine="425"/>
      </w:pPr>
      <w:r>
        <w:rPr>
          <w:rFonts w:ascii="Times New Roman" w:hAnsi="Times New Roman" w:eastAsia="Times New Roman"/>
          <w:sz w:val="25"/>
        </w:rPr>
        <w:t>12.1. Hợp đồng có hiệu lực từ thời điểm các bên ký, trừ khi các bên có thỏa thuận khác phù hợp pháp luật. Phụ lục, biên bản bàn giao, Bảng biểu phí và Bảng kiểm kê được tạo kèm Hợp đồng là bộ phận không tách rời của Hợp đồng.</w:t>
      </w:r>
    </w:p>
    <w:p>
      <w:pPr>
        <w:spacing w:after="60" w:line="259" w:lineRule="auto"/>
        <w:ind w:firstLine="425"/>
      </w:pPr>
      <w:r>
        <w:rPr>
          <w:rFonts w:ascii="Times New Roman" w:hAnsi="Times New Roman" w:eastAsia="Times New Roman"/>
          <w:sz w:val="25"/>
        </w:rPr>
        <w:t>12.2. Thông báo liên quan đến Hợp đồng có thể được gửi đến số điện thoại, email đã đăng ký trong phần thông tin các bên hoặc qua chức năng thông báo của hệ thống HomeSpace nếu có khả năng lưu trữ, truy xuất và xác định được bên gửi/bên nhận. Bên thay đổi thông tin liên hệ phải chủ động thông báo; rủi ro do không thông báo thuộc bên thay đổi.</w:t>
      </w:r>
    </w:p>
    <w:p>
      <w:pPr>
        <w:spacing w:after="60" w:line="259" w:lineRule="auto"/>
        <w:ind w:firstLine="425"/>
      </w:pPr>
      <w:r>
        <w:rPr>
          <w:rFonts w:ascii="Times New Roman" w:hAnsi="Times New Roman" w:eastAsia="Times New Roman"/>
          <w:sz w:val="25"/>
        </w:rPr>
        <w:t>12.3. Các bên đồng ý Hợp đồng có thể được tạo lập, ký, xác nhận và lưu trữ dưới dạng điện tử theo pháp luật về giao dịch điện tử. Bản điện tử đáp ứng điều kiện pháp luật có giá trị sử dụng làm chứng cứ và giá trị pháp lý tương ứng với hình thức thể hiện.</w:t>
      </w:r>
    </w:p>
    <w:p>
      <w:pPr>
        <w:spacing w:after="60" w:line="259" w:lineRule="auto"/>
        <w:ind w:firstLine="425"/>
      </w:pPr>
      <w:r>
        <w:rPr>
          <w:rFonts w:ascii="Times New Roman" w:hAnsi="Times New Roman" w:eastAsia="Times New Roman"/>
          <w:sz w:val="25"/>
        </w:rPr>
        <w:t>12.4. Các bên xác nhận đã đọc, hiểu rõ quyền, nghĩa vụ, hậu quả pháp lý; thông tin cung cấp là trung thực; việc giao kết hoàn toàn tự nguyện, không bị lừa dối, ép buộc và không nhằm che giấu giao dịch trái pháp luật.</w:t>
      </w:r>
    </w:p>
    <w:p>
      <w:pPr>
        <w:spacing w:after="60" w:line="259" w:lineRule="auto"/>
        <w:ind w:firstLine="425"/>
      </w:pPr>
      <w:r>
        <w:rPr>
          <w:rFonts w:ascii="Times New Roman" w:hAnsi="Times New Roman" w:eastAsia="Times New Roman"/>
          <w:sz w:val="25"/>
        </w:rPr>
        <w:t>12.5. Hợp đồng được lập thành bản điện tử và/hoặc bản giấy có nội dung thống nhất. Trường hợp có khác biệt do lỗi hiển thị, các bên ưu tiên bản có thể xác minh được lịch sử ký/xác nhận và nội dung tại thời điểm giao kết hợp lệ.</w:t>
      </w:r>
    </w:p>
    <w:p>
      <w:pPr>
        <w:spacing w:before="200" w:after="60"/>
        <w:jc w:val="center"/>
      </w:pPr>
      <w:r>
        <w:rPr>
          <w:rFonts w:ascii="Times New Roman" w:hAnsi="Times New Roman" w:eastAsia="Times New Roman"/>
          <w:b/>
          <w:sz w:val="26"/>
        </w:rPr>
        <w:t>ĐẠI DIỆN CÁC BÊN KÝ/XÁC NHẬN</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center"/>
            <w:tcBorders>
              <w:top w:val="nil"/>
              <w:left w:val="nil"/>
              <w:bottom w:val="nil"/>
              <w:right w:val="nil"/>
              <w:insideH w:val="nil"/>
              <w:insideV w:val="nil"/>
            </w:tcBorders>
          </w:tcPr>
          <w:p>
            <w:pPr>
              <w:jc w:val="center"/>
            </w:pPr>
            <w:r>
              <w:rPr>
                <w:rFonts w:ascii="Times New Roman" w:hAnsi="Times New Roman" w:eastAsia="Times New Roman"/>
                <w:b/>
                <w:sz w:val="25"/>
              </w:rPr>
              <w:t>BÊN CHO THUÊ (BÊN A)</w:t>
            </w:r>
          </w:p>
        </w:tc>
        <w:tc>
          <w:tcPr>
            <w:tcW w:type="dxa" w:w="4535"/>
            <w:vAlign w:val="center"/>
            <w:tcBorders>
              <w:top w:val="nil"/>
              <w:left w:val="nil"/>
              <w:bottom w:val="nil"/>
              <w:right w:val="nil"/>
              <w:insideH w:val="nil"/>
              <w:insideV w:val="nil"/>
            </w:tcBorders>
          </w:tcPr>
          <w:p>
            <w:pPr>
              <w:jc w:val="center"/>
            </w:pPr>
            <w:r>
              <w:rPr>
                <w:rFonts w:ascii="Times New Roman" w:hAnsi="Times New Roman" w:eastAsia="Times New Roman"/>
                <w:b/>
                <w:sz w:val="25"/>
              </w:rPr>
              <w:t>BÊN THUÊ (BÊN B)</w:t>
            </w:r>
          </w:p>
        </w:tc>
      </w:tr>
      <w:tr>
        <w:trPr>
          <w:cantSplit/>
        </w:trPr>
        <w:tc>
          <w:tcPr>
            <w:tcW w:type="dxa" w:w="4535"/>
            <w:vAlign w:val="top"/>
            <w:tcBorders>
              <w:top w:val="nil"/>
              <w:left w:val="nil"/>
              <w:bottom w:val="nil"/>
              <w:right w:val="nil"/>
              <w:insideH w:val="nil"/>
              <w:insideV w:val="nil"/>
            </w:tcBorders>
          </w:tcPr>
          <w:p>
            <w:pPr>
              <w:spacing w:after="800"/>
              <w:jc w:val="center"/>
            </w:pPr>
            <w:r>
              <w:rPr>
                <w:rFonts w:ascii="Times New Roman" w:hAnsi="Times New Roman" w:eastAsia="Times New Roman"/>
                <w:i/>
                <w:sz w:val="21"/>
              </w:rPr>
              <w:t>Ký/xác nhận điện tử, ghi rõ họ tên</w:t>
            </w:r>
          </w:p>
          <w:p>
            <w:pPr>
              <w:jc w:val="center"/>
            </w:pPr>
            <w:r>
              <w:rPr>
                <w:rFonts w:ascii="Times New Roman" w:hAnsi="Times New Roman" w:eastAsia="Times New Roman"/>
                <w:b/>
                <w:sz w:val="23"/>
              </w:rPr>
              <w:t>{{landlord.fullName}}</w:t>
            </w:r>
          </w:p>
        </w:tc>
        <w:tc>
          <w:tcPr>
            <w:tcW w:type="dxa" w:w="4535"/>
            <w:vAlign w:val="top"/>
            <w:tcBorders>
              <w:top w:val="nil"/>
              <w:left w:val="nil"/>
              <w:bottom w:val="nil"/>
              <w:right w:val="nil"/>
              <w:insideH w:val="nil"/>
              <w:insideV w:val="nil"/>
            </w:tcBorders>
          </w:tcPr>
          <w:p>
            <w:pPr>
              <w:spacing w:after="800"/>
              <w:jc w:val="center"/>
            </w:pPr>
            <w:r>
              <w:rPr>
                <w:rFonts w:ascii="Times New Roman" w:hAnsi="Times New Roman" w:eastAsia="Times New Roman"/>
                <w:i/>
                <w:sz w:val="21"/>
              </w:rPr>
              <w:t>Ký/xác nhận điện tử, ghi rõ họ tên/chức vụ</w:t>
            </w:r>
          </w:p>
          <w:p>
            <w:pPr>
              <w:jc w:val="center"/>
            </w:pPr>
            <w:r>
              <w:rPr>
                <w:rFonts w:ascii="Times New Roman" w:hAnsi="Times New Roman" w:eastAsia="Times New Roman"/>
                <w:b/>
                <w:sz w:val="23"/>
              </w:rPr>
              <w:t>{{tenant.representativeName}}</w:t>
            </w:r>
            <w:r>
              <w:rPr>
                <w:rFonts w:ascii="Times New Roman" w:hAnsi="Times New Roman" w:eastAsia="Times New Roman"/>
                <w:b/>
                <w:sz w:val="23"/>
              </w:rPr>
              <w:t xml:space="preserve"> / </w:t>
            </w:r>
            <w:r>
              <w:rPr>
                <w:rFonts w:ascii="Times New Roman" w:hAnsi="Times New Roman" w:eastAsia="Times New Roman"/>
                <w:b/>
                <w:sz w:val="23"/>
              </w:rPr>
              <w:t>{{tenant.fullName}}</w:t>
            </w:r>
          </w:p>
        </w:tc>
      </w:tr>
    </w:tbl>
    <w:p>
      <w:pPr>
        <w:spacing w:before="160"/>
        <w:jc w:val="center"/>
      </w:pPr>
      <w:r>
        <w:rPr>
          <w:rFonts w:ascii="Times New Roman" w:hAnsi="Times New Roman" w:eastAsia="Times New Roman"/>
          <w:i/>
          <w:sz w:val="18"/>
        </w:rPr>
        <w:t>--- HẾT HỢP ĐỒNG ---</w:t>
      </w:r>
    </w:p>
    <w:sectPr w:rsidR="00FC693F" w:rsidRPr="0006063C" w:rsidSect="00034616">
      <w:headerReference w:type="default" r:id="rId9"/>
      <w:footerReference w:type="default" r:id="rId10"/>
      <w:pgSz w:w="11906" w:h="16838"/>
      <w:pgMar w:top="1020" w:right="1134" w:bottom="96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 xml:space="preserve">Hợp đồng số </w:t>
    </w:r>
    <w:r>
      <w:rPr>
        <w:rFonts w:ascii="Times New Roman" w:hAnsi="Times New Roman" w:eastAsia="Times New Roman"/>
        <w:b/>
        <w:sz w:val="16"/>
      </w:rPr>
      <w:t>{{contract.number}}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16"/>
      </w:rPr>
      <w:t>HOMESPACE - MẪU HỢP ĐỒNG THUÊ MẶT BẰNG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jc w:val="both"/>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