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sz w:val="25"/>
        </w:rPr>
        <w:t>CỘNG HÒA XÃ HỘI CHỦ NGHĨA VIỆT NAM</w:t>
      </w:r>
    </w:p>
    <w:p>
      <w:pPr>
        <w:spacing w:after="20"/>
        <w:jc w:val="center"/>
      </w:pPr>
      <w:r>
        <w:rPr>
          <w:rFonts w:ascii="Times New Roman" w:hAnsi="Times New Roman" w:eastAsia="Times New Roman"/>
          <w:b/>
          <w:sz w:val="24"/>
        </w:rPr>
        <w:t>Độc lập - Tự do - Hạnh phúc</w:t>
      </w:r>
    </w:p>
    <w:p>
      <w:pPr>
        <w:spacing w:after="100"/>
        <w:jc w:val="center"/>
      </w:pPr>
      <w:r>
        <w:rPr>
          <w:rFonts w:ascii="Times New Roman" w:hAnsi="Times New Roman" w:eastAsia="Times New Roman"/>
          <w:b w:val="0"/>
          <w:sz w:val="20"/>
        </w:rPr>
        <w:t>────────────</w:t>
      </w:r>
    </w:p>
    <w:p>
      <w:pPr>
        <w:spacing w:after="40"/>
        <w:jc w:val="center"/>
      </w:pPr>
      <w:r>
        <w:rPr>
          <w:rFonts w:ascii="Times New Roman" w:hAnsi="Times New Roman" w:eastAsia="Times New Roman"/>
          <w:b/>
          <w:sz w:val="30"/>
        </w:rPr>
        <w:t>HỢP ĐỒNG THUÊ PHÒNG TRỌ / CĂN HỘ DỊCH VỤ</w:t>
      </w:r>
    </w:p>
    <w:p>
      <w:pPr>
        <w:spacing w:after="140"/>
        <w:jc w:val="center"/>
      </w:pPr>
      <w:r>
        <w:rPr>
          <w:rFonts w:ascii="Times New Roman" w:hAnsi="Times New Roman" w:eastAsia="Times New Roman"/>
          <w:b/>
          <w:sz w:val="24"/>
        </w:rPr>
        <w:t>Số hợp đồng: {{contract.number}}</w:t>
      </w:r>
    </w:p>
    <w:p>
      <w:pPr>
        <w:spacing w:before="0" w:after="60"/>
        <w:ind w:left="0" w:firstLine="0"/>
        <w:jc w:val="both"/>
      </w:pPr>
      <w:r>
        <w:rPr>
          <w:rFonts w:ascii="Times New Roman" w:hAnsi="Times New Roman" w:eastAsia="Times New Roman"/>
          <w:sz w:val="24"/>
        </w:rPr>
        <w:t>Căn cứ Bộ luật Dân sự số 91/2015/QH13 ngày 24/11/2015, đặc biệt các quy định về hợp đồng thuê tài sản tại Điều 472 đến Điều 482;</w:t>
      </w:r>
    </w:p>
    <w:p>
      <w:pPr>
        <w:spacing w:before="0" w:after="60"/>
        <w:ind w:left="0" w:firstLine="0"/>
        <w:jc w:val="both"/>
      </w:pPr>
      <w:r>
        <w:rPr>
          <w:rFonts w:ascii="Times New Roman" w:hAnsi="Times New Roman" w:eastAsia="Times New Roman"/>
          <w:sz w:val="24"/>
        </w:rPr>
        <w:t>Căn cứ Luật Nhà ở số 27/2023/QH15 ngày 27/11/2023, có hiệu lực từ ngày 01/08/2024 theo Luật số 43/2024/QH15, trong đó Điều 57 quy định về phát triển nhà ở nhiều tầng nhiều căn hộ của cá nhân để bán, cho thuê mua, cho thuê trong trường hợp công trình thuộc phạm vi điều chỉnh;</w:t>
      </w:r>
    </w:p>
    <w:p>
      <w:pPr>
        <w:spacing w:before="0" w:after="60"/>
        <w:ind w:left="0" w:firstLine="0"/>
        <w:jc w:val="both"/>
      </w:pPr>
      <w:r>
        <w:rPr>
          <w:rFonts w:ascii="Times New Roman" w:hAnsi="Times New Roman" w:eastAsia="Times New Roman"/>
          <w:sz w:val="24"/>
        </w:rPr>
        <w:t>Căn cứ Luật Cư trú số 68/2020/QH14 ngày 13/11/2020 và các sửa đổi, bổ sung hiện hành, bao gồm quy định về đăng ký tạm trú và thông báo lưu trú;</w:t>
      </w:r>
    </w:p>
    <w:p>
      <w:pPr>
        <w:spacing w:before="0" w:after="60"/>
        <w:ind w:left="0" w:firstLine="0"/>
        <w:jc w:val="both"/>
      </w:pPr>
      <w:r>
        <w:rPr>
          <w:rFonts w:ascii="Times New Roman" w:hAnsi="Times New Roman" w:eastAsia="Times New Roman"/>
          <w:sz w:val="24"/>
        </w:rPr>
        <w:t>Căn cứ Luật Phòng cháy, chữa cháy và cứu nạn, cứu hộ số 55/2024/QH15, Nghị định số 105/2025/NĐ-CP và các quy định có liên quan về an toàn phòng cháy, chữa cháy;</w:t>
      </w:r>
    </w:p>
    <w:p>
      <w:pPr>
        <w:spacing w:before="0" w:after="60"/>
        <w:ind w:left="0" w:firstLine="0"/>
        <w:jc w:val="both"/>
      </w:pPr>
      <w:r>
        <w:rPr>
          <w:rFonts w:ascii="Times New Roman" w:hAnsi="Times New Roman" w:eastAsia="Times New Roman"/>
          <w:sz w:val="24"/>
        </w:rPr>
        <w:t>Căn cứ Chỉ thị số 19/CT-TTg ngày 24/06/2024 của Thủ tướng Chính phủ về tăng cường công tác phòng cháy, chữa cháy đối với nhà ở nhiều tầng, nhiều căn hộ, nhà ở riêng lẻ kết hợp sản xuất, kinh doanh và Kế hoạch số 320/KH-BCA-C07 ngày 05/07/2024 của Bộ Công an triển khai Chỉ thị này;</w:t>
      </w:r>
    </w:p>
    <w:p>
      <w:pPr>
        <w:spacing w:before="80" w:after="60"/>
        <w:ind w:left="0" w:firstLine="0"/>
        <w:jc w:val="both"/>
      </w:pPr>
      <w:r>
        <w:rPr>
          <w:rFonts w:ascii="Times New Roman" w:hAnsi="Times New Roman" w:eastAsia="Times New Roman"/>
          <w:b w:val="0"/>
          <w:sz w:val="24"/>
        </w:rPr>
        <w:t xml:space="preserve">Hôm nay, ngày </w:t>
      </w:r>
      <w:r>
        <w:rPr>
          <w:rFonts w:ascii="Times New Roman" w:hAnsi="Times New Roman" w:eastAsia="Times New Roman"/>
          <w:b/>
          <w:sz w:val="24"/>
        </w:rPr>
        <w:t>{{contract.signingDate}}</w:t>
      </w:r>
      <w:r>
        <w:rPr>
          <w:rFonts w:ascii="Times New Roman" w:hAnsi="Times New Roman" w:eastAsia="Times New Roman"/>
          <w:b w:val="0"/>
          <w:sz w:val="24"/>
        </w:rPr>
        <w:t xml:space="preserve">, tại </w:t>
      </w:r>
      <w:r>
        <w:rPr>
          <w:rFonts w:ascii="Times New Roman" w:hAnsi="Times New Roman" w:eastAsia="Times New Roman"/>
          <w:b/>
          <w:sz w:val="24"/>
        </w:rPr>
        <w:t>{{contract.signingCity}}</w:t>
      </w:r>
      <w:r>
        <w:rPr>
          <w:rFonts w:ascii="Times New Roman" w:hAnsi="Times New Roman" w:eastAsia="Times New Roman"/>
          <w:b w:val="0"/>
          <w:sz w:val="24"/>
        </w:rPr>
        <w:t>, các bên gồm:</w:t>
      </w:r>
    </w:p>
    <w:p>
      <w:pPr>
        <w:pStyle w:val="Subhead"/>
        <w:keepNext/>
      </w:pPr>
      <w:r>
        <w:rPr>
          <w:b/>
        </w:rPr>
        <w:t>BÊN CHO THUÊ - CHỦ TRỌ (BÊN A)</w:t>
      </w:r>
    </w:p>
    <w:p>
      <w:pPr>
        <w:spacing w:before="0" w:after="60"/>
        <w:ind w:left="0" w:firstLine="0"/>
        <w:jc w:val="both"/>
      </w:pPr>
      <w:r>
        <w:rPr>
          <w:rFonts w:ascii="Times New Roman" w:hAnsi="Times New Roman" w:eastAsia="Times New Roman"/>
          <w:b w:val="0"/>
          <w:sz w:val="24"/>
        </w:rPr>
        <w:t xml:space="preserve">Họ và tên: </w:t>
      </w:r>
      <w:r>
        <w:rPr>
          <w:rFonts w:ascii="Times New Roman" w:hAnsi="Times New Roman" w:eastAsia="Times New Roman"/>
          <w:b/>
          <w:sz w:val="24"/>
        </w:rPr>
        <w:t>{{landlord.fullName}}</w:t>
      </w:r>
    </w:p>
    <w:p>
      <w:pPr>
        <w:spacing w:before="0" w:after="60"/>
        <w:ind w:left="0" w:firstLine="0"/>
        <w:jc w:val="both"/>
      </w:pPr>
      <w:r>
        <w:rPr>
          <w:rFonts w:ascii="Times New Roman" w:hAnsi="Times New Roman" w:eastAsia="Times New Roman"/>
          <w:b w:val="0"/>
          <w:sz w:val="24"/>
        </w:rPr>
        <w:t xml:space="preserve">CCCD: </w:t>
      </w:r>
      <w:r>
        <w:rPr>
          <w:rFonts w:ascii="Times New Roman" w:hAnsi="Times New Roman" w:eastAsia="Times New Roman"/>
          <w:b/>
          <w:sz w:val="24"/>
        </w:rPr>
        <w:t>{{landlord.idNumber}}</w:t>
      </w:r>
      <w:r>
        <w:rPr>
          <w:rFonts w:ascii="Times New Roman" w:hAnsi="Times New Roman" w:eastAsia="Times New Roman"/>
          <w:b w:val="0"/>
          <w:sz w:val="24"/>
        </w:rPr>
        <w:t xml:space="preserve">  |  Ngày cấp: </w:t>
      </w:r>
      <w:r>
        <w:rPr>
          <w:rFonts w:ascii="Times New Roman" w:hAnsi="Times New Roman" w:eastAsia="Times New Roman"/>
          <w:b/>
          <w:sz w:val="24"/>
        </w:rPr>
        <w:t>{{landlord.idIssueDate}}</w:t>
      </w:r>
      <w:r>
        <w:rPr>
          <w:rFonts w:ascii="Times New Roman" w:hAnsi="Times New Roman" w:eastAsia="Times New Roman"/>
          <w:b w:val="0"/>
          <w:sz w:val="24"/>
        </w:rPr>
        <w:t xml:space="preserve">  |  Nơi cấp: </w:t>
      </w:r>
      <w:r>
        <w:rPr>
          <w:rFonts w:ascii="Times New Roman" w:hAnsi="Times New Roman" w:eastAsia="Times New Roman"/>
          <w:b/>
          <w:sz w:val="24"/>
        </w:rPr>
        <w:t>{{landlord.idIssuePlace}}</w:t>
      </w:r>
    </w:p>
    <w:p>
      <w:pPr>
        <w:spacing w:before="0" w:after="60"/>
        <w:ind w:left="0" w:firstLine="0"/>
        <w:jc w:val="both"/>
      </w:pPr>
      <w:r>
        <w:rPr>
          <w:rFonts w:ascii="Times New Roman" w:hAnsi="Times New Roman" w:eastAsia="Times New Roman"/>
          <w:b w:val="0"/>
          <w:sz w:val="24"/>
        </w:rPr>
        <w:t xml:space="preserve">Địa chỉ: </w:t>
      </w:r>
      <w:r>
        <w:rPr>
          <w:rFonts w:ascii="Times New Roman" w:hAnsi="Times New Roman" w:eastAsia="Times New Roman"/>
          <w:b/>
          <w:sz w:val="24"/>
        </w:rPr>
        <w:t>{{landlord.permanentAddress}}</w:t>
      </w:r>
    </w:p>
    <w:p>
      <w:pPr>
        <w:spacing w:before="0" w:after="60"/>
        <w:ind w:left="0" w:firstLine="0"/>
        <w:jc w:val="both"/>
      </w:pPr>
      <w:r>
        <w:rPr>
          <w:rFonts w:ascii="Times New Roman" w:hAnsi="Times New Roman" w:eastAsia="Times New Roman"/>
          <w:b w:val="0"/>
          <w:sz w:val="24"/>
        </w:rPr>
        <w:t xml:space="preserve">SĐT: </w:t>
      </w:r>
      <w:r>
        <w:rPr>
          <w:rFonts w:ascii="Times New Roman" w:hAnsi="Times New Roman" w:eastAsia="Times New Roman"/>
          <w:b/>
          <w:sz w:val="24"/>
        </w:rPr>
        <w:t>{{landlord.phone}}</w:t>
      </w:r>
      <w:r>
        <w:rPr>
          <w:rFonts w:ascii="Times New Roman" w:hAnsi="Times New Roman" w:eastAsia="Times New Roman"/>
          <w:b w:val="0"/>
          <w:sz w:val="24"/>
        </w:rPr>
        <w:t xml:space="preserve">  |  Email: </w:t>
      </w:r>
      <w:r>
        <w:rPr>
          <w:rFonts w:ascii="Times New Roman" w:hAnsi="Times New Roman" w:eastAsia="Times New Roman"/>
          <w:b/>
          <w:sz w:val="24"/>
        </w:rPr>
        <w:t>{{landlord.email}}</w:t>
      </w:r>
    </w:p>
    <w:p>
      <w:pPr>
        <w:spacing w:before="0" w:after="60"/>
        <w:ind w:left="0" w:firstLine="0"/>
        <w:jc w:val="both"/>
      </w:pPr>
      <w:r>
        <w:rPr>
          <w:rFonts w:ascii="Times New Roman" w:hAnsi="Times New Roman" w:eastAsia="Times New Roman"/>
          <w:b w:val="0"/>
          <w:sz w:val="24"/>
        </w:rPr>
        <w:t xml:space="preserve">STK: </w:t>
      </w:r>
      <w:r>
        <w:rPr>
          <w:rFonts w:ascii="Times New Roman" w:hAnsi="Times New Roman" w:eastAsia="Times New Roman"/>
          <w:b/>
          <w:sz w:val="24"/>
        </w:rPr>
        <w:t>{{landlord.bankAccount}}</w:t>
      </w:r>
      <w:r>
        <w:rPr>
          <w:rFonts w:ascii="Times New Roman" w:hAnsi="Times New Roman" w:eastAsia="Times New Roman"/>
          <w:b w:val="0"/>
          <w:sz w:val="24"/>
        </w:rPr>
        <w:t xml:space="preserve"> - Ngân hàng: </w:t>
      </w:r>
      <w:r>
        <w:rPr>
          <w:rFonts w:ascii="Times New Roman" w:hAnsi="Times New Roman" w:eastAsia="Times New Roman"/>
          <w:b/>
          <w:sz w:val="24"/>
        </w:rPr>
        <w:t>{{landlord.bankName}}</w:t>
      </w:r>
    </w:p>
    <w:p>
      <w:pPr>
        <w:pStyle w:val="Subhead"/>
        <w:keepNext/>
      </w:pPr>
      <w:r>
        <w:rPr>
          <w:b/>
        </w:rPr>
        <w:t>BÊN THUÊ (BÊN B)</w:t>
      </w:r>
    </w:p>
    <w:p>
      <w:pPr>
        <w:spacing w:before="0" w:after="60"/>
        <w:ind w:left="0" w:firstLine="0"/>
        <w:jc w:val="both"/>
      </w:pPr>
      <w:r>
        <w:rPr>
          <w:rFonts w:ascii="Times New Roman" w:hAnsi="Times New Roman" w:eastAsia="Times New Roman"/>
          <w:b w:val="0"/>
          <w:sz w:val="24"/>
        </w:rPr>
        <w:t xml:space="preserve">Họ và tên: </w:t>
      </w:r>
      <w:r>
        <w:rPr>
          <w:rFonts w:ascii="Times New Roman" w:hAnsi="Times New Roman" w:eastAsia="Times New Roman"/>
          <w:b/>
          <w:sz w:val="24"/>
        </w:rPr>
        <w:t>{{tenant.fullName}}</w:t>
      </w:r>
    </w:p>
    <w:p>
      <w:pPr>
        <w:spacing w:before="0" w:after="60"/>
        <w:ind w:left="0" w:firstLine="0"/>
        <w:jc w:val="both"/>
      </w:pPr>
      <w:r>
        <w:rPr>
          <w:rFonts w:ascii="Times New Roman" w:hAnsi="Times New Roman" w:eastAsia="Times New Roman"/>
          <w:b w:val="0"/>
          <w:sz w:val="24"/>
        </w:rPr>
        <w:t xml:space="preserve">CCCD: </w:t>
      </w:r>
      <w:r>
        <w:rPr>
          <w:rFonts w:ascii="Times New Roman" w:hAnsi="Times New Roman" w:eastAsia="Times New Roman"/>
          <w:b/>
          <w:sz w:val="24"/>
        </w:rPr>
        <w:t>{{tenant.idNumber}}</w:t>
      </w:r>
      <w:r>
        <w:rPr>
          <w:rFonts w:ascii="Times New Roman" w:hAnsi="Times New Roman" w:eastAsia="Times New Roman"/>
          <w:b w:val="0"/>
          <w:sz w:val="24"/>
        </w:rPr>
        <w:t xml:space="preserve">  |  Ngày cấp: </w:t>
      </w:r>
      <w:r>
        <w:rPr>
          <w:rFonts w:ascii="Times New Roman" w:hAnsi="Times New Roman" w:eastAsia="Times New Roman"/>
          <w:b/>
          <w:sz w:val="24"/>
        </w:rPr>
        <w:t>{{tenant.idIssueDate}}</w:t>
      </w:r>
      <w:r>
        <w:rPr>
          <w:rFonts w:ascii="Times New Roman" w:hAnsi="Times New Roman" w:eastAsia="Times New Roman"/>
          <w:b w:val="0"/>
          <w:sz w:val="24"/>
        </w:rPr>
        <w:t xml:space="preserve">  |  Nơi cấp: </w:t>
      </w:r>
      <w:r>
        <w:rPr>
          <w:rFonts w:ascii="Times New Roman" w:hAnsi="Times New Roman" w:eastAsia="Times New Roman"/>
          <w:b/>
          <w:sz w:val="24"/>
        </w:rPr>
        <w:t>{{tenant.idIssuePlace}}</w:t>
      </w:r>
    </w:p>
    <w:p>
      <w:pPr>
        <w:spacing w:before="0" w:after="60"/>
        <w:ind w:left="0" w:firstLine="0"/>
        <w:jc w:val="both"/>
      </w:pPr>
      <w:r>
        <w:rPr>
          <w:rFonts w:ascii="Times New Roman" w:hAnsi="Times New Roman" w:eastAsia="Times New Roman"/>
          <w:b w:val="0"/>
          <w:sz w:val="24"/>
        </w:rPr>
        <w:t xml:space="preserve">Thường trú: </w:t>
      </w:r>
      <w:r>
        <w:rPr>
          <w:rFonts w:ascii="Times New Roman" w:hAnsi="Times New Roman" w:eastAsia="Times New Roman"/>
          <w:b/>
          <w:sz w:val="24"/>
        </w:rPr>
        <w:t>{{tenant.permanentAddress}}</w:t>
      </w:r>
    </w:p>
    <w:p>
      <w:pPr>
        <w:spacing w:before="0" w:after="60"/>
        <w:ind w:left="0" w:firstLine="0"/>
        <w:jc w:val="both"/>
      </w:pPr>
      <w:r>
        <w:rPr>
          <w:rFonts w:ascii="Times New Roman" w:hAnsi="Times New Roman" w:eastAsia="Times New Roman"/>
          <w:b w:val="0"/>
          <w:sz w:val="24"/>
        </w:rPr>
        <w:t xml:space="preserve">SĐT: </w:t>
      </w:r>
      <w:r>
        <w:rPr>
          <w:rFonts w:ascii="Times New Roman" w:hAnsi="Times New Roman" w:eastAsia="Times New Roman"/>
          <w:b/>
          <w:sz w:val="24"/>
        </w:rPr>
        <w:t>{{tenant.phone}}</w:t>
      </w:r>
      <w:r>
        <w:rPr>
          <w:rFonts w:ascii="Times New Roman" w:hAnsi="Times New Roman" w:eastAsia="Times New Roman"/>
          <w:b w:val="0"/>
          <w:sz w:val="24"/>
        </w:rPr>
        <w:t xml:space="preserve">  |  Email: </w:t>
      </w:r>
      <w:r>
        <w:rPr>
          <w:rFonts w:ascii="Times New Roman" w:hAnsi="Times New Roman" w:eastAsia="Times New Roman"/>
          <w:b/>
          <w:sz w:val="24"/>
        </w:rPr>
        <w:t>{{tenant.email}}</w:t>
      </w:r>
    </w:p>
    <w:p>
      <w:pPr>
        <w:spacing w:before="0" w:after="60"/>
        <w:ind w:left="0" w:firstLine="0"/>
        <w:jc w:val="both"/>
      </w:pPr>
      <w:r>
        <w:rPr>
          <w:rFonts w:ascii="Times New Roman" w:hAnsi="Times New Roman" w:eastAsia="Times New Roman"/>
          <w:b w:val="0"/>
          <w:sz w:val="24"/>
        </w:rPr>
        <w:t xml:space="preserve">Số lượng người ở đã đăng ký: </w:t>
      </w:r>
      <w:r>
        <w:rPr>
          <w:rFonts w:ascii="Times New Roman" w:hAnsi="Times New Roman" w:eastAsia="Times New Roman"/>
          <w:b/>
          <w:sz w:val="24"/>
        </w:rPr>
        <w:t>{{tenant.occupantCount}}</w:t>
      </w:r>
      <w:r>
        <w:rPr>
          <w:rFonts w:ascii="Times New Roman" w:hAnsi="Times New Roman" w:eastAsia="Times New Roman"/>
          <w:b w:val="0"/>
          <w:sz w:val="24"/>
        </w:rPr>
        <w:t xml:space="preserve"> người.</w:t>
      </w:r>
    </w:p>
    <w:p>
      <w:pPr>
        <w:spacing w:before="80" w:after="60"/>
        <w:ind w:left="0" w:firstLine="0"/>
        <w:jc w:val="both"/>
      </w:pPr>
      <w:r>
        <w:rPr>
          <w:rFonts w:ascii="Times New Roman" w:hAnsi="Times New Roman" w:eastAsia="Times New Roman"/>
          <w:sz w:val="24"/>
        </w:rPr>
        <w:t>Sau khi trao đổi trên tinh thần tự nguyện, bình đẳng và thiện chí, các bên thống nhất ký Hợp đồng với các điều khoản sau:</w:t>
      </w:r>
    </w:p>
    <w:p>
      <w:pPr>
        <w:pStyle w:val="Article"/>
        <w:keepNext/>
        <w:jc w:val="left"/>
      </w:pPr>
      <w:r>
        <w:rPr>
          <w:b/>
        </w:rPr>
        <w:t>ĐIỀU 1. ĐỐI TƯỢNG THUÊ VÀ MỤC ĐÍCH SỬ DỤNG</w:t>
      </w:r>
    </w:p>
    <w:p>
      <w:pPr>
        <w:spacing w:before="0" w:after="60"/>
        <w:ind w:left="0" w:firstLine="397"/>
        <w:jc w:val="both"/>
      </w:pPr>
      <w:r>
        <w:rPr>
          <w:rFonts w:ascii="Times New Roman" w:hAnsi="Times New Roman" w:eastAsia="Times New Roman"/>
          <w:b w:val="0"/>
          <w:sz w:val="24"/>
        </w:rPr>
        <w:t xml:space="preserve">1.1. Bên A đồng ý cho Bên B thuê Phòng số </w:t>
      </w:r>
      <w:r>
        <w:rPr>
          <w:rFonts w:ascii="Times New Roman" w:hAnsi="Times New Roman" w:eastAsia="Times New Roman"/>
          <w:b/>
          <w:sz w:val="24"/>
        </w:rPr>
        <w:t>{{property.unitNumber}}</w:t>
      </w:r>
      <w:r>
        <w:rPr>
          <w:rFonts w:ascii="Times New Roman" w:hAnsi="Times New Roman" w:eastAsia="Times New Roman"/>
          <w:b w:val="0"/>
          <w:sz w:val="24"/>
        </w:rPr>
        <w:t xml:space="preserve">, Tầng </w:t>
      </w:r>
      <w:r>
        <w:rPr>
          <w:rFonts w:ascii="Times New Roman" w:hAnsi="Times New Roman" w:eastAsia="Times New Roman"/>
          <w:b/>
          <w:sz w:val="24"/>
        </w:rPr>
        <w:t>{{property.floor}}</w:t>
      </w:r>
      <w:r>
        <w:rPr>
          <w:rFonts w:ascii="Times New Roman" w:hAnsi="Times New Roman" w:eastAsia="Times New Roman"/>
          <w:b w:val="0"/>
          <w:sz w:val="24"/>
        </w:rPr>
        <w:t xml:space="preserve">, tại địa chỉ </w:t>
      </w:r>
      <w:r>
        <w:rPr>
          <w:rFonts w:ascii="Times New Roman" w:hAnsi="Times New Roman" w:eastAsia="Times New Roman"/>
          <w:b/>
          <w:sz w:val="24"/>
        </w:rPr>
        <w:t>{{property.fullAddress}}</w:t>
      </w:r>
      <w:r>
        <w:rPr>
          <w:rFonts w:ascii="Times New Roman" w:hAnsi="Times New Roman" w:eastAsia="Times New Roman"/>
          <w:b w:val="0"/>
          <w:sz w:val="24"/>
        </w:rPr>
        <w:t xml:space="preserve">, diện tích: </w:t>
      </w:r>
      <w:r>
        <w:rPr>
          <w:rFonts w:ascii="Times New Roman" w:hAnsi="Times New Roman" w:eastAsia="Times New Roman"/>
          <w:b/>
          <w:sz w:val="24"/>
        </w:rPr>
        <w:t>{{property.areaText}}</w:t>
      </w:r>
      <w:r>
        <w:rPr>
          <w:rFonts w:ascii="Times New Roman" w:hAnsi="Times New Roman" w:eastAsia="Times New Roman"/>
          <w:b w:val="0"/>
          <w:sz w:val="24"/>
        </w:rPr>
        <w:t>.</w:t>
      </w:r>
    </w:p>
    <w:p>
      <w:pPr>
        <w:spacing w:before="0" w:after="60"/>
        <w:ind w:left="0" w:firstLine="397"/>
        <w:jc w:val="both"/>
      </w:pPr>
      <w:r>
        <w:rPr>
          <w:rFonts w:ascii="Times New Roman" w:hAnsi="Times New Roman" w:eastAsia="Times New Roman"/>
          <w:sz w:val="24"/>
        </w:rPr>
        <w:t>1.2. Mục đích thuê là để ở hợp pháp. Bên B không được sử dụng phòng làm nơi sản xuất, kho chứa hàng nguy hiểm, kinh doanh trái phép, tổ chức hoạt động gây mất an ninh trật tự, tệ nạn xã hội hoặc hoạt động làm tăng nguy cơ cháy, nổ trái quy định.</w:t>
      </w:r>
    </w:p>
    <w:p>
      <w:pPr>
        <w:spacing w:before="0" w:after="60"/>
        <w:ind w:left="0" w:firstLine="397"/>
        <w:jc w:val="both"/>
      </w:pPr>
      <w:r>
        <w:rPr>
          <w:rFonts w:ascii="Times New Roman" w:hAnsi="Times New Roman" w:eastAsia="Times New Roman"/>
          <w:sz w:val="24"/>
        </w:rPr>
        <w:t>1.3. Khu vực sử dụng chung như lối đi, cầu thang, khu để xe, khu giặt phơi và các tiện ích chung khác được sử dụng theo nội quy của cơ sở và quy định pháp luật. Bên B không được chiếm dụng lối thoát nạn hoặc khu vực dành cho phương tiện, thiết bị PCCC.</w:t>
      </w:r>
    </w:p>
    <w:p>
      <w:pPr>
        <w:pStyle w:val="Article"/>
        <w:keepNext/>
        <w:jc w:val="left"/>
      </w:pPr>
      <w:r>
        <w:rPr>
          <w:b/>
        </w:rPr>
        <w:t>ĐIỀU 2. THỜI HẠN THUÊ VÀ BÀN GIAO</w:t>
      </w:r>
    </w:p>
    <w:p>
      <w:pPr>
        <w:spacing w:before="0" w:after="60"/>
        <w:ind w:left="0" w:firstLine="397"/>
        <w:jc w:val="both"/>
      </w:pPr>
      <w:r>
        <w:rPr>
          <w:rFonts w:ascii="Times New Roman" w:hAnsi="Times New Roman" w:eastAsia="Times New Roman"/>
          <w:b w:val="0"/>
          <w:sz w:val="24"/>
        </w:rPr>
        <w:t xml:space="preserve">2.1. Thời hạn thuê: từ </w:t>
      </w:r>
      <w:r>
        <w:rPr>
          <w:rFonts w:ascii="Times New Roman" w:hAnsi="Times New Roman" w:eastAsia="Times New Roman"/>
          <w:b/>
          <w:sz w:val="24"/>
        </w:rPr>
        <w:t>{{lease.startDateText}}</w:t>
      </w:r>
      <w:r>
        <w:rPr>
          <w:rFonts w:ascii="Times New Roman" w:hAnsi="Times New Roman" w:eastAsia="Times New Roman"/>
          <w:b w:val="0"/>
          <w:sz w:val="24"/>
        </w:rPr>
        <w:t xml:space="preserve"> đến </w:t>
      </w:r>
      <w:r>
        <w:rPr>
          <w:rFonts w:ascii="Times New Roman" w:hAnsi="Times New Roman" w:eastAsia="Times New Roman"/>
          <w:b/>
          <w:sz w:val="24"/>
        </w:rPr>
        <w:t>{{lease.endDateText}}</w:t>
      </w:r>
      <w:r>
        <w:rPr>
          <w:rFonts w:ascii="Times New Roman" w:hAnsi="Times New Roman" w:eastAsia="Times New Roman"/>
          <w:b w:val="0"/>
          <w:sz w:val="24"/>
        </w:rPr>
        <w:t xml:space="preserve"> (thời hạn: </w:t>
      </w:r>
      <w:r>
        <w:rPr>
          <w:rFonts w:ascii="Times New Roman" w:hAnsi="Times New Roman" w:eastAsia="Times New Roman"/>
          <w:b/>
          <w:sz w:val="24"/>
        </w:rPr>
        <w:t>{{lease.durationText}}</w:t>
      </w:r>
      <w:r>
        <w:rPr>
          <w:rFonts w:ascii="Times New Roman" w:hAnsi="Times New Roman" w:eastAsia="Times New Roman"/>
          <w:b w:val="0"/>
          <w:sz w:val="24"/>
        </w:rPr>
        <w:t>).</w:t>
      </w:r>
    </w:p>
    <w:p>
      <w:pPr>
        <w:spacing w:before="0" w:after="60"/>
        <w:ind w:left="0" w:firstLine="397"/>
        <w:jc w:val="both"/>
      </w:pPr>
      <w:r>
        <w:rPr>
          <w:rFonts w:ascii="Times New Roman" w:hAnsi="Times New Roman" w:eastAsia="Times New Roman"/>
          <w:b w:val="0"/>
          <w:sz w:val="24"/>
        </w:rPr>
        <w:t xml:space="preserve">2.2. Ngày bàn giao thực tế: </w:t>
      </w:r>
      <w:r>
        <w:rPr>
          <w:rFonts w:ascii="Times New Roman" w:hAnsi="Times New Roman" w:eastAsia="Times New Roman"/>
          <w:b/>
          <w:sz w:val="24"/>
        </w:rPr>
        <w:t>{{lease.handoverDateText}}</w:t>
      </w:r>
      <w:r>
        <w:rPr>
          <w:rFonts w:ascii="Times New Roman" w:hAnsi="Times New Roman" w:eastAsia="Times New Roman"/>
          <w:b w:val="0"/>
          <w:sz w:val="24"/>
        </w:rPr>
        <w:t>. Kể từ thời điểm bàn giao, Bên B chịu trách nhiệm quản lý, sử dụng phòng và tài sản được giao theo Hợp đồng này.</w:t>
      </w:r>
    </w:p>
    <w:p>
      <w:pPr>
        <w:spacing w:before="0" w:after="60"/>
        <w:ind w:left="0" w:firstLine="397"/>
        <w:jc w:val="both"/>
      </w:pPr>
      <w:r>
        <w:rPr>
          <w:rFonts w:ascii="Times New Roman" w:hAnsi="Times New Roman" w:eastAsia="Times New Roman"/>
          <w:sz w:val="24"/>
        </w:rPr>
        <w:t>2.3. Khi hết thời hạn, việc gia hạn chỉ có hiệu lực khi các bên thống nhất bằng văn bản hoặc bằng hình thức điện tử được hệ thống ghi nhận hợp lệ.</w:t>
      </w:r>
    </w:p>
    <w:p>
      <w:pPr>
        <w:pStyle w:val="Article"/>
        <w:keepNext/>
        <w:jc w:val="left"/>
      </w:pPr>
      <w:r>
        <w:rPr>
          <w:b/>
        </w:rPr>
        <w:t>ĐIỀU 3. GIÁ THUÊ, ĐẶT CỌC VÀ CÁC KHOẢN PHÍ</w:t>
      </w:r>
    </w:p>
    <w:p>
      <w:pPr>
        <w:spacing w:before="0" w:after="60"/>
        <w:ind w:left="0" w:firstLine="397"/>
        <w:jc w:val="both"/>
      </w:pPr>
      <w:r>
        <w:rPr>
          <w:rFonts w:ascii="Times New Roman" w:hAnsi="Times New Roman" w:eastAsia="Times New Roman"/>
          <w:b w:val="0"/>
          <w:sz w:val="24"/>
        </w:rPr>
        <w:t xml:space="preserve">3.1. Tiền phòng: </w:t>
      </w:r>
      <w:r>
        <w:rPr>
          <w:rFonts w:ascii="Times New Roman" w:hAnsi="Times New Roman" w:eastAsia="Times New Roman"/>
          <w:b/>
          <w:sz w:val="24"/>
        </w:rPr>
        <w:t>{{rent.amountNumber}}</w:t>
      </w:r>
      <w:r>
        <w:rPr>
          <w:rFonts w:ascii="Times New Roman" w:hAnsi="Times New Roman" w:eastAsia="Times New Roman"/>
          <w:b w:val="0"/>
          <w:sz w:val="24"/>
        </w:rPr>
        <w:t xml:space="preserve"> (bằng chữ: </w:t>
      </w:r>
      <w:r>
        <w:rPr>
          <w:rFonts w:ascii="Times New Roman" w:hAnsi="Times New Roman" w:eastAsia="Times New Roman"/>
          <w:b/>
          <w:sz w:val="24"/>
        </w:rPr>
        <w:t>{{rent.amountWords}}</w:t>
      </w:r>
      <w:r>
        <w:rPr>
          <w:rFonts w:ascii="Times New Roman" w:hAnsi="Times New Roman" w:eastAsia="Times New Roman"/>
          <w:b w:val="0"/>
          <w:sz w:val="24"/>
        </w:rPr>
        <w:t>).</w:t>
      </w:r>
    </w:p>
    <w:p>
      <w:pPr>
        <w:spacing w:before="0" w:after="60"/>
        <w:ind w:left="0" w:firstLine="397"/>
        <w:jc w:val="both"/>
      </w:pPr>
      <w:r>
        <w:rPr>
          <w:rFonts w:ascii="Times New Roman" w:hAnsi="Times New Roman" w:eastAsia="Times New Roman"/>
          <w:b w:val="0"/>
          <w:sz w:val="24"/>
        </w:rPr>
        <w:t xml:space="preserve">3.2. Kỳ thanh toán: </w:t>
      </w:r>
      <w:r>
        <w:rPr>
          <w:rFonts w:ascii="Times New Roman" w:hAnsi="Times New Roman" w:eastAsia="Times New Roman"/>
          <w:b/>
          <w:sz w:val="24"/>
        </w:rPr>
        <w:t>{{rent.paymentCycle}}</w:t>
      </w:r>
      <w:r>
        <w:rPr>
          <w:rFonts w:ascii="Times New Roman" w:hAnsi="Times New Roman" w:eastAsia="Times New Roman"/>
          <w:b w:val="0"/>
          <w:sz w:val="24"/>
        </w:rPr>
        <w:t xml:space="preserve">; hạn đóng: </w:t>
      </w:r>
      <w:r>
        <w:rPr>
          <w:rFonts w:ascii="Times New Roman" w:hAnsi="Times New Roman" w:eastAsia="Times New Roman"/>
          <w:b/>
          <w:sz w:val="24"/>
        </w:rPr>
        <w:t>{{rent.paymentDueDay}}</w:t>
      </w:r>
      <w:r>
        <w:rPr>
          <w:rFonts w:ascii="Times New Roman" w:hAnsi="Times New Roman" w:eastAsia="Times New Roman"/>
          <w:b w:val="0"/>
          <w:sz w:val="24"/>
        </w:rPr>
        <w:t xml:space="preserve">; hình thức: </w:t>
      </w:r>
      <w:r>
        <w:rPr>
          <w:rFonts w:ascii="Times New Roman" w:hAnsi="Times New Roman" w:eastAsia="Times New Roman"/>
          <w:b/>
          <w:sz w:val="24"/>
        </w:rPr>
        <w:t>{{rent.paymentMethod}}</w:t>
      </w:r>
      <w:r>
        <w:rPr>
          <w:rFonts w:ascii="Times New Roman" w:hAnsi="Times New Roman" w:eastAsia="Times New Roman"/>
          <w:b w:val="0"/>
          <w:sz w:val="24"/>
        </w:rPr>
        <w:t>.</w:t>
      </w:r>
    </w:p>
    <w:p>
      <w:pPr>
        <w:spacing w:before="0" w:after="60"/>
        <w:ind w:left="0" w:firstLine="397"/>
        <w:jc w:val="both"/>
      </w:pPr>
      <w:r>
        <w:rPr>
          <w:rFonts w:ascii="Times New Roman" w:hAnsi="Times New Roman" w:eastAsia="Times New Roman"/>
          <w:b w:val="0"/>
          <w:sz w:val="24"/>
        </w:rPr>
        <w:t xml:space="preserve">3.3. Tiền cọc: </w:t>
      </w:r>
      <w:r>
        <w:rPr>
          <w:rFonts w:ascii="Times New Roman" w:hAnsi="Times New Roman" w:eastAsia="Times New Roman"/>
          <w:b/>
          <w:sz w:val="24"/>
        </w:rPr>
        <w:t>{{deposit.amountNumber}}</w:t>
      </w:r>
      <w:r>
        <w:rPr>
          <w:rFonts w:ascii="Times New Roman" w:hAnsi="Times New Roman" w:eastAsia="Times New Roman"/>
          <w:b w:val="0"/>
          <w:sz w:val="24"/>
        </w:rPr>
        <w:t xml:space="preserve"> (bằng chữ: </w:t>
      </w:r>
      <w:r>
        <w:rPr>
          <w:rFonts w:ascii="Times New Roman" w:hAnsi="Times New Roman" w:eastAsia="Times New Roman"/>
          <w:b/>
          <w:sz w:val="24"/>
        </w:rPr>
        <w:t>{{deposit.amountWords}}</w:t>
      </w:r>
      <w:r>
        <w:rPr>
          <w:rFonts w:ascii="Times New Roman" w:hAnsi="Times New Roman" w:eastAsia="Times New Roman"/>
          <w:b w:val="0"/>
          <w:sz w:val="24"/>
        </w:rPr>
        <w:t xml:space="preserve">). Thỏa thuận cọc và hoàn cọc: </w:t>
      </w:r>
      <w:r>
        <w:rPr>
          <w:rFonts w:ascii="Times New Roman" w:hAnsi="Times New Roman" w:eastAsia="Times New Roman"/>
          <w:b/>
          <w:sz w:val="24"/>
        </w:rPr>
        <w:t>{{deposit.description}}</w:t>
      </w:r>
      <w:r>
        <w:rPr>
          <w:rFonts w:ascii="Times New Roman" w:hAnsi="Times New Roman" w:eastAsia="Times New Roman"/>
          <w:b w:val="0"/>
          <w:sz w:val="24"/>
        </w:rPr>
        <w:t>.</w:t>
      </w:r>
    </w:p>
    <w:p>
      <w:pPr>
        <w:spacing w:before="0" w:after="60"/>
        <w:ind w:left="0" w:firstLine="397"/>
        <w:jc w:val="both"/>
      </w:pPr>
      <w:r>
        <w:rPr>
          <w:rFonts w:ascii="Times New Roman" w:hAnsi="Times New Roman" w:eastAsia="Times New Roman"/>
          <w:sz w:val="24"/>
        </w:rPr>
        <w:t>3.4. Các khoản điện, nước, internet, rác, máy giặt, gửi xe và dịch vụ khác được tính theo bảng phí dưới đây. Trường hợp đơn giá do đơn vị cung cấp dịch vụ hoặc cơ quan có thẩm quyền điều chỉnh, Bên A phải thông báo cho Bên B trước khi áp dụng mức mới, trừ trường hợp pháp luật quy định khác.</w:t>
      </w:r>
    </w:p>
    <w:p>
      <w:pPr>
        <w:spacing w:after="80"/>
        <w:jc w:val="center"/>
      </w:pPr>
      <w:r>
        <w:rPr>
          <w:rFonts w:ascii="Times New Roman" w:hAnsi="Times New Roman" w:eastAsia="Times New Roman"/>
          <w:b/>
          <w:sz w:val="24"/>
        </w:rPr>
        <w:t>{{#chargesTable}}</w:t>
      </w:r>
    </w:p>
    <w:p>
      <w:pPr>
        <w:pStyle w:val="Article"/>
        <w:keepNext/>
        <w:jc w:val="left"/>
      </w:pPr>
      <w:r>
        <w:rPr>
          <w:b/>
        </w:rPr>
        <w:t>ĐIỀU 4. BÀN GIAO TRANG THIẾT BỊ VÀ CHỈ SỐ ĐIỆN, NƯỚC</w:t>
      </w:r>
    </w:p>
    <w:p>
      <w:pPr>
        <w:spacing w:before="0" w:after="60"/>
        <w:ind w:left="0" w:firstLine="397"/>
        <w:jc w:val="both"/>
      </w:pPr>
      <w:r>
        <w:rPr>
          <w:rFonts w:ascii="Times New Roman" w:hAnsi="Times New Roman" w:eastAsia="Times New Roman"/>
          <w:b w:val="0"/>
          <w:sz w:val="24"/>
        </w:rPr>
        <w:t xml:space="preserve">4.1. Chỉ số đồng hồ tại thời điểm bàn giao - Điện: </w:t>
      </w:r>
      <w:r>
        <w:rPr>
          <w:rFonts w:ascii="Times New Roman" w:hAnsi="Times New Roman" w:eastAsia="Times New Roman"/>
          <w:b/>
          <w:sz w:val="24"/>
        </w:rPr>
        <w:t>{{meters.electricityInitial}}</w:t>
      </w:r>
      <w:r>
        <w:rPr>
          <w:rFonts w:ascii="Times New Roman" w:hAnsi="Times New Roman" w:eastAsia="Times New Roman"/>
          <w:b w:val="0"/>
          <w:sz w:val="24"/>
        </w:rPr>
        <w:t xml:space="preserve">; Nước: </w:t>
      </w:r>
      <w:r>
        <w:rPr>
          <w:rFonts w:ascii="Times New Roman" w:hAnsi="Times New Roman" w:eastAsia="Times New Roman"/>
          <w:b/>
          <w:sz w:val="24"/>
        </w:rPr>
        <w:t>{{meters.waterInitial}}</w:t>
      </w:r>
      <w:r>
        <w:rPr>
          <w:rFonts w:ascii="Times New Roman" w:hAnsi="Times New Roman" w:eastAsia="Times New Roman"/>
          <w:b w:val="0"/>
          <w:sz w:val="24"/>
        </w:rPr>
        <w:t>.</w:t>
      </w:r>
    </w:p>
    <w:p>
      <w:pPr>
        <w:spacing w:before="0" w:after="60"/>
        <w:ind w:left="0" w:firstLine="397"/>
        <w:jc w:val="both"/>
      </w:pPr>
      <w:r>
        <w:rPr>
          <w:rFonts w:ascii="Times New Roman" w:hAnsi="Times New Roman" w:eastAsia="Times New Roman"/>
          <w:sz w:val="24"/>
        </w:rPr>
        <w:t>4.2. Hiện trạng, số lượng và tình trạng trang thiết bị, nội thất trong phòng được ghi nhận tại bảng kiểm kê bàn giao sau đây và là một phần không tách rời của Hợp đồng.</w:t>
      </w:r>
    </w:p>
    <w:p>
      <w:pPr>
        <w:spacing w:after="80"/>
        <w:jc w:val="center"/>
      </w:pPr>
      <w:r>
        <w:rPr>
          <w:rFonts w:ascii="Times New Roman" w:hAnsi="Times New Roman" w:eastAsia="Times New Roman"/>
          <w:b/>
          <w:sz w:val="24"/>
        </w:rPr>
        <w:t>{{#equipmentTable}}</w:t>
      </w:r>
    </w:p>
    <w:p>
      <w:pPr>
        <w:spacing w:before="0" w:after="60"/>
        <w:ind w:left="0" w:firstLine="397"/>
        <w:jc w:val="both"/>
      </w:pPr>
      <w:r>
        <w:rPr>
          <w:rFonts w:ascii="Times New Roman" w:hAnsi="Times New Roman" w:eastAsia="Times New Roman"/>
          <w:sz w:val="24"/>
        </w:rPr>
        <w:t>4.3. Khi nhận phòng, Bên B có trách nhiệm kiểm tra thực tế. Trong quá trình thuê, Bên B phải bảo quản tài sản, sử dụng đúng công năng và thông báo sớm cho Bên A khi phát hiện hư hỏng, rò điện, rò nước hoặc nguy cơ mất an toàn.</w:t>
      </w:r>
    </w:p>
    <w:p>
      <w:pPr>
        <w:pStyle w:val="Article"/>
        <w:keepNext/>
        <w:jc w:val="left"/>
      </w:pPr>
      <w:r>
        <w:rPr>
          <w:b/>
        </w:rPr>
        <w:t>ĐIỀU 5. QUYỀN VÀ NGHĨA VỤ CỦA BÊN A</w:t>
      </w:r>
    </w:p>
    <w:p>
      <w:pPr>
        <w:spacing w:before="0" w:after="60"/>
        <w:ind w:left="0" w:firstLine="397"/>
        <w:jc w:val="both"/>
      </w:pPr>
      <w:r>
        <w:rPr>
          <w:rFonts w:ascii="Times New Roman" w:hAnsi="Times New Roman" w:eastAsia="Times New Roman"/>
          <w:sz w:val="24"/>
        </w:rPr>
        <w:t>5.1. Bàn giao phòng đúng thỏa thuận, bảo đảm quyền sử dụng ổn định của Bên B trong thời hạn thuê, trừ trường hợp chấm dứt theo Hợp đồng hoặc pháp luật.</w:t>
      </w:r>
    </w:p>
    <w:p>
      <w:pPr>
        <w:spacing w:before="0" w:after="60"/>
        <w:ind w:left="0" w:firstLine="397"/>
        <w:jc w:val="both"/>
      </w:pPr>
      <w:r>
        <w:rPr>
          <w:rFonts w:ascii="Times New Roman" w:hAnsi="Times New Roman" w:eastAsia="Times New Roman"/>
          <w:sz w:val="24"/>
        </w:rPr>
        <w:t>5.2. Thực hiện các trách nhiệm thuộc chủ sở hữu hoặc người quản lý cơ sở đối với kết cấu công trình, hệ thống kỹ thuật chung, lối thoát nạn, thiết bị PCCC chung và các điều kiện an toàn thuộc phạm vi quản lý của Bên A theo pháp luật.</w:t>
      </w:r>
    </w:p>
    <w:p>
      <w:pPr>
        <w:spacing w:before="0" w:after="60"/>
        <w:ind w:left="0" w:firstLine="397"/>
        <w:jc w:val="both"/>
      </w:pPr>
      <w:r>
        <w:rPr>
          <w:rFonts w:ascii="Times New Roman" w:hAnsi="Times New Roman" w:eastAsia="Times New Roman"/>
          <w:sz w:val="24"/>
        </w:rPr>
        <w:t>5.3. Hướng dẫn và niêm yết nội quy sử dụng khu vực chung, nội quy PCCC, quy định giờ đóng mở cửa và các thông tin liên hệ cần thiết khi có sự cố.</w:t>
      </w:r>
    </w:p>
    <w:p>
      <w:pPr>
        <w:spacing w:before="0" w:after="60"/>
        <w:ind w:left="0" w:firstLine="397"/>
        <w:jc w:val="both"/>
      </w:pPr>
      <w:r>
        <w:rPr>
          <w:rFonts w:ascii="Times New Roman" w:hAnsi="Times New Roman" w:eastAsia="Times New Roman"/>
          <w:sz w:val="24"/>
        </w:rPr>
        <w:t>5.4. Phối hợp cung cấp hoặc xác nhận giấy tờ, thông tin về chỗ ở hợp pháp trong phạm vi trách nhiệm để Bên B thực hiện đăng ký cư trú; thực hiện thông báo lưu trú khi thuộc trường hợp Bên A hoặc cơ sở có trách nhiệm thông báo theo pháp luật.</w:t>
      </w:r>
    </w:p>
    <w:p>
      <w:pPr>
        <w:spacing w:before="0" w:after="60"/>
        <w:ind w:left="0" w:firstLine="397"/>
        <w:jc w:val="both"/>
      </w:pPr>
      <w:r>
        <w:rPr>
          <w:rFonts w:ascii="Times New Roman" w:hAnsi="Times New Roman" w:eastAsia="Times New Roman"/>
          <w:sz w:val="24"/>
        </w:rPr>
        <w:t>5.5. Được kiểm tra tình trạng phòng sau khi báo trước cho Bên B một khoảng thời gian hợp lý, thông thường ít nhất 24 giờ; trường hợp khẩn cấp liên quan cháy, nổ, rò điện, rò nước, an ninh hoặc nguy cơ gây thiệt hại thì được tiếp cận ngay để xử lý.</w:t>
      </w:r>
    </w:p>
    <w:p>
      <w:pPr>
        <w:pStyle w:val="Article"/>
        <w:keepNext/>
        <w:jc w:val="left"/>
      </w:pPr>
      <w:r>
        <w:rPr>
          <w:b/>
        </w:rPr>
        <w:t>ĐIỀU 6. QUYỀN VÀ NGHĨA VỤ CỦA BÊN B</w:t>
      </w:r>
    </w:p>
    <w:p>
      <w:pPr>
        <w:spacing w:before="0" w:after="60"/>
        <w:ind w:left="0" w:firstLine="397"/>
        <w:jc w:val="both"/>
      </w:pPr>
      <w:r>
        <w:rPr>
          <w:rFonts w:ascii="Times New Roman" w:hAnsi="Times New Roman" w:eastAsia="Times New Roman"/>
          <w:sz w:val="24"/>
        </w:rPr>
        <w:t>6.1. Thanh toán đầy đủ, đúng hạn tiền thuê và các khoản phí phát sinh hợp lệ; sử dụng phòng đúng mục đích và tuân thủ nội quy cơ sở.</w:t>
      </w:r>
    </w:p>
    <w:p>
      <w:pPr>
        <w:spacing w:before="0" w:after="60"/>
        <w:ind w:left="0" w:firstLine="397"/>
        <w:jc w:val="both"/>
      </w:pPr>
      <w:r>
        <w:rPr>
          <w:rFonts w:ascii="Times New Roman" w:hAnsi="Times New Roman" w:eastAsia="Times New Roman"/>
          <w:b w:val="0"/>
          <w:sz w:val="24"/>
        </w:rPr>
        <w:t xml:space="preserve">6.2. Không được bố trí số người sinh sống thường xuyên vượt quá </w:t>
      </w:r>
      <w:r>
        <w:rPr>
          <w:rFonts w:ascii="Times New Roman" w:hAnsi="Times New Roman" w:eastAsia="Times New Roman"/>
          <w:b/>
          <w:sz w:val="24"/>
        </w:rPr>
        <w:t>{{tenant.occupantCount}}</w:t>
      </w:r>
      <w:r>
        <w:rPr>
          <w:rFonts w:ascii="Times New Roman" w:hAnsi="Times New Roman" w:eastAsia="Times New Roman"/>
          <w:b w:val="0"/>
          <w:sz w:val="24"/>
        </w:rPr>
        <w:t xml:space="preserve"> người đã đăng ký nếu chưa được Bên A chấp thuận và chưa hoàn tất thủ tục cư trú cần thiết theo pháp luật.</w:t>
      </w:r>
    </w:p>
    <w:p>
      <w:pPr>
        <w:spacing w:before="0" w:after="60"/>
        <w:ind w:left="0" w:firstLine="397"/>
        <w:jc w:val="both"/>
      </w:pPr>
      <w:r>
        <w:rPr>
          <w:rFonts w:ascii="Times New Roman" w:hAnsi="Times New Roman" w:eastAsia="Times New Roman"/>
          <w:sz w:val="24"/>
        </w:rPr>
        <w:t>6.3. Khi có khách bên ngoài ở lại qua đêm, Bên B phải báo cho Bên A hoặc người quản lý cơ sở theo nội quy, cung cấp hoặc xuất trình thông tin giấy tờ tùy thân cần thiết để thực hiện nghĩa vụ thông báo lưu trú theo pháp luật hiện hành.</w:t>
      </w:r>
    </w:p>
    <w:p>
      <w:pPr>
        <w:spacing w:before="0" w:after="60"/>
        <w:ind w:left="0" w:firstLine="397"/>
        <w:jc w:val="both"/>
      </w:pPr>
      <w:r>
        <w:rPr>
          <w:rFonts w:ascii="Times New Roman" w:hAnsi="Times New Roman" w:eastAsia="Times New Roman"/>
          <w:sz w:val="24"/>
        </w:rPr>
        <w:t>6.4. Công dân đến sinh sống tại chỗ ở hợp pháp ngoài nơi thường trú từ 30 ngày trở lên phải thực hiện đăng ký tạm trú theo quy định. Bên B có trách nhiệm cung cấp trung thực, đầy đủ và kịp thời thông tin cần thiết cho thủ tục cư trú.</w:t>
      </w:r>
    </w:p>
    <w:p>
      <w:pPr>
        <w:spacing w:before="0" w:after="60"/>
        <w:ind w:left="0" w:firstLine="397"/>
        <w:jc w:val="both"/>
      </w:pPr>
      <w:r>
        <w:rPr>
          <w:rFonts w:ascii="Times New Roman" w:hAnsi="Times New Roman" w:eastAsia="Times New Roman"/>
          <w:sz w:val="24"/>
        </w:rPr>
        <w:t>6.5. Không tự ý chuyển nhượng hợp đồng, cho thuê lại, cho mượn phòng hoặc giao phòng cho người khác sử dụng thường xuyên nếu chưa có sự đồng ý của Bên A, trừ trường hợp pháp luật có quy định khác.</w:t>
      </w:r>
    </w:p>
    <w:p>
      <w:pPr>
        <w:pStyle w:val="Article"/>
        <w:keepNext/>
        <w:jc w:val="left"/>
      </w:pPr>
      <w:r>
        <w:rPr>
          <w:b/>
        </w:rPr>
        <w:t>ĐIỀU 7. AN TOÀN PCCC, AN NINH TRẬT TỰ VÀ NỘI QUY PHÒNG TRỌ</w:t>
      </w:r>
    </w:p>
    <w:p>
      <w:pPr>
        <w:spacing w:before="0" w:after="60"/>
        <w:ind w:left="0" w:firstLine="397"/>
        <w:jc w:val="both"/>
      </w:pPr>
      <w:r>
        <w:rPr>
          <w:rFonts w:ascii="Times New Roman" w:hAnsi="Times New Roman" w:eastAsia="Times New Roman"/>
          <w:sz w:val="24"/>
        </w:rPr>
        <w:t>7.1. Bên B phải tuân thủ nội quy PCCC, hướng dẫn thoát nạn và yêu cầu an toàn của cơ sở; không che chắn, tháo dỡ, làm vô hiệu đầu báo cháy, thiết bị cảnh báo, bình chữa cháy, cửa chống cháy hoặc lối thoát nạn.</w:t>
      </w:r>
    </w:p>
    <w:p>
      <w:pPr>
        <w:spacing w:before="0" w:after="60"/>
        <w:ind w:left="0" w:firstLine="397"/>
        <w:jc w:val="both"/>
      </w:pPr>
      <w:r>
        <w:rPr>
          <w:rFonts w:ascii="Times New Roman" w:hAnsi="Times New Roman" w:eastAsia="Times New Roman"/>
          <w:sz w:val="24"/>
        </w:rPr>
        <w:t>7.2. Tuyệt đối không sạc pin xe đạp điện, xe máy điện qua đêm trong tình trạng không có người giám sát; không đưa việc sạc pin, ắc quy hoặc thiết bị có nguy cơ cháy, nổ vào vị trí bị cấm theo nội quy PCCC của cơ sở.</w:t>
      </w:r>
    </w:p>
    <w:p>
      <w:pPr>
        <w:spacing w:before="0" w:after="60"/>
        <w:ind w:left="0" w:firstLine="397"/>
        <w:jc w:val="both"/>
      </w:pPr>
      <w:r>
        <w:rPr>
          <w:rFonts w:ascii="Times New Roman" w:hAnsi="Times New Roman" w:eastAsia="Times New Roman"/>
          <w:sz w:val="24"/>
        </w:rPr>
        <w:t>7.3. Cấm sử dụng bếp gas mini không rõ nguồn gốc hoặc thiết bị đun nấu không bảo đảm an toàn; cấm đốt nến, vàng mã, đốt vật liệu tạo lửa hoặc thực hiện hành vi có nguy cơ gây cháy trong phòng và khu vực chung.</w:t>
      </w:r>
    </w:p>
    <w:p>
      <w:pPr>
        <w:spacing w:before="0" w:after="60"/>
        <w:ind w:left="0" w:firstLine="397"/>
        <w:jc w:val="both"/>
      </w:pPr>
      <w:r>
        <w:rPr>
          <w:rFonts w:ascii="Times New Roman" w:hAnsi="Times New Roman" w:eastAsia="Times New Roman"/>
          <w:sz w:val="24"/>
        </w:rPr>
        <w:t>7.4. Không tự ý đấu nối điện, câu mắc dây điện, thay đổi aptomat hoặc can thiệp hệ thống điện chung. Khi phát hiện mùi khét, chập điện, rò gas, khói hoặc dấu hiệu bất thường, Bên B phải ngừng sử dụng thiết bị liên quan, báo ngay cho Bên A hoặc người quản lý và tuân thủ hướng dẫn xử lý an toàn.</w:t>
      </w:r>
    </w:p>
    <w:p>
      <w:pPr>
        <w:spacing w:before="0" w:after="60"/>
        <w:ind w:left="0" w:firstLine="397"/>
        <w:jc w:val="both"/>
      </w:pPr>
      <w:r>
        <w:rPr>
          <w:rFonts w:ascii="Times New Roman" w:hAnsi="Times New Roman" w:eastAsia="Times New Roman"/>
          <w:sz w:val="24"/>
        </w:rPr>
        <w:t>7.5. Bên B và người cùng ở phải giữ gìn an ninh, trật tự; không gây ồn ào sau 22h00, không tụ tập làm ảnh hưởng các phòng xung quanh, không sử dụng khu vực chung trái mục đích và tuân thủ giờ đóng mở cửa chung do Bên A công bố hợp lý.</w:t>
      </w:r>
    </w:p>
    <w:p>
      <w:pPr>
        <w:spacing w:before="0" w:after="60"/>
        <w:ind w:left="0" w:firstLine="397"/>
        <w:jc w:val="both"/>
      </w:pPr>
      <w:r>
        <w:rPr>
          <w:rFonts w:ascii="Times New Roman" w:hAnsi="Times New Roman" w:eastAsia="Times New Roman"/>
          <w:sz w:val="24"/>
        </w:rPr>
        <w:t>7.6. Các bên có trách nhiệm tuân thủ Luật Phòng cháy, chữa cháy và cứu nạn, cứu hộ và quy định liên quan. Việc quy định nghĩa vụ của Bên B trong Hợp đồng này không loại trừ trách nhiệm pháp lý của Bên A với tư cách chủ sở hữu, người quản lý hoặc người vận hành cơ sở.</w:t>
      </w:r>
    </w:p>
    <w:p>
      <w:pPr>
        <w:pStyle w:val="Article"/>
        <w:keepNext/>
        <w:jc w:val="left"/>
      </w:pPr>
      <w:r>
        <w:rPr>
          <w:b/>
        </w:rPr>
        <w:t>ĐIỀU 8. SỬA CHỮA, HƯ HỎNG, BỒI THƯỜNG VÀ KIỂM TRA PHÒNG</w:t>
      </w:r>
    </w:p>
    <w:p>
      <w:pPr>
        <w:spacing w:before="0" w:after="60"/>
        <w:ind w:left="0" w:firstLine="397"/>
        <w:jc w:val="both"/>
      </w:pPr>
      <w:r>
        <w:rPr>
          <w:rFonts w:ascii="Times New Roman" w:hAnsi="Times New Roman" w:eastAsia="Times New Roman"/>
          <w:sz w:val="24"/>
        </w:rPr>
        <w:t>8.1. Hư hỏng do hao mòn tự nhiên, lỗi kết cấu, hệ thống kỹ thuật chung hoặc nguyên nhân không thuộc lỗi của Bên B do Bên A xử lý trong phạm vi trách nhiệm của mình. Bên B phải tạo điều kiện hợp lý để sửa chữa.</w:t>
      </w:r>
    </w:p>
    <w:p>
      <w:pPr>
        <w:spacing w:before="0" w:after="60"/>
        <w:ind w:left="0" w:firstLine="397"/>
        <w:jc w:val="both"/>
      </w:pPr>
      <w:r>
        <w:rPr>
          <w:rFonts w:ascii="Times New Roman" w:hAnsi="Times New Roman" w:eastAsia="Times New Roman"/>
          <w:sz w:val="24"/>
        </w:rPr>
        <w:t>8.2. Hư hỏng, mất mát tài sản do lỗi của Bên B, người cùng ở hoặc khách của Bên B gây ra phải được khắc phục, sửa chữa hoặc bồi thường theo thiệt hại thực tế, có đối chiếu với biên bản bàn giao và chứng từ hợp lý.</w:t>
      </w:r>
    </w:p>
    <w:p>
      <w:pPr>
        <w:spacing w:before="0" w:after="60"/>
        <w:ind w:left="0" w:firstLine="397"/>
        <w:jc w:val="both"/>
      </w:pPr>
      <w:r>
        <w:rPr>
          <w:rFonts w:ascii="Times New Roman" w:hAnsi="Times New Roman" w:eastAsia="Times New Roman"/>
          <w:sz w:val="24"/>
        </w:rPr>
        <w:t>8.3. Bên A không được tự ý vào phòng khi không có Bên B nếu không thuộc trường hợp khẩn cấp hoặc không có sự chấp thuận phù hợp. Việc kiểm tra định kỳ phải tôn trọng quyền riêng tư và tài sản hợp pháp của Bên B.</w:t>
      </w:r>
    </w:p>
    <w:p>
      <w:pPr>
        <w:pStyle w:val="Article"/>
        <w:keepNext/>
        <w:jc w:val="left"/>
      </w:pPr>
      <w:r>
        <w:rPr>
          <w:b/>
        </w:rPr>
        <w:t>ĐIỀU 9. XỬ LÝ VI PHẠM, ĐẶT CỌC VÀ CHẤM DỨT HỢP ĐỒNG</w:t>
      </w:r>
    </w:p>
    <w:p>
      <w:pPr>
        <w:spacing w:before="0" w:after="60"/>
        <w:ind w:left="0" w:firstLine="397"/>
        <w:jc w:val="both"/>
      </w:pPr>
      <w:r>
        <w:rPr>
          <w:rFonts w:ascii="Times New Roman" w:hAnsi="Times New Roman" w:eastAsia="Times New Roman"/>
          <w:sz w:val="24"/>
        </w:rPr>
        <w:t>9.1. Bên vi phạm phải chấm dứt hành vi vi phạm, khắc phục hậu quả và bồi thường thiệt hại thực tế, trực tiếp, hợp lý do lỗi của mình gây ra theo Hợp đồng và pháp luật.</w:t>
      </w:r>
    </w:p>
    <w:p>
      <w:pPr>
        <w:spacing w:before="0" w:after="60"/>
        <w:ind w:left="0" w:firstLine="397"/>
        <w:jc w:val="both"/>
      </w:pPr>
      <w:r>
        <w:rPr>
          <w:rFonts w:ascii="Times New Roman" w:hAnsi="Times New Roman" w:eastAsia="Times New Roman"/>
          <w:sz w:val="24"/>
        </w:rPr>
        <w:t>9.2. Tiền đặt cọc được xử lý theo thỏa thuận tại Điều 3. Việc khấu trừ chỉ áp dụng đối với nghĩa vụ thanh toán còn thiếu, chi phí khắc phục hư hỏng thuộc trách nhiệm Bên B hoặc khoản bồi thường hợp lệ; Bên A phải cung cấp căn cứ đối chiếu hợp lý khi thực hiện khấu trừ.</w:t>
      </w:r>
    </w:p>
    <w:p>
      <w:pPr>
        <w:spacing w:before="0" w:after="60"/>
        <w:ind w:left="0" w:firstLine="397"/>
        <w:jc w:val="both"/>
      </w:pPr>
      <w:r>
        <w:rPr>
          <w:rFonts w:ascii="Times New Roman" w:hAnsi="Times New Roman" w:eastAsia="Times New Roman"/>
          <w:sz w:val="24"/>
        </w:rPr>
        <w:t>9.3. Việc đơn phương chấm dứt hợp đồng thuê nhà ở được thực hiện theo Hợp đồng và Điều 172 Luật Nhà ở. Bên A không được thu hồi phòng trước hạn trái pháp luật; trường hợp Bên B không trả đủ tiền thuê từ 03 tháng trở lên mà không có lý do đã được thỏa thuận, sử dụng sai mục đích, tự ý đục phá cải tạo, cho thuê lại trái phép hoặc gây mất trật tự nghiêm trọng thuộc trường hợp luật định thì Bên A có quyền xử lý theo pháp luật.</w:t>
      </w:r>
    </w:p>
    <w:p>
      <w:pPr>
        <w:spacing w:before="0" w:after="60"/>
        <w:ind w:left="0" w:firstLine="397"/>
        <w:jc w:val="both"/>
      </w:pPr>
      <w:r>
        <w:rPr>
          <w:rFonts w:ascii="Times New Roman" w:hAnsi="Times New Roman" w:eastAsia="Times New Roman"/>
          <w:sz w:val="24"/>
        </w:rPr>
        <w:t>9.4. Bên đơn phương chấm dứt phải thông báo cho bên kia trước ít nhất 30 ngày, trừ trường hợp các bên có thỏa thuận khác hoặc pháp luật quy định khác. Trường hợp vi phạm nghĩa vụ thông báo gây thiệt hại thì phải bồi thường theo pháp luật.</w:t>
      </w:r>
    </w:p>
    <w:p>
      <w:pPr>
        <w:spacing w:before="0" w:after="60"/>
        <w:ind w:left="0" w:firstLine="397"/>
        <w:jc w:val="both"/>
      </w:pPr>
      <w:r>
        <w:rPr>
          <w:rFonts w:ascii="Times New Roman" w:hAnsi="Times New Roman" w:eastAsia="Times New Roman"/>
          <w:sz w:val="24"/>
        </w:rPr>
        <w:t>9.5. Khi chấm dứt hợp đồng, Bên B phải thanh toán các khoản còn nợ, hoàn trả phòng và tài sản theo hiện trạng phù hợp với hao mòn tự nhiên; hai bên đối chiếu chỉ số điện, nước, tài sản bàn giao và xử lý tiền cọc theo thỏa thuận.</w:t>
      </w:r>
    </w:p>
    <w:p>
      <w:pPr>
        <w:pStyle w:val="Article"/>
        <w:keepNext/>
        <w:jc w:val="left"/>
      </w:pPr>
      <w:r>
        <w:rPr>
          <w:b/>
        </w:rPr>
        <w:t>ĐIỀU 10. ĐIỀU KHOẢN CHUNG VÀ HIỆU LỰC</w:t>
      </w:r>
    </w:p>
    <w:p>
      <w:pPr>
        <w:spacing w:before="0" w:after="60"/>
        <w:ind w:left="0" w:firstLine="397"/>
        <w:jc w:val="both"/>
      </w:pPr>
      <w:r>
        <w:rPr>
          <w:rFonts w:ascii="Times New Roman" w:hAnsi="Times New Roman" w:eastAsia="Times New Roman"/>
          <w:sz w:val="24"/>
        </w:rPr>
        <w:t>10.1. Hợp đồng này cùng các bảng động, biên bản bàn giao và nội quy được dẫn chiếu hợp lệ tạo thành toàn bộ thỏa thuận giữa các bên đối với việc thuê phòng.</w:t>
      </w:r>
    </w:p>
    <w:p>
      <w:pPr>
        <w:spacing w:before="0" w:after="60"/>
        <w:ind w:left="0" w:firstLine="397"/>
        <w:jc w:val="both"/>
      </w:pPr>
      <w:r>
        <w:rPr>
          <w:rFonts w:ascii="Times New Roman" w:hAnsi="Times New Roman" w:eastAsia="Times New Roman"/>
          <w:sz w:val="24"/>
        </w:rPr>
        <w:t>10.2. Mọi sửa đổi, bổ sung Hợp đồng phải được các bên xác nhận bằng văn bản hoặc hình thức điện tử có khả năng lưu trữ, truy xuất và xác định chủ thể theo quy định pháp luật.</w:t>
      </w:r>
    </w:p>
    <w:p>
      <w:pPr>
        <w:spacing w:before="0" w:after="60"/>
        <w:ind w:left="0" w:firstLine="397"/>
        <w:jc w:val="both"/>
      </w:pPr>
      <w:r>
        <w:rPr>
          <w:rFonts w:ascii="Times New Roman" w:hAnsi="Times New Roman" w:eastAsia="Times New Roman"/>
          <w:sz w:val="24"/>
        </w:rPr>
        <w:t>10.3. Tranh chấp được ưu tiên giải quyết bằng thương lượng. Nếu không giải quyết được, mỗi bên có quyền yêu cầu cơ quan, Tòa án có thẩm quyền giải quyết theo pháp luật Việt Nam.</w:t>
      </w:r>
    </w:p>
    <w:p>
      <w:pPr>
        <w:spacing w:before="0" w:after="60"/>
        <w:ind w:left="0" w:firstLine="397"/>
        <w:jc w:val="both"/>
      </w:pPr>
      <w:r>
        <w:rPr>
          <w:rFonts w:ascii="Times New Roman" w:hAnsi="Times New Roman" w:eastAsia="Times New Roman"/>
          <w:sz w:val="24"/>
        </w:rPr>
        <w:t>10.4. Nếu một điều khoản bị xác định vô hiệu hoặc không thể thực hiện, các điều khoản còn lại vẫn có hiệu lực trong phạm vi pháp luật cho phép. Các bên sẽ thay thế điều khoản đó bằng thỏa thuận hợp pháp có mục đích kinh tế, pháp lý gần nhất.</w:t>
      </w:r>
    </w:p>
    <w:p>
      <w:pPr>
        <w:spacing w:before="0" w:after="60"/>
        <w:ind w:left="0" w:firstLine="397"/>
        <w:jc w:val="both"/>
      </w:pPr>
      <w:r>
        <w:rPr>
          <w:rFonts w:ascii="Times New Roman" w:hAnsi="Times New Roman" w:eastAsia="Times New Roman"/>
          <w:sz w:val="24"/>
        </w:rPr>
        <w:t>10.5. Hợp đồng có hiệu lực từ thời điểm các bên ký hoặc xác nhận điện tử, trừ khi các bên có thỏa thuận khác phù hợp pháp luật. Mỗi bên có quyền lưu giữ một bản điện tử hoặc bản giấy có giá trị làm căn cứ thực hiện.</w:t>
      </w:r>
    </w:p>
    <w:p>
      <w:pPr>
        <w:spacing w:after="40"/>
      </w:pPr>
    </w:p>
    <w:tbl>
      <w:tblPr>
        <w:tblW w:type="auto" w:w="0"/>
        <w:jc w:val="center"/>
        <w:tblLayout w:type="fixed"/>
        <w:tblLook w:firstColumn="1" w:firstRow="1" w:lastColumn="0" w:lastRow="0" w:noHBand="0" w:noVBand="1" w:val="04A0"/>
      </w:tblPr>
      <w:tblGrid>
        <w:gridCol w:w="4986"/>
        <w:gridCol w:w="4986"/>
      </w:tblGrid>
      <w:tr>
        <w:tc>
          <w:tcPr>
            <w:tcW w:type="dxa" w:w="4649"/>
            <w:vAlign w:val="center"/>
            <w:tcMar>
              <w:top w:w="80" w:type="dxa"/>
              <w:start w:w="100" w:type="dxa"/>
              <w:bottom w:w="80" w:type="dxa"/>
              <w:end w:w="100" w:type="dxa"/>
            </w:tcMar>
            <w:tcBorders>
              <w:top w:val="nil"/>
              <w:left w:val="nil"/>
              <w:bottom w:val="nil"/>
              <w:right w:val="nil"/>
            </w:tcBorders>
          </w:tcPr>
          <w:p>
            <w:pPr>
              <w:jc w:val="center"/>
            </w:pPr>
            <w:r>
              <w:rPr>
                <w:rFonts w:ascii="Times New Roman" w:hAnsi="Times New Roman"/>
                <w:b/>
                <w:sz w:val="24"/>
              </w:rPr>
              <w:t>ĐẠI DIỆN BÊN A</w:t>
            </w:r>
          </w:p>
        </w:tc>
        <w:tc>
          <w:tcPr>
            <w:tcW w:type="dxa" w:w="4649"/>
            <w:vAlign w:val="center"/>
            <w:tcMar>
              <w:top w:w="80" w:type="dxa"/>
              <w:start w:w="100" w:type="dxa"/>
              <w:bottom w:w="80" w:type="dxa"/>
              <w:end w:w="100" w:type="dxa"/>
            </w:tcMar>
            <w:tcBorders>
              <w:top w:val="nil"/>
              <w:left w:val="nil"/>
              <w:bottom w:val="nil"/>
              <w:right w:val="nil"/>
            </w:tcBorders>
          </w:tcPr>
          <w:p>
            <w:pPr>
              <w:jc w:val="center"/>
            </w:pPr>
            <w:r>
              <w:rPr>
                <w:rFonts w:ascii="Times New Roman" w:hAnsi="Times New Roman"/>
                <w:b/>
                <w:sz w:val="24"/>
              </w:rPr>
              <w:t>BÊN B</w:t>
            </w:r>
          </w:p>
        </w:tc>
      </w:tr>
      <w:tr>
        <w:tc>
          <w:tcPr>
            <w:tcW w:type="dxa" w:w="4649"/>
            <w:vAlign w:val="center"/>
            <w:tcMar>
              <w:top w:w="80" w:type="dxa"/>
              <w:start w:w="100" w:type="dxa"/>
              <w:bottom w:w="80" w:type="dxa"/>
              <w:end w:w="100" w:type="dxa"/>
            </w:tcMar>
            <w:tcBorders>
              <w:top w:val="nil"/>
              <w:left w:val="nil"/>
              <w:bottom w:val="nil"/>
              <w:right w:val="nil"/>
            </w:tcBorders>
          </w:tcPr>
          <w:p>
            <w:pPr>
              <w:jc w:val="center"/>
            </w:pPr>
            <w:r>
              <w:rPr>
                <w:rFonts w:ascii="Times New Roman" w:hAnsi="Times New Roman"/>
                <w:i/>
                <w:sz w:val="22"/>
              </w:rPr>
              <w:t>(Ký, xác nhận điện tử và ghi rõ họ tên)</w:t>
            </w:r>
            <w:r>
              <w:br/>
            </w:r>
            <w:r>
              <w:br/>
            </w:r>
            <w:r>
              <w:br/>
            </w:r>
            <w:r>
              <w:br/>
            </w:r>
          </w:p>
        </w:tc>
        <w:tc>
          <w:tcPr>
            <w:tcW w:type="dxa" w:w="4649"/>
            <w:vAlign w:val="center"/>
            <w:tcMar>
              <w:top w:w="80" w:type="dxa"/>
              <w:start w:w="100" w:type="dxa"/>
              <w:bottom w:w="80" w:type="dxa"/>
              <w:end w:w="100" w:type="dxa"/>
            </w:tcMar>
            <w:tcBorders>
              <w:top w:val="nil"/>
              <w:left w:val="nil"/>
              <w:bottom w:val="nil"/>
              <w:right w:val="nil"/>
            </w:tcBorders>
          </w:tcPr>
          <w:p>
            <w:pPr>
              <w:jc w:val="center"/>
            </w:pPr>
            <w:r>
              <w:rPr>
                <w:rFonts w:ascii="Times New Roman" w:hAnsi="Times New Roman"/>
                <w:i/>
                <w:sz w:val="22"/>
              </w:rPr>
              <w:t>(Ký, xác nhận điện tử và ghi rõ họ tên)</w:t>
            </w:r>
            <w:r>
              <w:br/>
            </w:r>
            <w:r>
              <w:br/>
            </w:r>
            <w:r>
              <w:br/>
            </w:r>
            <w:r>
              <w:br/>
            </w:r>
          </w:p>
        </w:tc>
      </w:tr>
    </w:tbl>
    <w:sectPr w:rsidR="00FC693F" w:rsidRPr="0006063C" w:rsidSect="00034616">
      <w:headerReference w:type="default" r:id="rId9"/>
      <w:footerReference w:type="default" r:id="rId10"/>
      <w:pgSz w:w="12240" w:h="15840"/>
      <w:pgMar w:top="1020" w:right="1020" w:bottom="96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Hợp đồng thuê phòng trọ / căn hộ dịch vụ</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6"/>
      </w:rPr>
      <w:t>HomeSpace - Mẫu hợp đồng thuê điện tử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Title">
    <w:name w:val="Contract Title"/>
    <w:pPr>
      <w:spacing w:before="120" w:after="80"/>
    </w:pPr>
    <w:rPr>
      <w:rFonts w:ascii="Times New Roman" w:hAnsi="Times New Roman" w:eastAsia="Times New Roman"/>
      <w:b/>
      <w:sz w:val="30"/>
    </w:rPr>
  </w:style>
  <w:style w:type="paragraph" w:customStyle="1" w:styleId="Article">
    <w:name w:val="Article"/>
    <w:pPr>
      <w:spacing w:before="120" w:after="80"/>
    </w:pPr>
    <w:rPr>
      <w:rFonts w:ascii="Times New Roman" w:hAnsi="Times New Roman" w:eastAsia="Times New Roman"/>
      <w:b/>
      <w:sz w:val="25"/>
    </w:rPr>
  </w:style>
  <w:style w:type="paragraph" w:customStyle="1" w:styleId="Subhead">
    <w:name w:val="Subhead"/>
    <w:pPr>
      <w:spacing w:before="120" w:after="80"/>
    </w:pPr>
    <w:rPr>
      <w:rFonts w:ascii="Times New Roman" w:hAnsi="Times New Roman" w:eastAsia="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