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after="60"/>
        <w:jc w:val="center"/>
      </w:pPr>
      <w:r>
        <w:rPr>
          <w:rFonts w:ascii="Times New Roman" w:hAnsi="Times New Roman" w:eastAsia="Times New Roman"/>
          <w:b/>
          <w:sz w:val="24"/>
        </w:rPr>
        <w:t>CỘNG HÒA XÃ HỘI CHỦ NGHĨA VIỆT NAM</w:t>
      </w:r>
    </w:p>
    <w:p>
      <w:pPr>
        <w:keepLines w:val="0"/>
        <w:spacing w:after="220"/>
        <w:jc w:val="center"/>
      </w:pPr>
      <w:r>
        <w:rPr>
          <w:rFonts w:ascii="Times New Roman" w:hAnsi="Times New Roman" w:eastAsia="Times New Roman"/>
          <w:b/>
          <w:sz w:val="24"/>
        </w:rPr>
        <w:t>Độc lập - Tự do - Hạnh phúc</w:t>
      </w:r>
    </w:p>
    <w:p>
      <w:pPr>
        <w:keepNext/>
        <w:keepLines w:val="0"/>
        <w:spacing w:after="80"/>
        <w:jc w:val="center"/>
      </w:pPr>
      <w:r>
        <w:rPr>
          <w:rFonts w:ascii="Times New Roman" w:hAnsi="Times New Roman" w:eastAsia="Times New Roman"/>
          <w:b/>
          <w:sz w:val="32"/>
        </w:rPr>
        <w:t>HỢP ĐỒNG ĐẶT CỌC THUÊ CĂN HỘ CHUNG CƯ</w:t>
      </w:r>
    </w:p>
    <w:p>
      <w:pPr>
        <w:keepLines w:val="0"/>
        <w:spacing w:after="180"/>
        <w:jc w:val="center"/>
      </w:pPr>
      <w:r>
        <w:rPr>
          <w:rFonts w:ascii="Times New Roman" w:hAnsi="Times New Roman" w:eastAsia="Times New Roman"/>
          <w:i/>
          <w:sz w:val="21"/>
        </w:rPr>
        <w:t>Ghi nhận tiền cọc giữ chỗ theo yêu cầu thuê được chấp nhận và thỏa thuận chuẩn bị giao kết hợp đồng thuê.</w:t>
      </w:r>
    </w:p>
    <w:p>
      <w:pPr>
        <w:keepLines w:val="0"/>
        <w:spacing w:after="40"/>
        <w:jc w:val="center"/>
      </w:pPr>
      <w:r>
        <w:rPr>
          <w:rFonts w:ascii="Times New Roman" w:hAnsi="Times New Roman" w:eastAsia="Times New Roman"/>
          <w:sz w:val="24"/>
        </w:rPr>
        <w:t xml:space="preserve">Số văn bản: </w:t>
      </w:r>
      <w:r>
        <w:rPr>
          <w:rFonts w:ascii="Times New Roman" w:hAnsi="Times New Roman" w:eastAsia="Times New Roman"/>
          <w:color w:val="1C334C"/>
          <w:sz w:val="24"/>
        </w:rPr>
        <w:t>{{depositAgreement.number}}</w:t>
      </w:r>
    </w:p>
    <w:p>
      <w:pPr>
        <w:keepLines w:val="0"/>
        <w:spacing w:after="220"/>
        <w:jc w:val="center"/>
      </w:pPr>
      <w:r>
        <w:rPr>
          <w:rFonts w:ascii="Times New Roman" w:hAnsi="Times New Roman" w:eastAsia="Times New Roman"/>
          <w:sz w:val="24"/>
        </w:rPr>
        <w:t xml:space="preserve">Ngày lập văn bản: </w:t>
      </w:r>
      <w:r>
        <w:rPr>
          <w:rFonts w:ascii="Times New Roman" w:hAnsi="Times New Roman" w:eastAsia="Times New Roman"/>
          <w:color w:val="1C334C"/>
          <w:sz w:val="24"/>
        </w:rPr>
        <w:t>{{depositAgreement.issuedAtText}}</w:t>
      </w:r>
    </w:p>
    <w:p>
      <w:pPr>
        <w:keepLines w:val="0"/>
      </w:pPr>
      <w:r>
        <w:rPr>
          <w:rFonts w:ascii="Times New Roman" w:hAnsi="Times New Roman" w:eastAsia="Times New Roman"/>
          <w:sz w:val="24"/>
        </w:rPr>
        <w:t>Căn cứ Bộ luật Dân sự năm 2015 và các văn bản sửa đổi, bổ sung còn hiệu lực;</w:t>
      </w:r>
    </w:p>
    <w:p>
      <w:pPr>
        <w:keepLines w:val="0"/>
      </w:pPr>
      <w:r>
        <w:rPr>
          <w:rFonts w:ascii="Times New Roman" w:hAnsi="Times New Roman" w:eastAsia="Times New Roman"/>
          <w:sz w:val="24"/>
        </w:rPr>
        <w:t>Căn cứ Luật Nhà ở năm 2023 trong phạm vi áp dụng và các văn bản sửa đổi, bổ sung còn hiệu lực;</w:t>
      </w:r>
    </w:p>
    <w:p>
      <w:pPr>
        <w:keepLines w:val="0"/>
      </w:pPr>
      <w:r>
        <w:rPr>
          <w:rFonts w:ascii="Times New Roman" w:hAnsi="Times New Roman" w:eastAsia="Times New Roman"/>
          <w:sz w:val="24"/>
        </w:rPr>
        <w:t>Căn cứ Luật Giao dịch điện tử năm 2023 và các văn bản sửa đổi, bổ sung còn hiệu lực;</w:t>
      </w:r>
    </w:p>
    <w:p>
      <w:pPr>
        <w:keepLines w:val="0"/>
      </w:pPr>
      <w:r>
        <w:rPr>
          <w:rFonts w:ascii="Times New Roman" w:hAnsi="Times New Roman" w:eastAsia="Times New Roman"/>
          <w:sz w:val="24"/>
        </w:rPr>
        <w:t>Căn cứ yêu cầu thuê đã được chấp nhận, điều kiện giữ chỗ có hiệu lực và thông tin xác nhận thanh toán được hai bên ghi nhận qua HomeSpace.</w:t>
      </w:r>
    </w:p>
    <w:p>
      <w:pPr>
        <w:keepLines w:val="0"/>
      </w:pPr>
      <w:r>
        <w:rPr>
          <w:rFonts w:ascii="Times New Roman" w:hAnsi="Times New Roman" w:eastAsia="Times New Roman"/>
          <w:sz w:val="24"/>
        </w:rPr>
        <w:t>Văn bản này ghi nhận khoản tiền cọc đã được Bên A xác nhận nhận từ Bên B để giữ chỗ, chuẩn bị giao kết hợp đồng thuê và thực hiện việc nhận tài sản theo điều kiện đã được chấp thuận; việc lập văn bản không thay thế chữ ký đối với hợp đồng thuê trong tương lai.</w:t>
      </w:r>
    </w:p>
    <w:p>
      <w:pPr>
        <w:pStyle w:val="HSHeading"/>
        <w:keepNext/>
        <w:keepLines w:val="0"/>
      </w:pPr>
      <w:r>
        <w:rPr>
          <w:rFonts w:ascii="Times New Roman" w:hAnsi="Times New Roman" w:eastAsia="Times New Roman"/>
          <w:sz w:val="24"/>
        </w:rPr>
        <w:t>THÔNG TIN CÁC BÊN</w:t>
      </w:r>
    </w:p>
    <w:p>
      <w:pPr>
        <w:pStyle w:val="HSSubheading"/>
        <w:keepNext/>
        <w:keepLines w:val="0"/>
      </w:pPr>
      <w:r>
        <w:rPr>
          <w:rFonts w:ascii="Times New Roman" w:hAnsi="Times New Roman" w:eastAsia="Times New Roman"/>
          <w:sz w:val="24"/>
        </w:rPr>
        <w:t>BÊN A — BÊN NHẬN ĐẶT CỌC / DỰ KIẾN CHO THUÊ</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2891"/>
        <w:gridCol w:w="6293"/>
      </w:tblGrid>
      <w:tr>
        <w:trPr>
          <w:cantSplit/>
        </w:trPr>
        <w:tc>
          <w:tcPr>
            <w:tcW w:type="dxa" w:w="2891"/>
            <w:vAlign w:val="center"/>
            <w:shd w:fill="F3F5F8"/>
          </w:tcPr>
          <w:p>
            <w:pPr>
              <w:spacing w:after="40" w:before="40"/>
              <w:jc w:val="left"/>
            </w:pPr>
            <w:r>
              <w:rPr>
                <w:rFonts w:ascii="Times New Roman" w:hAnsi="Times New Roman"/>
                <w:b/>
                <w:sz w:val="24"/>
              </w:rPr>
              <w:t>Họ và tên</w:t>
            </w:r>
          </w:p>
        </w:tc>
        <w:tc>
          <w:tcPr>
            <w:tcW w:type="dxa" w:w="6293"/>
            <w:vAlign w:val="center"/>
          </w:tcPr>
          <w:p>
            <w:pPr>
              <w:spacing w:after="40" w:before="40"/>
              <w:jc w:val="left"/>
            </w:pPr>
            <w:r>
              <w:rPr>
                <w:rFonts w:ascii="Times New Roman" w:hAnsi="Times New Roman" w:eastAsia="Times New Roman"/>
                <w:color w:val="1C334C"/>
                <w:sz w:val="24"/>
              </w:rPr>
              <w:t>{{landlord.fullName}}</w:t>
            </w:r>
          </w:p>
        </w:tc>
      </w:tr>
      <w:tr>
        <w:trPr>
          <w:cantSplit/>
        </w:trPr>
        <w:tc>
          <w:tcPr>
            <w:tcW w:type="dxa" w:w="2891"/>
            <w:vAlign w:val="center"/>
            <w:shd w:fill="F3F5F8"/>
          </w:tcPr>
          <w:p>
            <w:pPr>
              <w:spacing w:after="40" w:before="40"/>
              <w:jc w:val="left"/>
            </w:pPr>
            <w:r>
              <w:rPr>
                <w:rFonts w:ascii="Times New Roman" w:hAnsi="Times New Roman"/>
                <w:b/>
                <w:sz w:val="24"/>
              </w:rPr>
              <w:t>Điện thoại</w:t>
            </w:r>
          </w:p>
        </w:tc>
        <w:tc>
          <w:tcPr>
            <w:tcW w:type="dxa" w:w="6293"/>
            <w:vAlign w:val="center"/>
          </w:tcPr>
          <w:p>
            <w:pPr>
              <w:spacing w:after="40" w:before="40"/>
              <w:jc w:val="left"/>
            </w:pPr>
            <w:r>
              <w:rPr>
                <w:rFonts w:ascii="Times New Roman" w:hAnsi="Times New Roman" w:eastAsia="Times New Roman"/>
                <w:color w:val="1C334C"/>
                <w:sz w:val="24"/>
              </w:rPr>
              <w:t>{{landlord.phone}}</w:t>
            </w:r>
          </w:p>
        </w:tc>
      </w:tr>
      <w:tr>
        <w:trPr>
          <w:cantSplit/>
        </w:trPr>
        <w:tc>
          <w:tcPr>
            <w:tcW w:type="dxa" w:w="2891"/>
            <w:vAlign w:val="center"/>
            <w:shd w:fill="F3F5F8"/>
          </w:tcPr>
          <w:p>
            <w:pPr>
              <w:spacing w:after="40" w:before="40"/>
              <w:jc w:val="left"/>
            </w:pPr>
            <w:r>
              <w:rPr>
                <w:rFonts w:ascii="Times New Roman" w:hAnsi="Times New Roman"/>
                <w:b/>
                <w:sz w:val="24"/>
              </w:rPr>
              <w:t>Chủ tài khoản nhận tiền</w:t>
            </w:r>
          </w:p>
        </w:tc>
        <w:tc>
          <w:tcPr>
            <w:tcW w:type="dxa" w:w="6293"/>
            <w:vAlign w:val="center"/>
          </w:tcPr>
          <w:p>
            <w:pPr>
              <w:spacing w:after="40" w:before="40"/>
              <w:jc w:val="left"/>
            </w:pPr>
            <w:r>
              <w:rPr>
                <w:rFonts w:ascii="Times New Roman" w:hAnsi="Times New Roman" w:eastAsia="Times New Roman"/>
                <w:color w:val="1C334C"/>
                <w:sz w:val="24"/>
              </w:rPr>
              <w:t>{{landlord.bankAccountHolder}}</w:t>
            </w:r>
          </w:p>
        </w:tc>
      </w:tr>
      <w:tr>
        <w:trPr>
          <w:cantSplit/>
        </w:trPr>
        <w:tc>
          <w:tcPr>
            <w:tcW w:type="dxa" w:w="2891"/>
            <w:vAlign w:val="center"/>
            <w:shd w:fill="F3F5F8"/>
          </w:tcPr>
          <w:p>
            <w:pPr>
              <w:spacing w:after="40" w:before="40"/>
              <w:jc w:val="left"/>
            </w:pPr>
            <w:r>
              <w:rPr>
                <w:rFonts w:ascii="Times New Roman" w:hAnsi="Times New Roman"/>
                <w:b/>
                <w:sz w:val="24"/>
              </w:rPr>
              <w:t>Số tài khoản nhận tiền</w:t>
            </w:r>
          </w:p>
        </w:tc>
        <w:tc>
          <w:tcPr>
            <w:tcW w:type="dxa" w:w="6293"/>
            <w:vAlign w:val="center"/>
          </w:tcPr>
          <w:p>
            <w:pPr>
              <w:spacing w:after="40" w:before="40"/>
              <w:jc w:val="left"/>
            </w:pPr>
            <w:r>
              <w:rPr>
                <w:rFonts w:ascii="Times New Roman" w:hAnsi="Times New Roman" w:eastAsia="Times New Roman"/>
                <w:color w:val="1C334C"/>
                <w:sz w:val="24"/>
              </w:rPr>
              <w:t>{{landlord.bankAccountNumber}}</w:t>
            </w:r>
          </w:p>
        </w:tc>
      </w:tr>
      <w:tr>
        <w:trPr>
          <w:cantSplit/>
        </w:trPr>
        <w:tc>
          <w:tcPr>
            <w:tcW w:type="dxa" w:w="2891"/>
            <w:vAlign w:val="center"/>
            <w:shd w:fill="F3F5F8"/>
          </w:tcPr>
          <w:p>
            <w:pPr>
              <w:spacing w:after="40" w:before="40"/>
              <w:jc w:val="left"/>
            </w:pPr>
            <w:r>
              <w:rPr>
                <w:rFonts w:ascii="Times New Roman" w:hAnsi="Times New Roman"/>
                <w:b/>
                <w:sz w:val="24"/>
              </w:rPr>
              <w:t>Ngân hàng nhận tiền</w:t>
            </w:r>
          </w:p>
        </w:tc>
        <w:tc>
          <w:tcPr>
            <w:tcW w:type="dxa" w:w="6293"/>
            <w:vAlign w:val="center"/>
          </w:tcPr>
          <w:p>
            <w:pPr>
              <w:spacing w:after="40" w:before="40"/>
              <w:jc w:val="left"/>
            </w:pPr>
            <w:r>
              <w:rPr>
                <w:rFonts w:ascii="Times New Roman" w:hAnsi="Times New Roman" w:eastAsia="Times New Roman"/>
                <w:color w:val="1C334C"/>
                <w:sz w:val="24"/>
              </w:rPr>
              <w:t>{{landlord.bankName}}</w:t>
            </w:r>
          </w:p>
        </w:tc>
      </w:tr>
    </w:tbl>
    <w:p>
      <w:pPr>
        <w:pStyle w:val="HSSubheading"/>
        <w:keepNext/>
        <w:keepLines w:val="0"/>
      </w:pPr>
      <w:r>
        <w:rPr>
          <w:rFonts w:ascii="Times New Roman" w:hAnsi="Times New Roman" w:eastAsia="Times New Roman"/>
          <w:sz w:val="24"/>
        </w:rPr>
        <w:t>BÊN B — BÊN ĐẶT CỌC / DỰ KIẾN THUÊ</w:t>
      </w:r>
    </w:p>
    <w:tbl>
      <w:tblPr>
        <w:tblW w:type="auto" w:w="0"/>
        <w:jc w:val="center"/>
        <w:tblLayout w:type="fixed"/>
        <w:tblLook w:firstColumn="1" w:firstRow="1" w:lastColumn="0" w:lastRow="0" w:noHBand="0" w:noVBand="1" w:val="04A0"/>
        <w:tblBorders>
          <w:top w:val="single" w:sz="4" w:color="D6DCE3"/>
          <w:left w:val="single" w:sz="4" w:color="D6DCE3"/>
          <w:bottom w:val="single" w:sz="4" w:color="D6DCE3"/>
          <w:right w:val="single" w:sz="4" w:color="D6DCE3"/>
          <w:insideH w:val="single" w:sz="4" w:color="D6DCE3"/>
          <w:insideV w:val="single" w:sz="4" w:color="D6DCE3"/>
        </w:tblBorders>
      </w:tblPr>
      <w:tblGrid>
        <w:gridCol w:w="2891"/>
        <w:gridCol w:w="6293"/>
      </w:tblGrid>
      <w:tr>
        <w:trPr>
          <w:cantSplit/>
        </w:trPr>
        <w:tc>
          <w:tcPr>
            <w:tcW w:type="dxa" w:w="2891"/>
            <w:vAlign w:val="center"/>
            <w:shd w:fill="F3F5F8"/>
          </w:tcPr>
          <w:p>
            <w:pPr>
              <w:spacing w:after="40" w:before="40"/>
              <w:jc w:val="left"/>
            </w:pPr>
            <w:r>
              <w:rPr>
                <w:rFonts w:ascii="Times New Roman" w:hAnsi="Times New Roman"/>
                <w:b/>
                <w:sz w:val="24"/>
              </w:rPr>
              <w:t>Họ và tên</w:t>
            </w:r>
          </w:p>
        </w:tc>
        <w:tc>
          <w:tcPr>
            <w:tcW w:type="dxa" w:w="6293"/>
            <w:vAlign w:val="center"/>
          </w:tcPr>
          <w:p>
            <w:pPr>
              <w:spacing w:after="40" w:before="40"/>
              <w:jc w:val="left"/>
            </w:pPr>
            <w:r>
              <w:rPr>
                <w:rFonts w:ascii="Times New Roman" w:hAnsi="Times New Roman" w:eastAsia="Times New Roman"/>
                <w:color w:val="1C334C"/>
                <w:sz w:val="24"/>
              </w:rPr>
              <w:t>{{tenant.fullName}}</w:t>
            </w:r>
          </w:p>
        </w:tc>
      </w:tr>
      <w:tr>
        <w:trPr>
          <w:cantSplit/>
        </w:trPr>
        <w:tc>
          <w:tcPr>
            <w:tcW w:type="dxa" w:w="2891"/>
            <w:vAlign w:val="center"/>
            <w:shd w:fill="F3F5F8"/>
          </w:tcPr>
          <w:p>
            <w:pPr>
              <w:spacing w:after="40" w:before="40"/>
              <w:jc w:val="left"/>
            </w:pPr>
            <w:r>
              <w:rPr>
                <w:rFonts w:ascii="Times New Roman" w:hAnsi="Times New Roman"/>
                <w:b/>
                <w:sz w:val="24"/>
              </w:rPr>
              <w:t>Điện thoại</w:t>
            </w:r>
          </w:p>
        </w:tc>
        <w:tc>
          <w:tcPr>
            <w:tcW w:type="dxa" w:w="6293"/>
            <w:vAlign w:val="center"/>
          </w:tcPr>
          <w:p>
            <w:pPr>
              <w:spacing w:after="40" w:before="40"/>
              <w:jc w:val="left"/>
            </w:pPr>
            <w:r>
              <w:rPr>
                <w:rFonts w:ascii="Times New Roman" w:hAnsi="Times New Roman" w:eastAsia="Times New Roman"/>
                <w:color w:val="1C334C"/>
                <w:sz w:val="24"/>
              </w:rPr>
              <w:t>{{tenant.phone}}</w:t>
            </w:r>
          </w:p>
        </w:tc>
      </w:tr>
      <w:tr>
        <w:trPr>
          <w:cantSplit/>
        </w:trPr>
        <w:tc>
          <w:tcPr>
            <w:tcW w:type="dxa" w:w="2891"/>
            <w:vAlign w:val="center"/>
            <w:shd w:fill="F3F5F8"/>
          </w:tcPr>
          <w:p>
            <w:pPr>
              <w:spacing w:after="40" w:before="40"/>
              <w:jc w:val="left"/>
            </w:pPr>
            <w:r>
              <w:rPr>
                <w:rFonts w:ascii="Times New Roman" w:hAnsi="Times New Roman"/>
                <w:b/>
                <w:sz w:val="24"/>
              </w:rPr>
              <w:t>Chủ tài khoản nhận hoàn</w:t>
            </w:r>
          </w:p>
        </w:tc>
        <w:tc>
          <w:tcPr>
            <w:tcW w:type="dxa" w:w="6293"/>
            <w:vAlign w:val="center"/>
          </w:tcPr>
          <w:p>
            <w:pPr>
              <w:spacing w:after="40" w:before="40"/>
              <w:jc w:val="left"/>
            </w:pPr>
            <w:r>
              <w:rPr>
                <w:rFonts w:ascii="Times New Roman" w:hAnsi="Times New Roman" w:eastAsia="Times New Roman"/>
                <w:color w:val="1C334C"/>
                <w:sz w:val="24"/>
              </w:rPr>
              <w:t>{{tenant.bankAccountHolder}}</w:t>
            </w:r>
          </w:p>
        </w:tc>
      </w:tr>
      <w:tr>
        <w:trPr>
          <w:cantSplit/>
        </w:trPr>
        <w:tc>
          <w:tcPr>
            <w:tcW w:type="dxa" w:w="2891"/>
            <w:vAlign w:val="center"/>
            <w:shd w:fill="F3F5F8"/>
          </w:tcPr>
          <w:p>
            <w:pPr>
              <w:spacing w:after="40" w:before="40"/>
              <w:jc w:val="left"/>
            </w:pPr>
            <w:r>
              <w:rPr>
                <w:rFonts w:ascii="Times New Roman" w:hAnsi="Times New Roman"/>
                <w:b/>
                <w:sz w:val="24"/>
              </w:rPr>
              <w:t>Số tài khoản nhận hoàn</w:t>
            </w:r>
          </w:p>
        </w:tc>
        <w:tc>
          <w:tcPr>
            <w:tcW w:type="dxa" w:w="6293"/>
            <w:vAlign w:val="center"/>
          </w:tcPr>
          <w:p>
            <w:pPr>
              <w:spacing w:after="40" w:before="40"/>
              <w:jc w:val="left"/>
            </w:pPr>
            <w:r>
              <w:rPr>
                <w:rFonts w:ascii="Times New Roman" w:hAnsi="Times New Roman" w:eastAsia="Times New Roman"/>
                <w:color w:val="1C334C"/>
                <w:sz w:val="24"/>
              </w:rPr>
              <w:t>{{tenant.bankAccountNumber}}</w:t>
            </w:r>
          </w:p>
        </w:tc>
      </w:tr>
      <w:tr>
        <w:trPr>
          <w:cantSplit/>
        </w:trPr>
        <w:tc>
          <w:tcPr>
            <w:tcW w:type="dxa" w:w="2891"/>
            <w:vAlign w:val="center"/>
            <w:shd w:fill="F3F5F8"/>
          </w:tcPr>
          <w:p>
            <w:pPr>
              <w:spacing w:after="40" w:before="40"/>
              <w:jc w:val="left"/>
            </w:pPr>
            <w:r>
              <w:rPr>
                <w:rFonts w:ascii="Times New Roman" w:hAnsi="Times New Roman"/>
                <w:b/>
                <w:sz w:val="24"/>
              </w:rPr>
              <w:t>Ngân hàng nhận hoàn</w:t>
            </w:r>
          </w:p>
        </w:tc>
        <w:tc>
          <w:tcPr>
            <w:tcW w:type="dxa" w:w="6293"/>
            <w:vAlign w:val="center"/>
          </w:tcPr>
          <w:p>
            <w:pPr>
              <w:spacing w:after="40" w:before="40"/>
              <w:jc w:val="left"/>
            </w:pPr>
            <w:r>
              <w:rPr>
                <w:rFonts w:ascii="Times New Roman" w:hAnsi="Times New Roman" w:eastAsia="Times New Roman"/>
                <w:color w:val="1C334C"/>
                <w:sz w:val="24"/>
              </w:rPr>
              <w:t>{{tenant.bankName}}</w:t>
            </w:r>
          </w:p>
        </w:tc>
      </w:tr>
    </w:tbl>
    <w:p>
      <w:pPr>
        <w:keepNext/>
        <w:keepLines w:val="0"/>
        <w:spacing w:after="40"/>
      </w:pPr>
      <w:r>
        <w:rPr>
          <w:rFonts w:ascii="Times New Roman" w:hAnsi="Times New Roman" w:eastAsia="Times New Roman"/>
          <w:sz w:val="24"/>
        </w:rPr>
        <w:t>Các thông tin bổ sung có nguồn ghi nhận được thể hiện tại bảng sau:</w:t>
      </w:r>
    </w:p>
    <w:p>
      <w:pPr>
        <w:pStyle w:val="HSMarker"/>
      </w:pPr>
      <w:r>
        <w:rPr>
          <w:rFonts w:ascii="Times New Roman" w:hAnsi="Times New Roman"/>
          <w:color w:val="1C334C"/>
          <w:sz w:val="24"/>
        </w:rPr>
        <w:t>{{#depositOptionalInfoTable}}</w:t>
      </w:r>
    </w:p>
    <w:p>
      <w:pPr>
        <w:pStyle w:val="HSHeading"/>
        <w:keepNext/>
        <w:keepLines w:val="0"/>
      </w:pPr>
      <w:r>
        <w:rPr>
          <w:rFonts w:ascii="Times New Roman" w:hAnsi="Times New Roman" w:eastAsia="Times New Roman"/>
          <w:sz w:val="24"/>
        </w:rPr>
        <w:t>ĐIỀU 1. HỒ SƠ GIỮ CHỖ, TÀI SẢN VÀ ĐIỀU KIỆN THUÊ DỰ KIẾN</w:t>
      </w:r>
    </w:p>
    <w:p>
      <w:pPr>
        <w:keepLines w:val="0"/>
      </w:pPr>
      <w:r>
        <w:rPr>
          <w:rFonts w:ascii="Times New Roman" w:hAnsi="Times New Roman" w:eastAsia="Times New Roman"/>
          <w:sz w:val="24"/>
        </w:rPr>
        <w:t xml:space="preserve">1.1. Yêu cầu thuê có mã tham chiếu </w:t>
      </w:r>
      <w:r>
        <w:rPr>
          <w:rFonts w:ascii="Times New Roman" w:hAnsi="Times New Roman" w:eastAsia="Times New Roman"/>
          <w:color w:val="1C334C"/>
          <w:sz w:val="24"/>
        </w:rPr>
        <w:t>{{rentalRequest.reference}}</w:t>
      </w:r>
      <w:r>
        <w:rPr>
          <w:rFonts w:ascii="Times New Roman" w:hAnsi="Times New Roman" w:eastAsia="Times New Roman"/>
          <w:sz w:val="24"/>
        </w:rPr>
        <w:t xml:space="preserve">, được Bên A chấp nhận vào </w:t>
      </w:r>
      <w:r>
        <w:rPr>
          <w:rFonts w:ascii="Times New Roman" w:hAnsi="Times New Roman" w:eastAsia="Times New Roman"/>
          <w:color w:val="1C334C"/>
          <w:sz w:val="24"/>
        </w:rPr>
        <w:t>{{rentalRequest.acceptedAtText}}</w:t>
      </w:r>
      <w:r>
        <w:rPr>
          <w:rFonts w:ascii="Times New Roman" w:hAnsi="Times New Roman" w:eastAsia="Times New Roman"/>
          <w:sz w:val="24"/>
        </w:rPr>
        <w:t>. Hồ sơ được chấp nhận là căn cứ đối chiếu nội dung giữ chỗ trước khi các bên giao kết hợp đồng thuê.</w:t>
      </w:r>
    </w:p>
    <w:p>
      <w:pPr>
        <w:keepLines w:val="0"/>
      </w:pPr>
      <w:r>
        <w:rPr>
          <w:rFonts w:ascii="Times New Roman" w:hAnsi="Times New Roman" w:eastAsia="Times New Roman"/>
          <w:sz w:val="24"/>
        </w:rPr>
        <w:t xml:space="preserve">1.2. Loại hình bất động sản: </w:t>
      </w:r>
      <w:r>
        <w:rPr>
          <w:rFonts w:ascii="Times New Roman" w:hAnsi="Times New Roman" w:eastAsia="Times New Roman"/>
          <w:color w:val="1C334C"/>
          <w:sz w:val="24"/>
        </w:rPr>
        <w:t>{{property.propertyType}}</w:t>
      </w:r>
      <w:r>
        <w:rPr>
          <w:rFonts w:ascii="Times New Roman" w:hAnsi="Times New Roman" w:eastAsia="Times New Roman"/>
          <w:sz w:val="24"/>
        </w:rPr>
        <w:t xml:space="preserve">. Địa chỉ tài sản thuê: </w:t>
      </w:r>
      <w:r>
        <w:rPr>
          <w:rFonts w:ascii="Times New Roman" w:hAnsi="Times New Roman" w:eastAsia="Times New Roman"/>
          <w:color w:val="1C334C"/>
          <w:sz w:val="24"/>
        </w:rPr>
        <w:t>{{property.fullAddress}}</w:t>
      </w:r>
      <w:r>
        <w:rPr>
          <w:rFonts w:ascii="Times New Roman" w:hAnsi="Times New Roman" w:eastAsia="Times New Roman"/>
          <w:sz w:val="24"/>
        </w:rPr>
        <w:t xml:space="preserve">. Diện tích sử dụng theo hồ sơ: </w:t>
      </w:r>
      <w:r>
        <w:rPr>
          <w:rFonts w:ascii="Times New Roman" w:hAnsi="Times New Roman" w:eastAsia="Times New Roman"/>
          <w:color w:val="1C334C"/>
          <w:sz w:val="24"/>
        </w:rPr>
        <w:t>{{property.areaText}}</w:t>
      </w:r>
      <w:r>
        <w:rPr>
          <w:rFonts w:ascii="Times New Roman" w:hAnsi="Times New Roman" w:eastAsia="Times New Roman"/>
          <w:sz w:val="24"/>
        </w:rPr>
        <w:t>.</w:t>
      </w:r>
    </w:p>
    <w:p>
      <w:pPr>
        <w:keepLines w:val="0"/>
      </w:pPr>
      <w:r>
        <w:rPr>
          <w:rFonts w:ascii="Times New Roman" w:hAnsi="Times New Roman" w:eastAsia="Times New Roman"/>
          <w:sz w:val="24"/>
        </w:rPr>
        <w:t xml:space="preserve">1.3. Số căn hộ được giữ chỗ: </w:t>
      </w:r>
      <w:r>
        <w:rPr>
          <w:rFonts w:ascii="Times New Roman" w:hAnsi="Times New Roman" w:eastAsia="Times New Roman"/>
          <w:color w:val="1C334C"/>
          <w:sz w:val="24"/>
        </w:rPr>
        <w:t>{{property.unitNumber}}</w:t>
      </w:r>
      <w:r>
        <w:rPr>
          <w:rFonts w:ascii="Times New Roman" w:hAnsi="Times New Roman" w:eastAsia="Times New Roman"/>
          <w:sz w:val="24"/>
        </w:rPr>
        <w:t>.</w:t>
      </w:r>
    </w:p>
    <w:p>
      <w:pPr>
        <w:keepLines w:val="0"/>
      </w:pPr>
      <w:r>
        <w:rPr>
          <w:rFonts w:ascii="Times New Roman" w:hAnsi="Times New Roman" w:eastAsia="Times New Roman"/>
          <w:sz w:val="24"/>
        </w:rPr>
        <w:t>1.4. Đối tượng giữ chỗ chỉ là căn hộ được định danh trong hồ sơ, không phải toàn bộ tòa chung cư hoặc khu vực sở hữu chung. Tên dự án, tầng và phạm vi sử dụng cụ thể chỉ áp dụng theo dữ liệu của tài sản đã được chấp nhận hoặc thông tin bổ sung có nguồn.</w:t>
      </w:r>
    </w:p>
    <w:p>
      <w:pPr>
        <w:keepLines w:val="0"/>
      </w:pPr>
      <w:r>
        <w:rPr>
          <w:rFonts w:ascii="Times New Roman" w:hAnsi="Times New Roman" w:eastAsia="Times New Roman"/>
          <w:sz w:val="24"/>
        </w:rPr>
        <w:t xml:space="preserve">1.5. Thời hạn thuê dự kiến là </w:t>
      </w:r>
      <w:r>
        <w:rPr>
          <w:rFonts w:ascii="Times New Roman" w:hAnsi="Times New Roman" w:eastAsia="Times New Roman"/>
          <w:color w:val="1C334C"/>
          <w:sz w:val="24"/>
        </w:rPr>
        <w:t>{{lease.durationMonths}}</w:t>
      </w:r>
      <w:r>
        <w:rPr>
          <w:rFonts w:ascii="Times New Roman" w:hAnsi="Times New Roman" w:eastAsia="Times New Roman"/>
          <w:sz w:val="24"/>
        </w:rPr>
        <w:t xml:space="preserve"> tháng, bắt đầu từ </w:t>
      </w:r>
      <w:r>
        <w:rPr>
          <w:rFonts w:ascii="Times New Roman" w:hAnsi="Times New Roman" w:eastAsia="Times New Roman"/>
          <w:color w:val="1C334C"/>
          <w:sz w:val="24"/>
        </w:rPr>
        <w:t>{{lease.startDateText}}</w:t>
      </w:r>
      <w:r>
        <w:rPr>
          <w:rFonts w:ascii="Times New Roman" w:hAnsi="Times New Roman" w:eastAsia="Times New Roman"/>
          <w:sz w:val="24"/>
        </w:rPr>
        <w:t xml:space="preserve"> đến hết ngày </w:t>
      </w:r>
      <w:r>
        <w:rPr>
          <w:rFonts w:ascii="Times New Roman" w:hAnsi="Times New Roman" w:eastAsia="Times New Roman"/>
          <w:color w:val="1C334C"/>
          <w:sz w:val="24"/>
        </w:rPr>
        <w:t>{{lease.endDateText}}</w:t>
      </w:r>
      <w:r>
        <w:rPr>
          <w:rFonts w:ascii="Times New Roman" w:hAnsi="Times New Roman" w:eastAsia="Times New Roman"/>
          <w:sz w:val="24"/>
        </w:rPr>
        <w:t xml:space="preserve">; giá thuê mỗi tháng là </w:t>
      </w:r>
      <w:r>
        <w:rPr>
          <w:rFonts w:ascii="Times New Roman" w:hAnsi="Times New Roman" w:eastAsia="Times New Roman"/>
          <w:color w:val="1C334C"/>
          <w:sz w:val="24"/>
        </w:rPr>
        <w:t>{{rent.amountNumber}}</w:t>
      </w:r>
      <w:r>
        <w:rPr>
          <w:rFonts w:ascii="Times New Roman" w:hAnsi="Times New Roman" w:eastAsia="Times New Roman"/>
          <w:sz w:val="24"/>
        </w:rPr>
        <w:t xml:space="preserve"> (bằng chữ: </w:t>
      </w:r>
      <w:r>
        <w:rPr>
          <w:rFonts w:ascii="Times New Roman" w:hAnsi="Times New Roman" w:eastAsia="Times New Roman"/>
          <w:color w:val="1C334C"/>
          <w:sz w:val="24"/>
        </w:rPr>
        <w:t>{{rent.amountWords}}</w:t>
      </w:r>
      <w:r>
        <w:rPr>
          <w:rFonts w:ascii="Times New Roman" w:hAnsi="Times New Roman" w:eastAsia="Times New Roman"/>
          <w:sz w:val="24"/>
        </w:rPr>
        <w:t>). Các thông tin này là điều kiện của hồ sơ thuê đã được chấp nhận, chưa xác nhận hợp đồng thuê đã ký.</w:t>
      </w:r>
    </w:p>
    <w:p>
      <w:pPr>
        <w:keepLines w:val="0"/>
      </w:pPr>
      <w:r>
        <w:rPr>
          <w:rFonts w:ascii="Times New Roman" w:hAnsi="Times New Roman" w:eastAsia="Times New Roman"/>
          <w:sz w:val="24"/>
        </w:rPr>
        <w:t xml:space="preserve">1.6. Số người đăng ký dự kiến: </w:t>
      </w:r>
      <w:r>
        <w:rPr>
          <w:rFonts w:ascii="Times New Roman" w:hAnsi="Times New Roman" w:eastAsia="Times New Roman"/>
          <w:color w:val="1C334C"/>
          <w:sz w:val="24"/>
        </w:rPr>
        <w:t>{{tenant.occupantCount}}</w:t>
      </w:r>
      <w:r>
        <w:rPr>
          <w:rFonts w:ascii="Times New Roman" w:hAnsi="Times New Roman" w:eastAsia="Times New Roman"/>
          <w:sz w:val="24"/>
        </w:rPr>
        <w:t xml:space="preserve">; số xe máy đăng ký: </w:t>
      </w:r>
      <w:r>
        <w:rPr>
          <w:rFonts w:ascii="Times New Roman" w:hAnsi="Times New Roman" w:eastAsia="Times New Roman"/>
          <w:color w:val="1C334C"/>
          <w:sz w:val="24"/>
        </w:rPr>
        <w:t>{{tenant.motorbikeCount}}</w:t>
      </w:r>
      <w:r>
        <w:rPr>
          <w:rFonts w:ascii="Times New Roman" w:hAnsi="Times New Roman" w:eastAsia="Times New Roman"/>
          <w:sz w:val="24"/>
        </w:rPr>
        <w:t xml:space="preserve">; số ô tô đăng ký: </w:t>
      </w:r>
      <w:r>
        <w:rPr>
          <w:rFonts w:ascii="Times New Roman" w:hAnsi="Times New Roman" w:eastAsia="Times New Roman"/>
          <w:color w:val="1C334C"/>
          <w:sz w:val="24"/>
        </w:rPr>
        <w:t>{{tenant.carCount}}</w:t>
      </w:r>
      <w:r>
        <w:rPr>
          <w:rFonts w:ascii="Times New Roman" w:hAnsi="Times New Roman" w:eastAsia="Times New Roman"/>
          <w:sz w:val="24"/>
        </w:rPr>
        <w:t>. Việc đăng ký phương tiện không mặc nhiên xác nhận số chỗ đậu xe độc quyền, quyền sử dụng hoặc miễn phí gửi xe.</w:t>
      </w:r>
    </w:p>
    <w:p>
      <w:pPr>
        <w:keepLines w:val="0"/>
      </w:pPr>
      <w:r>
        <w:rPr>
          <w:rFonts w:ascii="Times New Roman" w:hAnsi="Times New Roman" w:eastAsia="Times New Roman"/>
          <w:sz w:val="24"/>
        </w:rPr>
        <w:t>1.7. Việc xác nhận đã nhận tiền cọc không có nghĩa tài sản đã được bàn giao hoặc Bên B đã nhận quyền sử dụng thực tế. Các điều kiện thuê được thể hiện trong hợp đồng thuê khi các bên hoàn tất việc giao kết hợp lệ.</w:t>
      </w:r>
    </w:p>
    <w:p>
      <w:pPr>
        <w:pStyle w:val="HSHeading"/>
        <w:keepNext/>
        <w:keepLines w:val="0"/>
      </w:pPr>
      <w:r>
        <w:rPr>
          <w:rFonts w:ascii="Times New Roman" w:hAnsi="Times New Roman" w:eastAsia="Times New Roman"/>
          <w:sz w:val="24"/>
        </w:rPr>
        <w:t>ĐIỀU 2. NGHĨA VỤ CỌC VÀ KHOẢN TIỀN ĐÃ ĐƯỢC XÁC NHẬN</w:t>
      </w:r>
    </w:p>
    <w:p>
      <w:pPr>
        <w:keepLines w:val="0"/>
      </w:pPr>
      <w:r>
        <w:rPr>
          <w:rFonts w:ascii="Times New Roman" w:hAnsi="Times New Roman" w:eastAsia="Times New Roman"/>
          <w:sz w:val="24"/>
        </w:rPr>
        <w:t xml:space="preserve">2.1. Nghĩa vụ đặt cọc theo yêu cầu thuê đã được chấp nhận: </w:t>
      </w:r>
      <w:r>
        <w:rPr>
          <w:rFonts w:ascii="Times New Roman" w:hAnsi="Times New Roman" w:eastAsia="Times New Roman"/>
          <w:color w:val="1C334C"/>
          <w:sz w:val="24"/>
        </w:rPr>
        <w:t>{{deposit.amountNumber}}</w:t>
      </w:r>
      <w:r>
        <w:rPr>
          <w:rFonts w:ascii="Times New Roman" w:hAnsi="Times New Roman" w:eastAsia="Times New Roman"/>
          <w:sz w:val="24"/>
        </w:rPr>
        <w:t xml:space="preserve"> (bằng chữ: </w:t>
      </w:r>
      <w:r>
        <w:rPr>
          <w:rFonts w:ascii="Times New Roman" w:hAnsi="Times New Roman" w:eastAsia="Times New Roman"/>
          <w:color w:val="1C334C"/>
          <w:sz w:val="24"/>
        </w:rPr>
        <w:t>{{deposit.amountWords}}</w:t>
      </w:r>
      <w:r>
        <w:rPr>
          <w:rFonts w:ascii="Times New Roman" w:hAnsi="Times New Roman" w:eastAsia="Times New Roman"/>
          <w:sz w:val="24"/>
        </w:rPr>
        <w:t>).</w:t>
      </w:r>
    </w:p>
    <w:p>
      <w:pPr>
        <w:keepLines w:val="0"/>
      </w:pPr>
      <w:r>
        <w:rPr>
          <w:rFonts w:ascii="Times New Roman" w:hAnsi="Times New Roman" w:eastAsia="Times New Roman"/>
          <w:sz w:val="24"/>
        </w:rPr>
        <w:t xml:space="preserve">2.2. Phần tiền cọc Bên A đã xác nhận nhận: </w:t>
      </w:r>
      <w:r>
        <w:rPr>
          <w:rFonts w:ascii="Times New Roman" w:hAnsi="Times New Roman" w:eastAsia="Times New Roman"/>
          <w:color w:val="1C334C"/>
          <w:sz w:val="24"/>
        </w:rPr>
        <w:t>{{depositPayment.confirmedAmountNumber}}</w:t>
      </w:r>
      <w:r>
        <w:rPr>
          <w:rFonts w:ascii="Times New Roman" w:hAnsi="Times New Roman" w:eastAsia="Times New Roman"/>
          <w:sz w:val="24"/>
        </w:rPr>
        <w:t xml:space="preserve"> (bằng chữ: </w:t>
      </w:r>
      <w:r>
        <w:rPr>
          <w:rFonts w:ascii="Times New Roman" w:hAnsi="Times New Roman" w:eastAsia="Times New Roman"/>
          <w:color w:val="1C334C"/>
          <w:sz w:val="24"/>
        </w:rPr>
        <w:t>{{depositPayment.confirmedAmountWords}}</w:t>
      </w:r>
      <w:r>
        <w:rPr>
          <w:rFonts w:ascii="Times New Roman" w:hAnsi="Times New Roman" w:eastAsia="Times New Roman"/>
          <w:sz w:val="24"/>
        </w:rPr>
        <w:t>). Số cọc này được đối chiếu với nghĩa vụ cọc theo hồ sơ.</w:t>
      </w:r>
    </w:p>
    <w:p>
      <w:pPr>
        <w:keepLines w:val="0"/>
      </w:pPr>
      <w:r>
        <w:rPr>
          <w:rFonts w:ascii="Times New Roman" w:hAnsi="Times New Roman" w:eastAsia="Times New Roman"/>
          <w:sz w:val="24"/>
        </w:rPr>
        <w:t xml:space="preserve">2.3. Loại giao dịch nguồn: </w:t>
      </w:r>
      <w:r>
        <w:rPr>
          <w:rFonts w:ascii="Times New Roman" w:hAnsi="Times New Roman" w:eastAsia="Times New Roman"/>
          <w:color w:val="1C334C"/>
          <w:sz w:val="24"/>
        </w:rPr>
        <w:t>{{depositPayment.typeText}}</w:t>
      </w:r>
      <w:r>
        <w:rPr>
          <w:rFonts w:ascii="Times New Roman" w:hAnsi="Times New Roman" w:eastAsia="Times New Roman"/>
          <w:sz w:val="24"/>
        </w:rPr>
        <w:t xml:space="preserve">. Tổng tiền của giao dịch đã được xác nhận: </w:t>
      </w:r>
      <w:r>
        <w:rPr>
          <w:rFonts w:ascii="Times New Roman" w:hAnsi="Times New Roman" w:eastAsia="Times New Roman"/>
          <w:color w:val="1C334C"/>
          <w:sz w:val="24"/>
        </w:rPr>
        <w:t>{{depositPayment.totalAmountNumber}}</w:t>
      </w:r>
      <w:r>
        <w:rPr>
          <w:rFonts w:ascii="Times New Roman" w:hAnsi="Times New Roman" w:eastAsia="Times New Roman"/>
          <w:sz w:val="24"/>
        </w:rPr>
        <w:t xml:space="preserve">; trong đó phần tiền thuê tháng đầu: </w:t>
      </w:r>
      <w:r>
        <w:rPr>
          <w:rFonts w:ascii="Times New Roman" w:hAnsi="Times New Roman" w:eastAsia="Times New Roman"/>
          <w:color w:val="1C334C"/>
          <w:sz w:val="24"/>
        </w:rPr>
        <w:t>{{depositPayment.rentComponentAmountNumber}}</w:t>
      </w:r>
      <w:r>
        <w:rPr>
          <w:rFonts w:ascii="Times New Roman" w:hAnsi="Times New Roman" w:eastAsia="Times New Roman"/>
          <w:sz w:val="24"/>
        </w:rPr>
        <w:t>; phần đặt cọc là số tiền ghi tại khoản 2.2. Đối với giao dịch thanh toán gộp, hai phần này được ghi nhận riêng, không đồng nhất tổng tiền với tiền cọc.</w:t>
      </w:r>
    </w:p>
    <w:p>
      <w:pPr>
        <w:keepLines w:val="0"/>
      </w:pPr>
      <w:r>
        <w:rPr>
          <w:rFonts w:ascii="Times New Roman" w:hAnsi="Times New Roman" w:eastAsia="Times New Roman"/>
          <w:sz w:val="24"/>
        </w:rPr>
        <w:t>2.4. Văn bản ghi nhận cọc chỉ được phát hành khi khoản thanh toán chứa tiền cọc dương đã được Bên A xác nhận nhận đủ và phần cọc đã nhận khớp nghĩa vụ cọc. Việc lập văn bản này không làm phát sinh nghĩa vụ chuyển lại khoản cọc đã được xác nhận hoặc thu cọc lần thứ hai.</w:t>
      </w:r>
    </w:p>
    <w:p>
      <w:pPr>
        <w:keepLines w:val="0"/>
      </w:pPr>
      <w:r>
        <w:rPr>
          <w:rFonts w:ascii="Times New Roman" w:hAnsi="Times New Roman" w:eastAsia="Times New Roman"/>
          <w:sz w:val="24"/>
        </w:rPr>
        <w:t>2.5. Không coi các khoản điện, nước, phí dịch vụ hoặc chi phí sử dụng thực tế đã thanh toán nếu giao dịch nguồn không ghi nhận. Những khoản dự tính cho thời gian thuê không được cộng vào số cọc đã nhận.</w:t>
      </w:r>
    </w:p>
    <w:p>
      <w:pPr>
        <w:pStyle w:val="HSHeading"/>
        <w:keepNext/>
        <w:keepLines w:val="0"/>
      </w:pPr>
      <w:r>
        <w:rPr>
          <w:rFonts w:ascii="Times New Roman" w:hAnsi="Times New Roman" w:eastAsia="Times New Roman"/>
          <w:sz w:val="24"/>
        </w:rPr>
        <w:t>ĐIỀU 3. CHUYỂN KHOẢN TRỰC TIẾP VÀ LỊCH SỬ XÁC NHẬN</w:t>
      </w:r>
    </w:p>
    <w:p>
      <w:pPr>
        <w:keepLines w:val="0"/>
      </w:pPr>
      <w:r>
        <w:rPr>
          <w:rFonts w:ascii="Times New Roman" w:hAnsi="Times New Roman" w:eastAsia="Times New Roman"/>
          <w:sz w:val="24"/>
        </w:rPr>
        <w:t>3.1. Bên B thanh toán trực tiếp vào tài khoản nhận tiền của Bên A được nêu trong phần thông tin các bên. Tài khoản Bên B trên văn bản là tài khoản đã đăng ký để nhận hoàn trả, không xác nhận đó là tài khoản thực tế được sử dụng để chuyển khoản.</w:t>
      </w:r>
    </w:p>
    <w:p>
      <w:pPr>
        <w:keepLines w:val="0"/>
      </w:pPr>
      <w:r>
        <w:rPr>
          <w:rFonts w:ascii="Times New Roman" w:hAnsi="Times New Roman" w:eastAsia="Times New Roman"/>
          <w:sz w:val="24"/>
        </w:rPr>
        <w:t xml:space="preserve">3.2. Nội dung chuyển khoản do hệ thống cung cấp cho giao dịch nguồn: </w:t>
      </w:r>
      <w:r>
        <w:rPr>
          <w:rFonts w:ascii="Times New Roman" w:hAnsi="Times New Roman" w:eastAsia="Times New Roman"/>
          <w:color w:val="1C334C"/>
          <w:sz w:val="24"/>
        </w:rPr>
        <w:t>{{depositPayment.transferReference}}</w:t>
      </w:r>
      <w:r>
        <w:rPr>
          <w:rFonts w:ascii="Times New Roman" w:hAnsi="Times New Roman" w:eastAsia="Times New Roman"/>
          <w:sz w:val="24"/>
        </w:rPr>
        <w:t xml:space="preserve">. Bên B khai báo đã chuyển tiền lúc </w:t>
      </w:r>
      <w:r>
        <w:rPr>
          <w:rFonts w:ascii="Times New Roman" w:hAnsi="Times New Roman" w:eastAsia="Times New Roman"/>
          <w:color w:val="1C334C"/>
          <w:sz w:val="24"/>
        </w:rPr>
        <w:t>{{depositPayment.payerReportedAt}}</w:t>
      </w:r>
      <w:r>
        <w:rPr>
          <w:rFonts w:ascii="Times New Roman" w:hAnsi="Times New Roman" w:eastAsia="Times New Roman"/>
          <w:sz w:val="24"/>
        </w:rPr>
        <w:t xml:space="preserve">; Bên A xác nhận đã nhận đủ giao dịch lúc </w:t>
      </w:r>
      <w:r>
        <w:rPr>
          <w:rFonts w:ascii="Times New Roman" w:hAnsi="Times New Roman" w:eastAsia="Times New Roman"/>
          <w:color w:val="1C334C"/>
          <w:sz w:val="24"/>
        </w:rPr>
        <w:t>{{depositPayment.payeeConfirmedAt}}</w:t>
      </w:r>
      <w:r>
        <w:rPr>
          <w:rFonts w:ascii="Times New Roman" w:hAnsi="Times New Roman" w:eastAsia="Times New Roman"/>
          <w:sz w:val="24"/>
        </w:rPr>
        <w:t xml:space="preserve">; HomeSpace ghi nhận hoàn tất xác nhận giữa các bên lúc </w:t>
      </w:r>
      <w:r>
        <w:rPr>
          <w:rFonts w:ascii="Times New Roman" w:hAnsi="Times New Roman" w:eastAsia="Times New Roman"/>
          <w:color w:val="1C334C"/>
          <w:sz w:val="24"/>
        </w:rPr>
        <w:t>{{depositPayment.confirmedAt}}</w:t>
      </w:r>
      <w:r>
        <w:rPr>
          <w:rFonts w:ascii="Times New Roman" w:hAnsi="Times New Roman" w:eastAsia="Times New Roman"/>
          <w:sz w:val="24"/>
        </w:rPr>
        <w:t>.</w:t>
      </w:r>
    </w:p>
    <w:p>
      <w:pPr>
        <w:keepLines w:val="0"/>
      </w:pPr>
      <w:r>
        <w:rPr>
          <w:rFonts w:ascii="Times New Roman" w:hAnsi="Times New Roman" w:eastAsia="Times New Roman"/>
          <w:sz w:val="24"/>
        </w:rPr>
        <w:t>3.3. HomeSpace cung cấp công cụ tính toán, hướng dẫn chuyển khoản và thông tin VietQR, lưu trữ yêu cầu, chứng từ và trạng thái do các bên cung cấp. HomeSpace không nhận tiền, không giữ tiền, không chuyển tiền thay các bên và không thay ngân hàng xác nhận giao dịch ghi Có hoặc ghi Nợ.</w:t>
      </w:r>
    </w:p>
    <w:p>
      <w:pPr>
        <w:keepLines w:val="0"/>
      </w:pPr>
      <w:r>
        <w:rPr>
          <w:rFonts w:ascii="Times New Roman" w:hAnsi="Times New Roman" w:eastAsia="Times New Roman"/>
          <w:sz w:val="24"/>
        </w:rPr>
        <w:t>3.4. Khi có chênh lệch giữa khai báo và thực tế, các bên có trách nhiệm đối soát bằng chứng từ ngân hàng và thông tin giao dịch có nguồn. Ảnh chuyển khoản hoặc thời điểm người trả báo chuyển không tự chứng minh ngân hàng đã thực hiện giao dịch. Việc thay đổi tài khoản cần được bên còn lại thông báo, xác nhận theo thỏa thuận và không sửa hồi tố văn bản này.</w:t>
      </w:r>
    </w:p>
    <w:p>
      <w:pPr>
        <w:pStyle w:val="HSHeading"/>
        <w:keepNext/>
        <w:keepLines w:val="0"/>
      </w:pPr>
      <w:r>
        <w:rPr>
          <w:rFonts w:ascii="Times New Roman" w:hAnsi="Times New Roman" w:eastAsia="Times New Roman"/>
          <w:sz w:val="24"/>
        </w:rPr>
        <w:t>ĐIỀU 4. ĐIỀU KIỆN GIỮ CHỖ VÀ XỬ LÝ TRƯỚC KHI THUÊ</w:t>
      </w:r>
    </w:p>
    <w:p>
      <w:pPr>
        <w:keepLines w:val="0"/>
      </w:pPr>
      <w:r>
        <w:rPr>
          <w:rFonts w:ascii="Times New Roman" w:hAnsi="Times New Roman" w:eastAsia="Times New Roman"/>
          <w:sz w:val="24"/>
        </w:rPr>
        <w:t xml:space="preserve">4.1. Bên B đã chấp thuận điều kiện giữ chỗ phiên bản </w:t>
      </w:r>
      <w:r>
        <w:rPr>
          <w:rFonts w:ascii="Times New Roman" w:hAnsi="Times New Roman" w:eastAsia="Times New Roman"/>
          <w:color w:val="1C334C"/>
          <w:sz w:val="24"/>
        </w:rPr>
        <w:t>{{rentalRequest.policyVersion}}</w:t>
      </w:r>
      <w:r>
        <w:rPr>
          <w:rFonts w:ascii="Times New Roman" w:hAnsi="Times New Roman" w:eastAsia="Times New Roman"/>
          <w:sz w:val="24"/>
        </w:rPr>
        <w:t xml:space="preserve"> tại thời điểm </w:t>
      </w:r>
      <w:r>
        <w:rPr>
          <w:rFonts w:ascii="Times New Roman" w:hAnsi="Times New Roman" w:eastAsia="Times New Roman"/>
          <w:color w:val="1C334C"/>
          <w:sz w:val="24"/>
        </w:rPr>
        <w:t>{{rentalRequest.policyAcceptedAtText}}</w:t>
      </w:r>
      <w:r>
        <w:rPr>
          <w:rFonts w:ascii="Times New Roman" w:hAnsi="Times New Roman" w:eastAsia="Times New Roman"/>
          <w:sz w:val="24"/>
        </w:rPr>
        <w:t>. Đây là thời điểm chấp thuận điều kiện giữ chỗ của yêu cầu thuê, không mặc nhiên là thời điểm ký văn bản này.</w:t>
      </w:r>
    </w:p>
    <w:p>
      <w:pPr>
        <w:keepNext/>
        <w:keepLines w:val="0"/>
        <w:spacing w:after="40"/>
      </w:pPr>
      <w:r>
        <w:rPr>
          <w:rFonts w:ascii="Times New Roman" w:hAnsi="Times New Roman" w:eastAsia="Times New Roman"/>
          <w:sz w:val="24"/>
        </w:rPr>
        <w:t>4.2. Nội dung điều kiện giữ chỗ đã được chấp thuận, áp dụng cho hồ sơ này:</w:t>
      </w:r>
    </w:p>
    <w:p>
      <w:pPr>
        <w:pStyle w:val="HSMarker"/>
      </w:pPr>
      <w:r>
        <w:rPr>
          <w:rFonts w:ascii="Times New Roman" w:hAnsi="Times New Roman"/>
          <w:color w:val="1C334C"/>
          <w:sz w:val="24"/>
        </w:rPr>
        <w:t>{{depositAgreement.reservationTerms}}</w:t>
      </w:r>
    </w:p>
    <w:p>
      <w:pPr>
        <w:keepLines w:val="0"/>
      </w:pPr>
      <w:r>
        <w:rPr>
          <w:rFonts w:ascii="Times New Roman" w:hAnsi="Times New Roman" w:eastAsia="Times New Roman"/>
          <w:sz w:val="24"/>
        </w:rPr>
        <w:t>4.3. Xử lý vi phạm trước khi thuê, thông báo, quyền phản hồi, phản đối, đối soát, giữ hoặc hoàn cọc phải dựa trên điều kiện đã được chấp thuận có căn cứ và pháp luật áp dụng. Không tự coi tiền cọc bị mất ngay do đồng hồ giữ chỗ kết thúc, không tự giữ toàn bộ khoản thanh toán gộp và không thực hiện cưỡng chế nhận lại tài sản.</w:t>
      </w:r>
    </w:p>
    <w:p>
      <w:pPr>
        <w:keepLines w:val="0"/>
      </w:pPr>
      <w:r>
        <w:rPr>
          <w:rFonts w:ascii="Times New Roman" w:hAnsi="Times New Roman" w:eastAsia="Times New Roman"/>
          <w:sz w:val="24"/>
        </w:rPr>
        <w:t>4.4. Lỗi hệ thống, thiếu văn bản để xem/ký hoặc hồ sơ chưa đủ điều kiện giao kết không tự được coi là vi phạm của Bên B. Nếu Bên A từ chối, không thể giao tài sản hoặc việc ký, bàn giao không diễn ra do lỗi của một bên, trách nhiệm và khoản phải hoàn được xác định theo thỏa thuận hợp lệ, chứng cứ và pháp luật; không mặc định mọi rủi ro thuộc Bên B.</w:t>
      </w:r>
    </w:p>
    <w:p>
      <w:pPr>
        <w:pStyle w:val="HSHeading"/>
        <w:keepNext/>
        <w:keepLines w:val="0"/>
      </w:pPr>
      <w:r>
        <w:rPr>
          <w:rFonts w:ascii="Times New Roman" w:hAnsi="Times New Roman" w:eastAsia="Times New Roman"/>
          <w:sz w:val="24"/>
        </w:rPr>
        <w:t>ĐIỀU 5. THANH TOÁN THÁNG ĐẦU, GIAO KẾT THUÊ VÀ CHUYỂN TIẾP CỌC</w:t>
      </w:r>
    </w:p>
    <w:p>
      <w:pPr>
        <w:keepNext/>
        <w:keepLines w:val="0"/>
        <w:spacing w:after="40"/>
      </w:pPr>
      <w:r>
        <w:rPr>
          <w:rFonts w:ascii="Times New Roman" w:hAnsi="Times New Roman" w:eastAsia="Times New Roman"/>
          <w:sz w:val="24"/>
        </w:rPr>
        <w:t>5.1. Tình trạng tiền thuê tháng đầu và các bước thực hiện tiếp theo tại thời điểm lập văn bản:</w:t>
      </w:r>
    </w:p>
    <w:p>
      <w:pPr>
        <w:pStyle w:val="HSMarker"/>
      </w:pPr>
      <w:r>
        <w:rPr>
          <w:rFonts w:ascii="Times New Roman" w:hAnsi="Times New Roman"/>
          <w:color w:val="1C334C"/>
          <w:sz w:val="24"/>
        </w:rPr>
        <w:t>{{depositAgreement.nextStepsText}}</w:t>
      </w:r>
    </w:p>
    <w:p>
      <w:pPr>
        <w:keepLines w:val="0"/>
      </w:pPr>
      <w:r>
        <w:rPr>
          <w:rFonts w:ascii="Times New Roman" w:hAnsi="Times New Roman" w:eastAsia="Times New Roman"/>
          <w:sz w:val="24"/>
        </w:rPr>
        <w:t>5.2. Khi hợp đồng thuê được giao kết hợp lệ, khoản cọc đã nhận theo văn bản này được liên kết và ghi nhận một lần vào hồ sơ thuê, không bị thu lại và không tự hoàn chỉ vì đã ký hợp đồng. Việc sử dụng cọc để bảo đảm nghĩa vụ trong thời hạn thuê thực hiện theo điều khoản mà các bên giao kết hợp lệ.</w:t>
      </w:r>
    </w:p>
    <w:p>
      <w:pPr>
        <w:keepLines w:val="0"/>
      </w:pPr>
      <w:r>
        <w:rPr>
          <w:rFonts w:ascii="Times New Roman" w:hAnsi="Times New Roman" w:eastAsia="Times New Roman"/>
          <w:sz w:val="24"/>
        </w:rPr>
        <w:t>5.3. Không mặc nhiên dùng cọc để bù tiền thuê tháng đầu hoặc chi phí khác. Mọi điều chỉnh ngày bắt đầu thuê, điều kiện giao kết hoặc việc sử dụng cọc phải có căn cứ xác nhận và lưu thành phiên bản bổ sung phù hợp; không thay đổi lịch sử đã nhận tiền.</w:t>
      </w:r>
    </w:p>
    <w:p>
      <w:pPr>
        <w:keepLines w:val="0"/>
      </w:pPr>
      <w:r>
        <w:rPr>
          <w:rFonts w:ascii="Times New Roman" w:hAnsi="Times New Roman" w:eastAsia="Times New Roman"/>
          <w:sz w:val="24"/>
        </w:rPr>
        <w:t>5.4. Văn bản này không chứng nhận tài sản đã được bàn giao và không cho phép mặc nhiên nhận nhà, căn hộ hoặc phòng trước khi hoàn tất các điều kiện thực tế áp dụng.</w:t>
      </w:r>
    </w:p>
    <w:p>
      <w:pPr>
        <w:pStyle w:val="HSHeading"/>
        <w:keepNext/>
        <w:keepLines w:val="0"/>
      </w:pPr>
      <w:r>
        <w:rPr>
          <w:rFonts w:ascii="Times New Roman" w:hAnsi="Times New Roman" w:eastAsia="Times New Roman"/>
          <w:sz w:val="24"/>
        </w:rPr>
        <w:t>ĐIỀU 6. QUYỀN, NGHĨA VỤ VÀ VIỆC HOÀN TIỀN</w:t>
      </w:r>
    </w:p>
    <w:p>
      <w:pPr>
        <w:keepLines w:val="0"/>
      </w:pPr>
      <w:r>
        <w:rPr>
          <w:rFonts w:ascii="Times New Roman" w:hAnsi="Times New Roman" w:eastAsia="Times New Roman"/>
          <w:sz w:val="24"/>
        </w:rPr>
        <w:t>6.1. Bên A cung cấp thông tin trung thực, bảo đảm tư cách cho thuê hợp pháp và giữ chỗ đúng tài sản theo hồ sơ có hiệu lực; phối hợp chuẩn bị ký và bàn giao theo thỏa thuận.</w:t>
      </w:r>
    </w:p>
    <w:p>
      <w:pPr>
        <w:keepLines w:val="0"/>
      </w:pPr>
      <w:r>
        <w:rPr>
          <w:rFonts w:ascii="Times New Roman" w:hAnsi="Times New Roman" w:eastAsia="Times New Roman"/>
          <w:sz w:val="24"/>
        </w:rPr>
        <w:t>6.2. Bên A giữ chỗ đúng căn hộ đã xác định, không bảo đảm quyền sở hữu riêng đối với phần chung. Cọc không mặc nhiên gồm phí quản lý, thẻ cư dân, thẻ xe, chỗ đậu xe, hồ bơi, phòng tập hoặc dịch vụ chung; các quyền và phí chỉ theo thỏa thuận có căn cứ.</w:t>
      </w:r>
    </w:p>
    <w:p>
      <w:pPr>
        <w:keepLines w:val="0"/>
      </w:pPr>
      <w:r>
        <w:rPr>
          <w:rFonts w:ascii="Times New Roman" w:hAnsi="Times New Roman" w:eastAsia="Times New Roman"/>
          <w:sz w:val="24"/>
        </w:rPr>
        <w:t>6.3. Bên B cung cấp thông tin đúng, kiểm tra tài khoản thụ hưởng, tuân thủ điều kiện giữ chỗ và phối hợp đối soát, chuẩn bị giao kết. Không tự phát sinh quyền sử dụng, nội quy hoặc phí ngoài hồ sơ đã chấp thuận.</w:t>
      </w:r>
    </w:p>
    <w:p>
      <w:pPr>
        <w:keepLines w:val="0"/>
      </w:pPr>
      <w:r>
        <w:rPr>
          <w:rFonts w:ascii="Times New Roman" w:hAnsi="Times New Roman" w:eastAsia="Times New Roman"/>
          <w:sz w:val="24"/>
        </w:rPr>
        <w:t>6.4. Hủy hoặc ngừng giao kết trước thuê được xử lý theo Điều 4 và quyết định, thỏa thuận có căn cứ, tách riêng cọc với phần thuê đã nhận (nếu có). Sau khi thuê, việc quyết toán và hoàn cọc theo hợp đồng hợp lệ và tình trạng bàn giao; không tự đặt thêm hạn hoàn hoặc khấu trừ.</w:t>
      </w:r>
    </w:p>
    <w:p>
      <w:pPr>
        <w:keepLines w:val="0"/>
      </w:pPr>
      <w:r>
        <w:rPr>
          <w:rFonts w:ascii="Times New Roman" w:hAnsi="Times New Roman" w:eastAsia="Times New Roman"/>
          <w:sz w:val="24"/>
        </w:rPr>
        <w:t>6.5. Bên A chuyển tiền phải hoàn trực tiếp vào tài khoản nhận hoàn đã xác nhận. Yêu cầu hoặc thông báo dự kiến hoàn không chứng minh Bên B đã nhận; việc hoàn tất dựa vào xác nhận chuyển và nhận tiền thực tế giữa hai bên.</w:t>
      </w:r>
    </w:p>
    <w:p>
      <w:pPr>
        <w:keepLines w:val="0"/>
      </w:pPr>
      <w:r>
        <w:rPr>
          <w:rFonts w:ascii="Times New Roman" w:hAnsi="Times New Roman" w:eastAsia="Times New Roman"/>
          <w:sz w:val="24"/>
        </w:rPr>
        <w:t>6.6. Tranh chấp về nghĩa vụ, khấu trừ, giữ hoặc hoàn cọc phát sinh sau này không làm mất lịch sử xác nhận phần cọc đã được ghi nhận tại văn bản này.</w:t>
      </w:r>
    </w:p>
    <w:p>
      <w:pPr>
        <w:pStyle w:val="HSHeading"/>
        <w:keepNext/>
        <w:keepLines w:val="0"/>
      </w:pPr>
      <w:r>
        <w:rPr>
          <w:rFonts w:ascii="Times New Roman" w:hAnsi="Times New Roman" w:eastAsia="Times New Roman"/>
          <w:sz w:val="24"/>
        </w:rPr>
        <w:t>ĐIỀU 7. SỬA ĐỔI, GIẢI QUYẾT TRANH CHẤP VÀ GIÁ TRỊ ĐIỆN TỬ</w:t>
      </w:r>
    </w:p>
    <w:p>
      <w:pPr>
        <w:keepLines w:val="0"/>
      </w:pPr>
      <w:r>
        <w:rPr>
          <w:rFonts w:ascii="Times New Roman" w:hAnsi="Times New Roman" w:eastAsia="Times New Roman"/>
          <w:sz w:val="24"/>
        </w:rPr>
        <w:t>7.1. Văn bản ghi nhận giữ chỗ và xác nhận cọc, không thay thế hợp đồng thuê giao kết sau này và không tự phát sinh quyền thuê chỉ vì được xuất.</w:t>
      </w:r>
    </w:p>
    <w:p>
      <w:pPr>
        <w:keepLines w:val="0"/>
      </w:pPr>
      <w:r>
        <w:rPr>
          <w:rFonts w:ascii="Times New Roman" w:hAnsi="Times New Roman" w:eastAsia="Times New Roman"/>
          <w:sz w:val="24"/>
        </w:rPr>
        <w:t>7.2. Mọi sửa đổi quyền, nghĩa vụ hoặc thông tin đã ghi nhận phải được người có thẩm quyền chấp thuận và lưu lịch sử. Tranh chấp ưu tiên thương lượng, đối soát; nếu không thành, các bên có thể yêu cầu cơ quan hoặc Tòa án có thẩm quyền theo pháp luật.</w:t>
      </w:r>
    </w:p>
    <w:p>
      <w:pPr>
        <w:keepLines w:val="0"/>
      </w:pPr>
      <w:r>
        <w:rPr>
          <w:rFonts w:ascii="Times New Roman" w:hAnsi="Times New Roman" w:eastAsia="Times New Roman"/>
          <w:sz w:val="24"/>
        </w:rPr>
        <w:t>7.3. Giá trị của thông điệp dữ liệu, chấp thuận và chữ ký điện tử (nếu có) theo chứng cứ và pháp luật áp dụng. Ngày lập, chấp thuận giữ chỗ, báo chuyển, xác nhận tiền và ký đúng văn bản là các sự kiện riêng biệt.</w:t>
      </w:r>
    </w:p>
    <w:p>
      <w:pPr>
        <w:keepLines w:val="0"/>
      </w:pPr>
      <w:r>
        <w:rPr>
          <w:rFonts w:ascii="Times New Roman" w:hAnsi="Times New Roman" w:eastAsia="Times New Roman"/>
          <w:sz w:val="24"/>
        </w:rPr>
        <w:t>7.4. Bản đã lập nhưng chưa ký/chấp thuận đúng nội dung chỉ có trạng thái đã lập/chưa ký; không mặc nhiên được coi là đã ký số bởi hai bên hoặc được HomeSpace bảo lãnh.</w:t>
      </w:r>
    </w:p>
    <w:sectPr w:rsidR="00FC693F" w:rsidRPr="0006063C" w:rsidSect="00034616">
      <w:headerReference w:type="default" r:id="rId9"/>
      <w:footerReference w:type="default" r:id="rId10"/>
      <w:pgSz w:w="11906" w:h="16838"/>
      <w:pgMar w:top="1701"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Trang </w:t>
    </w:r>
    <w:r>
      <w:rPr>
        <w:color w:val="767B81"/>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90979E"/>
        <w:sz w:val="17"/>
      </w:rPr>
      <w:t>HOMESPACE  |  HỢP ĐỒNG ĐẶT CỌC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olor w:val="23232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Heading">
    <w:name w:val="HS Heading"/>
    <w:basedOn w:val="Normal"/>
    <w:pPr>
      <w:keepNext/>
      <w:spacing w:before="160" w:after="80"/>
    </w:pPr>
    <w:rPr>
      <w:rFonts w:ascii="Times New Roman" w:hAnsi="Times New Roman"/>
      <w:b/>
      <w:sz w:val="26"/>
    </w:rPr>
  </w:style>
  <w:style w:type="paragraph" w:customStyle="1" w:styleId="HSSubheading">
    <w:name w:val="HS Subheading"/>
    <w:basedOn w:val="Normal"/>
    <w:pPr>
      <w:keepNext/>
      <w:spacing w:before="140" w:after="60"/>
    </w:pPr>
    <w:rPr>
      <w:rFonts w:ascii="Times New Roman" w:hAnsi="Times New Roman"/>
      <w:b/>
      <w:sz w:val="24"/>
    </w:rPr>
  </w:style>
  <w:style w:type="paragraph" w:customStyle="1" w:styleId="HSMarker">
    <w:name w:val="HS Marker"/>
    <w:basedOn w:val="Normal"/>
    <w:pPr>
      <w:keepLines/>
      <w:spacing w:before="80" w:after="140"/>
      <w:jc w:val="left"/>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đặt cọc thuê căn hộ chung cư - HomeSpace</dc:title>
  <dc:subject>Mẫu hợp đồng đặt cọc giữ chỗ D2 với placeholder</dc:subject>
  <dc:creator>HomeSpace</dc:creator>
  <cp:keywords/>
  <dc:description>generated by python-docx</dc:description>
  <cp:lastModifiedBy/>
  <cp:revision>1</cp:revision>
  <dcterms:created xsi:type="dcterms:W3CDTF">2013-12-23T23:15:00Z</dcterms:created>
  <dcterms:modified xsi:type="dcterms:W3CDTF">2013-12-23T23:15:00Z</dcterms:modified>
  <cp:category/>
</cp:coreProperties>
</file>