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CỘNG HÒA XÃ HỘI CHỦ NGHĨA VIỆT NAM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Độc lập - Tự do - Hạnh phúc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HỢP ĐỒNG THUÊ CĂN HỘ CHUNG CƯ</w:t>
      </w:r>
    </w:p>
    <w:p>
      <w:pPr>
        <w:keepNext w:val="0"/>
        <w:spacing w:before="0" w:after="1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Số: </w:t>
      </w:r>
      <w:r>
        <w:rPr>
          <w:rFonts w:ascii="Times New Roman" w:hAnsi="Times New Roman" w:eastAsia="Times New Roman"/>
          <w:b/>
          <w:i w:val="0"/>
          <w:sz w:val="24"/>
        </w:rPr>
        <w:t>{{contract.number}}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Ngày ký: </w:t>
      </w:r>
      <w:r>
        <w:rPr>
          <w:rFonts w:ascii="Times New Roman" w:hAnsi="Times New Roman" w:eastAsia="Times New Roman"/>
          <w:b w:val="0"/>
          <w:i w:val="0"/>
          <w:sz w:val="24"/>
        </w:rPr>
        <w:t>{{contract.signingDate}}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tại </w:t>
      </w:r>
      <w:r>
        <w:rPr>
          <w:rFonts w:ascii="Times New Roman" w:hAnsi="Times New Roman" w:eastAsia="Times New Roman"/>
          <w:b w:val="0"/>
          <w:i w:val="0"/>
          <w:sz w:val="24"/>
        </w:rPr>
        <w:t>{{contract.signingCity}}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CĂN CỨ PHÁP LÝ</w:t>
      </w:r>
    </w:p>
    <w:p>
      <w:pPr>
        <w:spacing w:after="30" w:line="264" w:lineRule="auto"/>
        <w:ind w:left="312" w:hanging="170"/>
      </w:pPr>
      <w:r>
        <w:rPr>
          <w:rFonts w:ascii="Times New Roman" w:hAnsi="Times New Roman" w:eastAsia="Times New Roman"/>
          <w:b w:val="0"/>
          <w:i w:val="0"/>
          <w:sz w:val="26"/>
        </w:rPr>
        <w:t>• Bộ luật Dân sự số 91/2015/QH13;</w:t>
      </w:r>
    </w:p>
    <w:p>
      <w:pPr>
        <w:spacing w:after="30" w:line="264" w:lineRule="auto"/>
        <w:ind w:left="312" w:hanging="170"/>
      </w:pPr>
      <w:r>
        <w:rPr>
          <w:rFonts w:ascii="Times New Roman" w:hAnsi="Times New Roman" w:eastAsia="Times New Roman"/>
          <w:b w:val="0"/>
          <w:i w:val="0"/>
          <w:sz w:val="26"/>
        </w:rPr>
        <w:t>• Luật Nhà ở số 27/2023/QH15 và quy chế quản lý, sử dụng nhà chung cư hiện hành;</w:t>
      </w:r>
    </w:p>
    <w:p>
      <w:pPr>
        <w:spacing w:after="30" w:line="264" w:lineRule="auto"/>
        <w:ind w:left="312" w:hanging="170"/>
      </w:pPr>
      <w:r>
        <w:rPr>
          <w:rFonts w:ascii="Times New Roman" w:hAnsi="Times New Roman" w:eastAsia="Times New Roman"/>
          <w:b w:val="0"/>
          <w:i w:val="0"/>
          <w:sz w:val="26"/>
        </w:rPr>
        <w:t>• Luật Giao dịch điện tử số 20/2023/QH15;</w:t>
      </w:r>
    </w:p>
    <w:p>
      <w:pPr>
        <w:spacing w:after="30" w:line="264" w:lineRule="auto"/>
        <w:ind w:left="312" w:hanging="170"/>
      </w:pPr>
      <w:r>
        <w:rPr>
          <w:rFonts w:ascii="Times New Roman" w:hAnsi="Times New Roman" w:eastAsia="Times New Roman"/>
          <w:b w:val="0"/>
          <w:i w:val="0"/>
          <w:sz w:val="26"/>
        </w:rPr>
        <w:t>• Luật Cư trú số 68/2020/QH14;</w:t>
      </w:r>
    </w:p>
    <w:p>
      <w:pPr>
        <w:spacing w:after="30" w:line="264" w:lineRule="auto"/>
        <w:ind w:left="312" w:hanging="170"/>
      </w:pPr>
      <w:r>
        <w:rPr>
          <w:rFonts w:ascii="Times New Roman" w:hAnsi="Times New Roman" w:eastAsia="Times New Roman"/>
          <w:b w:val="0"/>
          <w:i w:val="0"/>
          <w:sz w:val="26"/>
        </w:rPr>
        <w:t>• Luật Phòng cháy, chữa cháy và cứu nạn, cứu hộ số 55/2024/QH15;</w:t>
      </w:r>
    </w:p>
    <w:p>
      <w:pPr>
        <w:spacing w:after="30" w:line="264" w:lineRule="auto"/>
        <w:ind w:left="312" w:hanging="170"/>
      </w:pPr>
      <w:r>
        <w:rPr>
          <w:rFonts w:ascii="Times New Roman" w:hAnsi="Times New Roman" w:eastAsia="Times New Roman"/>
          <w:b w:val="0"/>
          <w:i w:val="0"/>
          <w:sz w:val="26"/>
        </w:rPr>
        <w:t>• Luật Kinh doanh bất động sản số 29/2023/QH15 (trong phạm vi áp dụng).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THÔNG TIN CÁC BÊN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 xml:space="preserve">BÊN CHO THUÊ (BÊN A): </w:t>
      </w:r>
      <w:r>
        <w:rPr>
          <w:rFonts w:ascii="Times New Roman" w:hAnsi="Times New Roman" w:eastAsia="Times New Roman"/>
          <w:b/>
          <w:i w:val="0"/>
          <w:sz w:val="26"/>
        </w:rPr>
        <w:t>{{landlord.fullName}}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CCCD/Hộ chiếu: </w:t>
      </w:r>
      <w:r>
        <w:rPr>
          <w:rFonts w:ascii="Times New Roman" w:hAnsi="Times New Roman" w:eastAsia="Times New Roman"/>
          <w:b w:val="0"/>
          <w:i w:val="0"/>
          <w:sz w:val="26"/>
        </w:rPr>
        <w:t>{{landlord.idNumber}}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Thường trú: </w:t>
      </w:r>
      <w:r>
        <w:rPr>
          <w:rFonts w:ascii="Times New Roman" w:hAnsi="Times New Roman" w:eastAsia="Times New Roman"/>
          <w:b w:val="0"/>
          <w:i w:val="0"/>
          <w:sz w:val="26"/>
        </w:rPr>
        <w:t>{{landlord.permanentAddress}}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Điện thoại: </w:t>
      </w:r>
      <w:r>
        <w:rPr>
          <w:rFonts w:ascii="Times New Roman" w:hAnsi="Times New Roman" w:eastAsia="Times New Roman"/>
          <w:b w:val="0"/>
          <w:i w:val="0"/>
          <w:sz w:val="26"/>
        </w:rPr>
        <w:t>{{landlord.phone}}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Email: </w:t>
      </w:r>
      <w:r>
        <w:rPr>
          <w:rFonts w:ascii="Times New Roman" w:hAnsi="Times New Roman" w:eastAsia="Times New Roman"/>
          <w:b w:val="0"/>
          <w:i w:val="0"/>
          <w:sz w:val="26"/>
        </w:rPr>
        <w:t>{{landlord.email}}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 xml:space="preserve">BÊN THUÊ (BÊN B): </w:t>
      </w:r>
      <w:r>
        <w:rPr>
          <w:rFonts w:ascii="Times New Roman" w:hAnsi="Times New Roman" w:eastAsia="Times New Roman"/>
          <w:b/>
          <w:i w:val="0"/>
          <w:sz w:val="26"/>
        </w:rPr>
        <w:t>{{tenant.fullName}}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CCCD/Hộ chiếu: </w:t>
      </w:r>
      <w:r>
        <w:rPr>
          <w:rFonts w:ascii="Times New Roman" w:hAnsi="Times New Roman" w:eastAsia="Times New Roman"/>
          <w:b w:val="0"/>
          <w:i w:val="0"/>
          <w:sz w:val="26"/>
        </w:rPr>
        <w:t>{{tenant.idNumber}}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Thường trú: </w:t>
      </w:r>
      <w:r>
        <w:rPr>
          <w:rFonts w:ascii="Times New Roman" w:hAnsi="Times New Roman" w:eastAsia="Times New Roman"/>
          <w:b w:val="0"/>
          <w:i w:val="0"/>
          <w:sz w:val="26"/>
        </w:rPr>
        <w:t>{{tenant.permanentAddress}}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Điện thoại: </w:t>
      </w:r>
      <w:r>
        <w:rPr>
          <w:rFonts w:ascii="Times New Roman" w:hAnsi="Times New Roman" w:eastAsia="Times New Roman"/>
          <w:b w:val="0"/>
          <w:i w:val="0"/>
          <w:sz w:val="26"/>
        </w:rPr>
        <w:t>{{tenant.phone}}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Email: </w:t>
      </w:r>
      <w:r>
        <w:rPr>
          <w:rFonts w:ascii="Times New Roman" w:hAnsi="Times New Roman" w:eastAsia="Times New Roman"/>
          <w:b w:val="0"/>
          <w:i w:val="0"/>
          <w:sz w:val="26"/>
        </w:rPr>
        <w:t>{{tenant.email}}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Số người cư trú đăng ký: </w:t>
      </w:r>
      <w:r>
        <w:rPr>
          <w:rFonts w:ascii="Times New Roman" w:hAnsi="Times New Roman" w:eastAsia="Times New Roman"/>
          <w:b w:val="0"/>
          <w:i w:val="0"/>
          <w:sz w:val="26"/>
        </w:rPr>
        <w:t>{{tenant.occupantCount}}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Xe máy đăng ký: </w:t>
      </w:r>
      <w:r>
        <w:rPr>
          <w:rFonts w:ascii="Times New Roman" w:hAnsi="Times New Roman" w:eastAsia="Times New Roman"/>
          <w:b w:val="0"/>
          <w:i w:val="0"/>
          <w:sz w:val="26"/>
        </w:rPr>
        <w:t>{{tenant.motorbikeCount}}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Ô tô đăng ký: </w:t>
      </w:r>
      <w:r>
        <w:rPr>
          <w:rFonts w:ascii="Times New Roman" w:hAnsi="Times New Roman" w:eastAsia="Times New Roman"/>
          <w:b w:val="0"/>
          <w:i w:val="0"/>
          <w:sz w:val="26"/>
        </w:rPr>
        <w:t>{{tenant.carCount}}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1. ĐỐI TƯỢNG VÀ ĐẶC ĐIỂM CĂN HỘ CHO THUÊ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1.1. Bên A cho Bên B thuê căn hộ: </w:t>
      </w:r>
      <w:r>
        <w:rPr>
          <w:rFonts w:ascii="Times New Roman" w:hAnsi="Times New Roman" w:eastAsia="Times New Roman"/>
          <w:b w:val="0"/>
          <w:i w:val="0"/>
          <w:sz w:val="26"/>
        </w:rPr>
        <w:t>{{property.unitNumber}}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tọa lạc tại tầng </w:t>
      </w:r>
      <w:r>
        <w:rPr>
          <w:rFonts w:ascii="Times New Roman" w:hAnsi="Times New Roman" w:eastAsia="Times New Roman"/>
          <w:b w:val="0"/>
          <w:i w:val="0"/>
          <w:sz w:val="26"/>
        </w:rPr>
        <w:t>{{property.floor}}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thuộc địa chỉ: </w:t>
      </w:r>
      <w:r>
        <w:rPr>
          <w:rFonts w:ascii="Times New Roman" w:hAnsi="Times New Roman" w:eastAsia="Times New Roman"/>
          <w:b w:val="0"/>
          <w:i w:val="0"/>
          <w:sz w:val="26"/>
        </w:rPr>
        <w:t>{{property.fullAddress}}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1.2. Diện tích căn hộ: </w:t>
      </w:r>
      <w:r>
        <w:rPr>
          <w:rFonts w:ascii="Times New Roman" w:hAnsi="Times New Roman" w:eastAsia="Times New Roman"/>
          <w:b w:val="0"/>
          <w:i w:val="0"/>
          <w:sz w:val="26"/>
        </w:rPr>
        <w:t>{{property.areaText}}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Loại tài sản: </w:t>
      </w:r>
      <w:r>
        <w:rPr>
          <w:rFonts w:ascii="Times New Roman" w:hAnsi="Times New Roman" w:eastAsia="Times New Roman"/>
          <w:b w:val="0"/>
          <w:i w:val="0"/>
          <w:sz w:val="26"/>
        </w:rPr>
        <w:t>{{property.propertyType}}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Phạm vi thuê: </w:t>
      </w:r>
      <w:r>
        <w:rPr>
          <w:rFonts w:ascii="Times New Roman" w:hAnsi="Times New Roman" w:eastAsia="Times New Roman"/>
          <w:b w:val="0"/>
          <w:i w:val="0"/>
          <w:sz w:val="26"/>
        </w:rPr>
        <w:t>{{property.rentalScope}}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Mã tin đăng: </w:t>
      </w:r>
      <w:r>
        <w:rPr>
          <w:rFonts w:ascii="Times New Roman" w:hAnsi="Times New Roman" w:eastAsia="Times New Roman"/>
          <w:b w:val="0"/>
          <w:i w:val="0"/>
          <w:sz w:val="26"/>
        </w:rPr>
        <w:t>{{property.listingCode}}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1.3. Số người tối đa theo nội quy: </w:t>
      </w:r>
      <w:r>
        <w:rPr>
          <w:rFonts w:ascii="Times New Roman" w:hAnsi="Times New Roman" w:eastAsia="Times New Roman"/>
          <w:b w:val="0"/>
          <w:i w:val="0"/>
          <w:sz w:val="26"/>
        </w:rPr>
        <w:t>{{property.maxOccupants}}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Số xe tối đa: </w:t>
      </w:r>
      <w:r>
        <w:rPr>
          <w:rFonts w:ascii="Times New Roman" w:hAnsi="Times New Roman" w:eastAsia="Times New Roman"/>
          <w:b w:val="0"/>
          <w:i w:val="0"/>
          <w:sz w:val="26"/>
        </w:rPr>
        <w:t>{{property.maxVehicles}}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spacing w:after="20"/>
      </w:pPr>
      <w:r>
        <w:rPr>
          <w:rFonts w:ascii="Times New Roman" w:hAnsi="Times New Roman" w:eastAsia="Times New Roman"/>
          <w:b/>
          <w:i w:val="0"/>
          <w:sz w:val="26"/>
        </w:rPr>
        <w:t>1.4. Bảng thông số chi tiết của căn hộ: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{{#propertyFeaturesTable}}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1.5. Mục đích sử dụng: Dùng để ở và sinh hoạt hợp pháp của hộ gia đình/cá nhân cư trú.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2. THỜI HẠN THUÊ VÀ BÀN GIAO CĂN HỘ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2.1. Thời hạn thuê: </w:t>
      </w:r>
      <w:r>
        <w:rPr>
          <w:rFonts w:ascii="Times New Roman" w:hAnsi="Times New Roman" w:eastAsia="Times New Roman"/>
          <w:b w:val="0"/>
          <w:i w:val="0"/>
          <w:sz w:val="26"/>
        </w:rPr>
        <w:t>{{lease.durationText}}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</w:t>
      </w:r>
      <w:r>
        <w:rPr>
          <w:rFonts w:ascii="Times New Roman" w:hAnsi="Times New Roman" w:eastAsia="Times New Roman"/>
          <w:b w:val="0"/>
          <w:i w:val="0"/>
          <w:sz w:val="26"/>
        </w:rPr>
        <w:t>{{lease.durationMonths}}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tháng), từ ngày </w:t>
      </w:r>
      <w:r>
        <w:rPr>
          <w:rFonts w:ascii="Times New Roman" w:hAnsi="Times New Roman" w:eastAsia="Times New Roman"/>
          <w:b w:val="0"/>
          <w:i w:val="0"/>
          <w:sz w:val="26"/>
        </w:rPr>
        <w:t>{{lease.startDateText}}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đến ngày </w:t>
      </w:r>
      <w:r>
        <w:rPr>
          <w:rFonts w:ascii="Times New Roman" w:hAnsi="Times New Roman" w:eastAsia="Times New Roman"/>
          <w:b w:val="0"/>
          <w:i w:val="0"/>
          <w:sz w:val="26"/>
        </w:rPr>
        <w:t>{{lease.endDateText}}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2.2. Ngày bàn giao: </w:t>
      </w:r>
      <w:r>
        <w:rPr>
          <w:rFonts w:ascii="Times New Roman" w:hAnsi="Times New Roman" w:eastAsia="Times New Roman"/>
          <w:b w:val="0"/>
          <w:i w:val="0"/>
          <w:sz w:val="26"/>
        </w:rPr>
        <w:t>{{lease.handoverDateText}}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2.3. Chỉ số điện ban đầu: </w:t>
      </w:r>
      <w:r>
        <w:rPr>
          <w:rFonts w:ascii="Times New Roman" w:hAnsi="Times New Roman" w:eastAsia="Times New Roman"/>
          <w:b w:val="0"/>
          <w:i w:val="0"/>
          <w:sz w:val="26"/>
        </w:rPr>
        <w:t>{{meters.electricityInitial}}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nước ban đầu: </w:t>
      </w:r>
      <w:r>
        <w:rPr>
          <w:rFonts w:ascii="Times New Roman" w:hAnsi="Times New Roman" w:eastAsia="Times New Roman"/>
          <w:b w:val="0"/>
          <w:i w:val="0"/>
          <w:sz w:val="26"/>
        </w:rPr>
        <w:t>{{meters.waterInitial}}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(hoặc lập tại Biên bản bàn giao khi nhận bàn giao căn hộ).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3. GIÁ THUÊ, TIỀN CỌC VÀ PHƯƠNG THỨC THANH TOÁN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3.1. Giá thuê căn hộ: </w:t>
      </w:r>
      <w:r>
        <w:rPr>
          <w:rFonts w:ascii="Times New Roman" w:hAnsi="Times New Roman" w:eastAsia="Times New Roman"/>
          <w:b w:val="0"/>
          <w:i w:val="0"/>
          <w:sz w:val="26"/>
        </w:rPr>
        <w:t>{{rent.amountNumber}}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VNĐ/tháng (Bằng chữ: </w:t>
      </w:r>
      <w:r>
        <w:rPr>
          <w:rFonts w:ascii="Times New Roman" w:hAnsi="Times New Roman" w:eastAsia="Times New Roman"/>
          <w:b w:val="0"/>
          <w:i w:val="0"/>
          <w:sz w:val="26"/>
        </w:rPr>
        <w:t>{{rent.amountWords}}</w:t>
      </w:r>
      <w:r>
        <w:rPr>
          <w:rFonts w:ascii="Times New Roman" w:hAnsi="Times New Roman" w:eastAsia="Times New Roman"/>
          <w:b w:val="0"/>
          <w:i w:val="0"/>
          <w:sz w:val="26"/>
        </w:rPr>
        <w:t>).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3.2. Chu kỳ thanh toán: </w:t>
      </w:r>
      <w:r>
        <w:rPr>
          <w:rFonts w:ascii="Times New Roman" w:hAnsi="Times New Roman" w:eastAsia="Times New Roman"/>
          <w:b w:val="0"/>
          <w:i w:val="0"/>
          <w:sz w:val="26"/>
        </w:rPr>
        <w:t>{{rent.paymentCycle}}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Hạn thanh toán định kỳ: </w:t>
      </w:r>
      <w:r>
        <w:rPr>
          <w:rFonts w:ascii="Times New Roman" w:hAnsi="Times New Roman" w:eastAsia="Times New Roman"/>
          <w:b w:val="0"/>
          <w:i w:val="0"/>
          <w:sz w:val="26"/>
        </w:rPr>
        <w:t>{{rent.paymentDueDay}}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3.3. Phương thức thanh toán: </w:t>
      </w:r>
      <w:r>
        <w:rPr>
          <w:rFonts w:ascii="Times New Roman" w:hAnsi="Times New Roman" w:eastAsia="Times New Roman"/>
          <w:b w:val="0"/>
          <w:i w:val="0"/>
          <w:sz w:val="26"/>
        </w:rPr>
        <w:t>{{rent.paymentMethod}}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qua nền tảng HomeSpace. Tiền thuê và tiền cọc không thanh toán trực tiếp vào tài khoản cá nhân của Bên A.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3.4. Tiền đặt cọc: </w:t>
      </w:r>
      <w:r>
        <w:rPr>
          <w:rFonts w:ascii="Times New Roman" w:hAnsi="Times New Roman" w:eastAsia="Times New Roman"/>
          <w:b w:val="0"/>
          <w:i w:val="0"/>
          <w:sz w:val="26"/>
        </w:rPr>
        <w:t>{{deposit.amountNumber}}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VNĐ (Bằng chữ: </w:t>
      </w:r>
      <w:r>
        <w:rPr>
          <w:rFonts w:ascii="Times New Roman" w:hAnsi="Times New Roman" w:eastAsia="Times New Roman"/>
          <w:b w:val="0"/>
          <w:i w:val="0"/>
          <w:sz w:val="26"/>
        </w:rPr>
        <w:t>{{deposit.amountWords}}</w:t>
      </w:r>
      <w:r>
        <w:rPr>
          <w:rFonts w:ascii="Times New Roman" w:hAnsi="Times New Roman" w:eastAsia="Times New Roman"/>
          <w:b w:val="0"/>
          <w:i w:val="0"/>
          <w:sz w:val="26"/>
        </w:rPr>
        <w:t>).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3.5. Điều kiện hoàn trả/khấu trừ tiền cọc: </w:t>
      </w:r>
      <w:r>
        <w:rPr>
          <w:rFonts w:ascii="Times New Roman" w:hAnsi="Times New Roman" w:eastAsia="Times New Roman"/>
          <w:b w:val="0"/>
          <w:i w:val="0"/>
          <w:sz w:val="26"/>
        </w:rPr>
        <w:t>{{deposit.description}}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spacing w:after="4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3.6. Trước thời điểm ký hợp đồng, Bên B đã hoàn tất thanh toán khoản tiền ban đầu qua hệ thống HomeSpace theo thông tin tại Phụ lục thanh toán đính kèm.</w:t>
      </w:r>
    </w:p>
    <w:p>
      <w:pPr>
        <w:spacing w:after="20"/>
      </w:pPr>
      <w:r>
        <w:rPr>
          <w:rFonts w:ascii="Times New Roman" w:hAnsi="Times New Roman" w:eastAsia="Times New Roman"/>
          <w:b/>
          <w:i w:val="0"/>
          <w:sz w:val="26"/>
        </w:rPr>
        <w:t>Xác nhận thanh toán ban đầu: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{{#initialPaymentTable}}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Mã giao dịch: </w:t>
      </w:r>
      <w:r>
        <w:rPr>
          <w:rFonts w:ascii="Times New Roman" w:hAnsi="Times New Roman" w:eastAsia="Times New Roman"/>
          <w:b w:val="0"/>
          <w:i w:val="0"/>
          <w:sz w:val="26"/>
        </w:rPr>
        <w:t>{{payment.initial.transactionCode}}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hoàn tất lúc: </w:t>
      </w:r>
      <w:r>
        <w:rPr>
          <w:rFonts w:ascii="Times New Roman" w:hAnsi="Times New Roman" w:eastAsia="Times New Roman"/>
          <w:b w:val="0"/>
          <w:i w:val="0"/>
          <w:sz w:val="26"/>
        </w:rPr>
        <w:t>{{payment.initial.paidAt}}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trạng thái: </w:t>
      </w:r>
      <w:r>
        <w:rPr>
          <w:rFonts w:ascii="Times New Roman" w:hAnsi="Times New Roman" w:eastAsia="Times New Roman"/>
          <w:b w:val="0"/>
          <w:i w:val="0"/>
          <w:sz w:val="26"/>
        </w:rPr>
        <w:t>{{payment.initial.status}}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tổng tiền ban đầu: </w:t>
      </w:r>
      <w:r>
        <w:rPr>
          <w:rFonts w:ascii="Times New Roman" w:hAnsi="Times New Roman" w:eastAsia="Times New Roman"/>
          <w:b w:val="0"/>
          <w:i w:val="0"/>
          <w:sz w:val="26"/>
        </w:rPr>
        <w:t>{{payment.initial.totalAmount}}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4. PHÍ QUẢN LÝ, GỬI XE, ĐIỆN NƯỚC VÀ DỊCH VỤ CHUNG CƯ</w:t>
      </w:r>
    </w:p>
    <w:p>
      <w:pPr>
        <w:spacing w:after="20"/>
      </w:pPr>
      <w:r>
        <w:rPr>
          <w:rFonts w:ascii="Times New Roman" w:hAnsi="Times New Roman" w:eastAsia="Times New Roman"/>
          <w:b/>
          <w:i w:val="0"/>
          <w:sz w:val="26"/>
        </w:rPr>
        <w:t>4.1. Bảng phí quản lý tòa nhà, gửi xe máy/ô tô và các chi phí sinh hoạt: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{{#chargesTable}}</w:t>
      </w:r>
    </w:p>
    <w:p>
      <w:pPr>
        <w:spacing w:after="20"/>
      </w:pPr>
      <w:r>
        <w:rPr>
          <w:rFonts w:ascii="Times New Roman" w:hAnsi="Times New Roman" w:eastAsia="Times New Roman"/>
          <w:b/>
          <w:i w:val="0"/>
          <w:sz w:val="26"/>
        </w:rPr>
        <w:t>4.2. Bảng tiện ích chung cư và quyền sử dụng dịch vụ: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{{#amenitiesTable}}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4.3. Đối với tiện ích dùng chung (hồ bơi, phòng gym, công viên, thang máy nếu có), Bên B được quyền sử dụng theo nội quy, khung giờ và tình trạng vận hành của Ban Quản trị / Ban Quản lý tòa nhà, không cấu thành cam kết vận hành liên tục tuyệt đối.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5. DANH MỤC TRANG THIẾT BỊ, NỘI THẤT BÀN GIAO</w:t>
      </w:r>
    </w:p>
    <w:p>
      <w:pPr>
        <w:spacing w:after="20"/>
      </w:pPr>
      <w:r>
        <w:rPr>
          <w:rFonts w:ascii="Times New Roman" w:hAnsi="Times New Roman" w:eastAsia="Times New Roman"/>
          <w:b/>
          <w:i w:val="0"/>
          <w:sz w:val="26"/>
        </w:rPr>
        <w:t>5.1. Chi tiết danh mục nội thất, máy móc gắn liền căn hộ: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{{#equipmentTable}}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5.2. Bên B có trách nhiệm giữ gìn nội thất, không tự ý đục tường, tháo gỡ thiết bị hoặc can thiệp hệ thống phòng cháy tự động (đầu phun sprinkler, đầu báo khói nhiệt).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6. QUYỀN VÀ NGHĨA VỤ CỦA BÊN A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6.1. Bàn giao căn hộ, thẻ thang máy, chìa khóa/mật mã cửa đúng thỏa thuận.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6.2. Hỗ trợ đăng ký định mức điện nước (nếu có) và thủ tục tạm trú cho Bên B với Ban Quản lý và cơ quan có thẩm quyền.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6.3. Bảo đảm quyền sử dụng hợp pháp của Bên B trong thời hạn thuê theo hợp đồng và quy định của tòa nhà.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7. QUYỀN VÀ NGHĨA VỤ CỦA BÊN B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7.1. Chấp hành nghiêm chỉnh Nội quy tòa nhà chung cư, quy chế cư dân, quy định gửi xe và chuyển đồ đạc lớn.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7.2. Cư trú đúng số lượng: </w:t>
      </w:r>
      <w:r>
        <w:rPr>
          <w:rFonts w:ascii="Times New Roman" w:hAnsi="Times New Roman" w:eastAsia="Times New Roman"/>
          <w:b w:val="0"/>
          <w:i w:val="0"/>
          <w:sz w:val="26"/>
        </w:rPr>
        <w:t>{{tenant.occupantCount}}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người; gửi xe đúng số lượng: </w:t>
      </w:r>
      <w:r>
        <w:rPr>
          <w:rFonts w:ascii="Times New Roman" w:hAnsi="Times New Roman" w:eastAsia="Times New Roman"/>
          <w:b w:val="0"/>
          <w:i w:val="0"/>
          <w:sz w:val="26"/>
        </w:rPr>
        <w:t>{{tenant.motorbikeCount}}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xe máy, </w:t>
      </w:r>
      <w:r>
        <w:rPr>
          <w:rFonts w:ascii="Times New Roman" w:hAnsi="Times New Roman" w:eastAsia="Times New Roman"/>
          <w:b w:val="0"/>
          <w:i w:val="0"/>
          <w:sz w:val="26"/>
        </w:rPr>
        <w:t>{{tenant.carCount}}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ô tô.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7.3. Tuân thủ quy định PCCC nhà cao tầng; không lưu trữ chất dễ cháy nổ, không thắp hương hoặc gây khói kích hoạt báo cháy giả.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8. ĐIỀU KHOẢN VỀ VẬT NUÔI VÀ THỎA THUẬN KHÁC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8.1. Quy định vật nuôi: Chỉ được nuôi thú cưng nếu Nội quy chung cư và Bảng tiện ích cho phép; Bên B chịu hoàn toàn trách nhiệm vệ sinh, tiếng ồn trong thang máy/hành lang và bồi thường nếu xảy ra sự cố.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8.2. Điều khoản đặc biệt: </w:t>
      </w:r>
      <w:r>
        <w:rPr>
          <w:rFonts w:ascii="Times New Roman" w:hAnsi="Times New Roman" w:eastAsia="Times New Roman"/>
          <w:b w:val="0"/>
          <w:i w:val="0"/>
          <w:sz w:val="26"/>
        </w:rPr>
        <w:t>{{contract.specialTerms}}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9. CHẤM DỨT HỢP ĐỒNG VÀ XỬ LÝ VI PHẠM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9.1. Việc chấm dứt hợp đồng, thời hạn thông báo trước và xử lý tiền cọc được thực hiện theo thỏa thuận hợp pháp và pháp luật áp dụng.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9.2. Khi chấm dứt, Bên B bàn giao lại thẻ cư dân, hiện trạng căn hộ và hoàn tất công nợ dịch vụ với Ban Quản lý trong phạm vi trách nhiệm của mình.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i w:val="0"/>
          <w:sz w:val="26"/>
        </w:rPr>
        <w:t>ĐIỀU 10. GIAO KẾT ĐIỆN TỬ VÀ HIỆU LỰC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10.1. Hợp đồng được giao kết điện tử qua nền tảng HomeSpace theo Luật Giao dịch điện tử.</w:t>
      </w:r>
    </w:p>
    <w:p>
      <w:pPr>
        <w:keepNext w:val="0"/>
        <w:spacing w:before="0" w:after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10.2. Phiên bản schema: </w:t>
      </w:r>
      <w:r>
        <w:rPr>
          <w:rFonts w:ascii="Times New Roman" w:hAnsi="Times New Roman" w:eastAsia="Times New Roman"/>
          <w:b w:val="0"/>
          <w:i w:val="0"/>
          <w:sz w:val="26"/>
        </w:rPr>
        <w:t>{{contract.schemaVersion}}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; Số hiệu bản sửa đổi: </w:t>
      </w:r>
      <w:r>
        <w:rPr>
          <w:rFonts w:ascii="Times New Roman" w:hAnsi="Times New Roman" w:eastAsia="Times New Roman"/>
          <w:b w:val="0"/>
          <w:i w:val="0"/>
          <w:sz w:val="26"/>
        </w:rPr>
        <w:t>{{contract.revisionNumber}}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spacing w:after="40" w:line="276" w:lineRule="auto"/>
        <w:ind w:left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10.3. Hợp đồng có hiệu lực sau khi hai bên hoàn tất xác nhận điện tử.</w:t>
      </w:r>
    </w:p>
    <w:p>
      <w:pPr>
        <w:pageBreakBefore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ĐẠI DIỆN CÁC BÊN KÝ/XÁC NHẬN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BÊN CHO THUÊ (BÊN A)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BÊN THUÊ (BÊN B)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(Ký, ghi rõ họ tên hoặc ký điện tử)</w:t>
            </w:r>
          </w:p>
          <w:p/>
          <w:p/>
          <w:p/>
          <w:p/>
        </w:tc>
        <w:tc>
          <w:tcPr>
            <w:tcW w:type="dxa" w:w="4649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(Ký, ghi rõ họ tên hoặc ký điện tử)</w:t>
            </w:r>
          </w:p>
          <w:p/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i/>
        <w:sz w:val="18"/>
      </w:rPr>
      <w:t>HomeSpace | Mẫu hợp đồng điện tử | Căn hộ chung cư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