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CỘNG HÒA XÃ HỘI CHỦ NGHĨA VIỆT NAM</w:t>
      </w:r>
    </w:p>
    <w:p>
      <w:pPr>
        <w:spacing w:after="14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Độc lập - Tự do - Hạnh phúc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HỢP ĐỒNG THUÊ PHÒNG TRỌ</w:t>
      </w:r>
    </w:p>
    <w:p>
      <w:pPr>
        <w:keepNext w:val="0"/>
        <w:spacing w:before="0" w:after="10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Số: </w:t>
      </w:r>
      <w:r>
        <w:rPr>
          <w:rFonts w:ascii="Times New Roman" w:hAnsi="Times New Roman" w:eastAsia="Times New Roman"/>
          <w:b/>
          <w:i w:val="0"/>
          <w:sz w:val="24"/>
        </w:rPr>
        <w:t>{{contract.number}}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- Ngày ký: </w:t>
      </w:r>
      <w:r>
        <w:rPr>
          <w:rFonts w:ascii="Times New Roman" w:hAnsi="Times New Roman" w:eastAsia="Times New Roman"/>
          <w:b w:val="0"/>
          <w:i w:val="0"/>
          <w:sz w:val="24"/>
        </w:rPr>
        <w:t>{{contract.signingDate}}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tại </w:t>
      </w:r>
      <w:r>
        <w:rPr>
          <w:rFonts w:ascii="Times New Roman" w:hAnsi="Times New Roman" w:eastAsia="Times New Roman"/>
          <w:b w:val="0"/>
          <w:i w:val="0"/>
          <w:sz w:val="24"/>
        </w:rPr>
        <w:t>{{contract.signingCity}}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i w:val="0"/>
          <w:sz w:val="26"/>
        </w:rPr>
        <w:t>CĂN CỨ PHÁP LÝ</w:t>
      </w:r>
    </w:p>
    <w:p>
      <w:pPr>
        <w:spacing w:after="30" w:line="264" w:lineRule="auto"/>
        <w:ind w:left="312" w:hanging="170"/>
      </w:pPr>
      <w:r>
        <w:rPr>
          <w:rFonts w:ascii="Times New Roman" w:hAnsi="Times New Roman" w:eastAsia="Times New Roman"/>
          <w:b w:val="0"/>
          <w:i w:val="0"/>
          <w:sz w:val="26"/>
        </w:rPr>
        <w:t>• Bộ luật Dân sự số 91/2015/QH13;</w:t>
      </w:r>
    </w:p>
    <w:p>
      <w:pPr>
        <w:spacing w:after="30" w:line="264" w:lineRule="auto"/>
        <w:ind w:left="312" w:hanging="170"/>
      </w:pPr>
      <w:r>
        <w:rPr>
          <w:rFonts w:ascii="Times New Roman" w:hAnsi="Times New Roman" w:eastAsia="Times New Roman"/>
          <w:b w:val="0"/>
          <w:i w:val="0"/>
          <w:sz w:val="26"/>
        </w:rPr>
        <w:t>• Luật Nhà ở số 27/2023/QH15 và quy định về quản lý nhà ở nhiều phòng cho thuê;</w:t>
      </w:r>
    </w:p>
    <w:p>
      <w:pPr>
        <w:spacing w:after="30" w:line="264" w:lineRule="auto"/>
        <w:ind w:left="312" w:hanging="170"/>
      </w:pPr>
      <w:r>
        <w:rPr>
          <w:rFonts w:ascii="Times New Roman" w:hAnsi="Times New Roman" w:eastAsia="Times New Roman"/>
          <w:b w:val="0"/>
          <w:i w:val="0"/>
          <w:sz w:val="26"/>
        </w:rPr>
        <w:t>• Luật Giao dịch điện tử số 20/2023/QH15;</w:t>
      </w:r>
    </w:p>
    <w:p>
      <w:pPr>
        <w:spacing w:after="30" w:line="264" w:lineRule="auto"/>
        <w:ind w:left="312" w:hanging="170"/>
      </w:pPr>
      <w:r>
        <w:rPr>
          <w:rFonts w:ascii="Times New Roman" w:hAnsi="Times New Roman" w:eastAsia="Times New Roman"/>
          <w:b w:val="0"/>
          <w:i w:val="0"/>
          <w:sz w:val="26"/>
        </w:rPr>
        <w:t>• Luật Cư trú số 68/2020/QH14;</w:t>
      </w:r>
    </w:p>
    <w:p>
      <w:pPr>
        <w:spacing w:after="30" w:line="264" w:lineRule="auto"/>
        <w:ind w:left="312" w:hanging="170"/>
      </w:pPr>
      <w:r>
        <w:rPr>
          <w:rFonts w:ascii="Times New Roman" w:hAnsi="Times New Roman" w:eastAsia="Times New Roman"/>
          <w:b w:val="0"/>
          <w:i w:val="0"/>
          <w:sz w:val="26"/>
        </w:rPr>
        <w:t>• Luật Phòng cháy, chữa cháy và cứu nạn, cứu hộ số 55/2024/QH15 (quy định về nhà trọ và lối thoát nạn khẩn cấp);</w:t>
      </w:r>
    </w:p>
    <w:p>
      <w:pPr>
        <w:spacing w:after="30" w:line="264" w:lineRule="auto"/>
        <w:ind w:left="312" w:hanging="170"/>
      </w:pPr>
      <w:r>
        <w:rPr>
          <w:rFonts w:ascii="Times New Roman" w:hAnsi="Times New Roman" w:eastAsia="Times New Roman"/>
          <w:b w:val="0"/>
          <w:i w:val="0"/>
          <w:sz w:val="26"/>
        </w:rPr>
        <w:t>• Luật Kinh doanh bất động sản số 29/2023/QH15 (trong phạm vi áp dụng).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i w:val="0"/>
          <w:sz w:val="26"/>
        </w:rPr>
        <w:t>THÔNG TIN CÁC BÊN</w:t>
      </w:r>
    </w:p>
    <w:p>
      <w:pPr>
        <w:keepNext w:val="0"/>
        <w:spacing w:before="0" w:after="40" w:line="276" w:lineRule="auto"/>
      </w:pPr>
      <w:r>
        <w:rPr>
          <w:rFonts w:ascii="Times New Roman" w:hAnsi="Times New Roman" w:eastAsia="Times New Roman"/>
          <w:b/>
          <w:i w:val="0"/>
          <w:sz w:val="26"/>
        </w:rPr>
        <w:t xml:space="preserve">BÊN CHO THUÊ (BÊN A): </w:t>
      </w:r>
      <w:r>
        <w:rPr>
          <w:rFonts w:ascii="Times New Roman" w:hAnsi="Times New Roman" w:eastAsia="Times New Roman"/>
          <w:b/>
          <w:i w:val="0"/>
          <w:sz w:val="26"/>
        </w:rPr>
        <w:t>{{landlord.fullName}}</w:t>
      </w:r>
    </w:p>
    <w:p>
      <w:pPr>
        <w:keepNext w:val="0"/>
        <w:spacing w:before="0" w:after="4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CCCD/Hộ chiếu: </w:t>
      </w:r>
      <w:r>
        <w:rPr>
          <w:rFonts w:ascii="Times New Roman" w:hAnsi="Times New Roman" w:eastAsia="Times New Roman"/>
          <w:b w:val="0"/>
          <w:i w:val="0"/>
          <w:sz w:val="26"/>
        </w:rPr>
        <w:t>{{landlord.idNumber}}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; Thường trú: </w:t>
      </w:r>
      <w:r>
        <w:rPr>
          <w:rFonts w:ascii="Times New Roman" w:hAnsi="Times New Roman" w:eastAsia="Times New Roman"/>
          <w:b w:val="0"/>
          <w:i w:val="0"/>
          <w:sz w:val="26"/>
        </w:rPr>
        <w:t>{{landlord.permanentAddress}}</w:t>
      </w:r>
    </w:p>
    <w:p>
      <w:pPr>
        <w:keepNext w:val="0"/>
        <w:spacing w:before="0" w:after="4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Điện thoại: </w:t>
      </w:r>
      <w:r>
        <w:rPr>
          <w:rFonts w:ascii="Times New Roman" w:hAnsi="Times New Roman" w:eastAsia="Times New Roman"/>
          <w:b w:val="0"/>
          <w:i w:val="0"/>
          <w:sz w:val="26"/>
        </w:rPr>
        <w:t>{{landlord.phone}}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; Email: </w:t>
      </w:r>
      <w:r>
        <w:rPr>
          <w:rFonts w:ascii="Times New Roman" w:hAnsi="Times New Roman" w:eastAsia="Times New Roman"/>
          <w:b w:val="0"/>
          <w:i w:val="0"/>
          <w:sz w:val="26"/>
        </w:rPr>
        <w:t>{{landlord.email}}</w:t>
      </w:r>
    </w:p>
    <w:p>
      <w:pPr>
        <w:keepNext w:val="0"/>
        <w:spacing w:before="0" w:after="40" w:line="276" w:lineRule="auto"/>
      </w:pPr>
      <w:r>
        <w:rPr>
          <w:rFonts w:ascii="Times New Roman" w:hAnsi="Times New Roman" w:eastAsia="Times New Roman"/>
          <w:b/>
          <w:i w:val="0"/>
          <w:sz w:val="26"/>
        </w:rPr>
        <w:t xml:space="preserve">BÊN THUÊ (BÊN B): </w:t>
      </w:r>
      <w:r>
        <w:rPr>
          <w:rFonts w:ascii="Times New Roman" w:hAnsi="Times New Roman" w:eastAsia="Times New Roman"/>
          <w:b/>
          <w:i w:val="0"/>
          <w:sz w:val="26"/>
        </w:rPr>
        <w:t>{{tenant.fullName}}</w:t>
      </w:r>
    </w:p>
    <w:p>
      <w:pPr>
        <w:keepNext w:val="0"/>
        <w:spacing w:before="0" w:after="4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CCCD/Hộ chiếu: </w:t>
      </w:r>
      <w:r>
        <w:rPr>
          <w:rFonts w:ascii="Times New Roman" w:hAnsi="Times New Roman" w:eastAsia="Times New Roman"/>
          <w:b w:val="0"/>
          <w:i w:val="0"/>
          <w:sz w:val="26"/>
        </w:rPr>
        <w:t>{{tenant.idNumber}}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; Thường trú: </w:t>
      </w:r>
      <w:r>
        <w:rPr>
          <w:rFonts w:ascii="Times New Roman" w:hAnsi="Times New Roman" w:eastAsia="Times New Roman"/>
          <w:b w:val="0"/>
          <w:i w:val="0"/>
          <w:sz w:val="26"/>
        </w:rPr>
        <w:t>{{tenant.permanentAddress}}</w:t>
      </w:r>
    </w:p>
    <w:p>
      <w:pPr>
        <w:keepNext w:val="0"/>
        <w:spacing w:before="0" w:after="4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Điện thoại: </w:t>
      </w:r>
      <w:r>
        <w:rPr>
          <w:rFonts w:ascii="Times New Roman" w:hAnsi="Times New Roman" w:eastAsia="Times New Roman"/>
          <w:b w:val="0"/>
          <w:i w:val="0"/>
          <w:sz w:val="26"/>
        </w:rPr>
        <w:t>{{tenant.phone}}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; Email: </w:t>
      </w:r>
      <w:r>
        <w:rPr>
          <w:rFonts w:ascii="Times New Roman" w:hAnsi="Times New Roman" w:eastAsia="Times New Roman"/>
          <w:b w:val="0"/>
          <w:i w:val="0"/>
          <w:sz w:val="26"/>
        </w:rPr>
        <w:t>{{tenant.email}}</w:t>
      </w:r>
    </w:p>
    <w:p>
      <w:pPr>
        <w:keepNext w:val="0"/>
        <w:spacing w:before="0" w:after="4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Số người cư trú đăng ký: </w:t>
      </w:r>
      <w:r>
        <w:rPr>
          <w:rFonts w:ascii="Times New Roman" w:hAnsi="Times New Roman" w:eastAsia="Times New Roman"/>
          <w:b w:val="0"/>
          <w:i w:val="0"/>
          <w:sz w:val="26"/>
        </w:rPr>
        <w:t>{{tenant.occupantCount}}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; Xe máy đăng ký: </w:t>
      </w:r>
      <w:r>
        <w:rPr>
          <w:rFonts w:ascii="Times New Roman" w:hAnsi="Times New Roman" w:eastAsia="Times New Roman"/>
          <w:b w:val="0"/>
          <w:i w:val="0"/>
          <w:sz w:val="26"/>
        </w:rPr>
        <w:t>{{tenant.motorbikeCount}}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; Ô tô đăng ký: </w:t>
      </w:r>
      <w:r>
        <w:rPr>
          <w:rFonts w:ascii="Times New Roman" w:hAnsi="Times New Roman" w:eastAsia="Times New Roman"/>
          <w:b w:val="0"/>
          <w:i w:val="0"/>
          <w:sz w:val="26"/>
        </w:rPr>
        <w:t>{{tenant.carCount}}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i w:val="0"/>
          <w:sz w:val="26"/>
        </w:rPr>
        <w:t>ĐIỀU 1. ĐỐI TƯỢNG VÀ ĐẶC ĐIỂM PHÒNG TRỌ</w:t>
      </w:r>
    </w:p>
    <w:p>
      <w:pPr>
        <w:keepNext w:val="0"/>
        <w:spacing w:before="0" w:after="4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1.1. Bên A cho Bên B thuê phòng số: </w:t>
      </w:r>
      <w:r>
        <w:rPr>
          <w:rFonts w:ascii="Times New Roman" w:hAnsi="Times New Roman" w:eastAsia="Times New Roman"/>
          <w:b w:val="0"/>
          <w:i w:val="0"/>
          <w:sz w:val="26"/>
        </w:rPr>
        <w:t>{{property.unitNumber}}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, tại tầng </w:t>
      </w:r>
      <w:r>
        <w:rPr>
          <w:rFonts w:ascii="Times New Roman" w:hAnsi="Times New Roman" w:eastAsia="Times New Roman"/>
          <w:b w:val="0"/>
          <w:i w:val="0"/>
          <w:sz w:val="26"/>
        </w:rPr>
        <w:t>{{property.floor}}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, thuộc địa chỉ: </w:t>
      </w:r>
      <w:r>
        <w:rPr>
          <w:rFonts w:ascii="Times New Roman" w:hAnsi="Times New Roman" w:eastAsia="Times New Roman"/>
          <w:b w:val="0"/>
          <w:i w:val="0"/>
          <w:sz w:val="26"/>
        </w:rPr>
        <w:t>{{property.fullAddress}}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keepNext w:val="0"/>
        <w:spacing w:before="0" w:after="4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1.2. Diện tích phòng: </w:t>
      </w:r>
      <w:r>
        <w:rPr>
          <w:rFonts w:ascii="Times New Roman" w:hAnsi="Times New Roman" w:eastAsia="Times New Roman"/>
          <w:b w:val="0"/>
          <w:i w:val="0"/>
          <w:sz w:val="26"/>
        </w:rPr>
        <w:t>{{property.areaText}}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; Loại tài sản: </w:t>
      </w:r>
      <w:r>
        <w:rPr>
          <w:rFonts w:ascii="Times New Roman" w:hAnsi="Times New Roman" w:eastAsia="Times New Roman"/>
          <w:b w:val="0"/>
          <w:i w:val="0"/>
          <w:sz w:val="26"/>
        </w:rPr>
        <w:t>{{property.propertyType}}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; Phạm vi thuê: </w:t>
      </w:r>
      <w:r>
        <w:rPr>
          <w:rFonts w:ascii="Times New Roman" w:hAnsi="Times New Roman" w:eastAsia="Times New Roman"/>
          <w:b w:val="0"/>
          <w:i w:val="0"/>
          <w:sz w:val="26"/>
        </w:rPr>
        <w:t>{{property.rentalScope}}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; Mã tin đăng: </w:t>
      </w:r>
      <w:r>
        <w:rPr>
          <w:rFonts w:ascii="Times New Roman" w:hAnsi="Times New Roman" w:eastAsia="Times New Roman"/>
          <w:b w:val="0"/>
          <w:i w:val="0"/>
          <w:sz w:val="26"/>
        </w:rPr>
        <w:t>{{property.listingCode}}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keepNext w:val="0"/>
        <w:spacing w:before="0" w:after="4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1.3. Số người tối đa: </w:t>
      </w:r>
      <w:r>
        <w:rPr>
          <w:rFonts w:ascii="Times New Roman" w:hAnsi="Times New Roman" w:eastAsia="Times New Roman"/>
          <w:b w:val="0"/>
          <w:i w:val="0"/>
          <w:sz w:val="26"/>
        </w:rPr>
        <w:t>{{property.maxOccupants}}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; Số xe tối đa: </w:t>
      </w:r>
      <w:r>
        <w:rPr>
          <w:rFonts w:ascii="Times New Roman" w:hAnsi="Times New Roman" w:eastAsia="Times New Roman"/>
          <w:b w:val="0"/>
          <w:i w:val="0"/>
          <w:sz w:val="26"/>
        </w:rPr>
        <w:t>{{property.maxVehicles}}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spacing w:after="20"/>
      </w:pPr>
      <w:r>
        <w:rPr>
          <w:rFonts w:ascii="Times New Roman" w:hAnsi="Times New Roman" w:eastAsia="Times New Roman"/>
          <w:b/>
          <w:i w:val="0"/>
          <w:sz w:val="26"/>
        </w:rPr>
        <w:t>1.4. Bảng đặc điểm kỹ thuật và tiện nghi phòng: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{{#propertyFeaturesTable}}</w:t>
      </w:r>
    </w:p>
    <w:p>
      <w:pPr>
        <w:spacing w:after="40" w:line="276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1.5. Mục đích sử dụng: Để ở và sinh hoạt cá nhân, tuyệt đối không sử dụng làm kho chứa hàng nguy hiểm hoặc địa điểm hoạt động trái pháp luật.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i w:val="0"/>
          <w:sz w:val="26"/>
        </w:rPr>
        <w:t>ĐIỀU 2. THỜI HẠN THUÊ VÀ NHẬN PHÒNG</w:t>
      </w:r>
    </w:p>
    <w:p>
      <w:pPr>
        <w:keepNext w:val="0"/>
        <w:spacing w:before="0" w:after="4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2.1. Thời hạn thuê: </w:t>
      </w:r>
      <w:r>
        <w:rPr>
          <w:rFonts w:ascii="Times New Roman" w:hAnsi="Times New Roman" w:eastAsia="Times New Roman"/>
          <w:b w:val="0"/>
          <w:i w:val="0"/>
          <w:sz w:val="26"/>
        </w:rPr>
        <w:t>{{lease.durationText}}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</w:t>
      </w:r>
      <w:r>
        <w:rPr>
          <w:rFonts w:ascii="Times New Roman" w:hAnsi="Times New Roman" w:eastAsia="Times New Roman"/>
          <w:b w:val="0"/>
          <w:i w:val="0"/>
          <w:sz w:val="26"/>
        </w:rPr>
        <w:t>{{lease.durationMonths}}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tháng), từ ngày </w:t>
      </w:r>
      <w:r>
        <w:rPr>
          <w:rFonts w:ascii="Times New Roman" w:hAnsi="Times New Roman" w:eastAsia="Times New Roman"/>
          <w:b w:val="0"/>
          <w:i w:val="0"/>
          <w:sz w:val="26"/>
        </w:rPr>
        <w:t>{{lease.startDateText}}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đến ngày </w:t>
      </w:r>
      <w:r>
        <w:rPr>
          <w:rFonts w:ascii="Times New Roman" w:hAnsi="Times New Roman" w:eastAsia="Times New Roman"/>
          <w:b w:val="0"/>
          <w:i w:val="0"/>
          <w:sz w:val="26"/>
        </w:rPr>
        <w:t>{{lease.endDateText}}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keepNext w:val="0"/>
        <w:spacing w:before="0" w:after="4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2.2. Ngày bàn giao nhận phòng: </w:t>
      </w:r>
      <w:r>
        <w:rPr>
          <w:rFonts w:ascii="Times New Roman" w:hAnsi="Times New Roman" w:eastAsia="Times New Roman"/>
          <w:b w:val="0"/>
          <w:i w:val="0"/>
          <w:sz w:val="26"/>
        </w:rPr>
        <w:t>{{lease.handoverDateText}}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keepNext w:val="0"/>
        <w:spacing w:before="0" w:after="4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2.3. Chỉ số công tơ điện lúc nhận phòng: </w:t>
      </w:r>
      <w:r>
        <w:rPr>
          <w:rFonts w:ascii="Times New Roman" w:hAnsi="Times New Roman" w:eastAsia="Times New Roman"/>
          <w:b w:val="0"/>
          <w:i w:val="0"/>
          <w:sz w:val="26"/>
        </w:rPr>
        <w:t>{{meters.electricityInitial}}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; chỉ số đồng hồ nước: </w:t>
      </w:r>
      <w:r>
        <w:rPr>
          <w:rFonts w:ascii="Times New Roman" w:hAnsi="Times New Roman" w:eastAsia="Times New Roman"/>
          <w:b w:val="0"/>
          <w:i w:val="0"/>
          <w:sz w:val="26"/>
        </w:rPr>
        <w:t>{{meters.waterInitial}}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(nếu dùng đồng hồ riêng, hoặc cập nhật tại Biên bản bàn giao nhận phòng).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i w:val="0"/>
          <w:sz w:val="26"/>
        </w:rPr>
        <w:t>ĐIỀU 3. GIÁ THUÊ, TIỀN CỌC VÀ PHƯƠNG THỨC THANH TOÁN</w:t>
      </w:r>
    </w:p>
    <w:p>
      <w:pPr>
        <w:keepNext w:val="0"/>
        <w:spacing w:before="0" w:after="4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3.1. Giá thuê phòng: </w:t>
      </w:r>
      <w:r>
        <w:rPr>
          <w:rFonts w:ascii="Times New Roman" w:hAnsi="Times New Roman" w:eastAsia="Times New Roman"/>
          <w:b w:val="0"/>
          <w:i w:val="0"/>
          <w:sz w:val="26"/>
        </w:rPr>
        <w:t>{{rent.amountNumber}}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VNĐ/tháng (Bằng chữ: </w:t>
      </w:r>
      <w:r>
        <w:rPr>
          <w:rFonts w:ascii="Times New Roman" w:hAnsi="Times New Roman" w:eastAsia="Times New Roman"/>
          <w:b w:val="0"/>
          <w:i w:val="0"/>
          <w:sz w:val="26"/>
        </w:rPr>
        <w:t>{{rent.amountWords}}</w:t>
      </w:r>
      <w:r>
        <w:rPr>
          <w:rFonts w:ascii="Times New Roman" w:hAnsi="Times New Roman" w:eastAsia="Times New Roman"/>
          <w:b w:val="0"/>
          <w:i w:val="0"/>
          <w:sz w:val="26"/>
        </w:rPr>
        <w:t>).</w:t>
      </w:r>
    </w:p>
    <w:p>
      <w:pPr>
        <w:keepNext w:val="0"/>
        <w:spacing w:before="0" w:after="4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3.2. Chu kỳ thanh toán: </w:t>
      </w:r>
      <w:r>
        <w:rPr>
          <w:rFonts w:ascii="Times New Roman" w:hAnsi="Times New Roman" w:eastAsia="Times New Roman"/>
          <w:b w:val="0"/>
          <w:i w:val="0"/>
          <w:sz w:val="26"/>
        </w:rPr>
        <w:t>{{rent.paymentCycle}}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; Hạn thanh toán định kỳ: </w:t>
      </w:r>
      <w:r>
        <w:rPr>
          <w:rFonts w:ascii="Times New Roman" w:hAnsi="Times New Roman" w:eastAsia="Times New Roman"/>
          <w:b w:val="0"/>
          <w:i w:val="0"/>
          <w:sz w:val="26"/>
        </w:rPr>
        <w:t>{{rent.paymentDueDay}}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keepNext w:val="0"/>
        <w:spacing w:before="0" w:after="4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3.3. Phương thức thanh toán: </w:t>
      </w:r>
      <w:r>
        <w:rPr>
          <w:rFonts w:ascii="Times New Roman" w:hAnsi="Times New Roman" w:eastAsia="Times New Roman"/>
          <w:b w:val="0"/>
          <w:i w:val="0"/>
          <w:sz w:val="26"/>
        </w:rPr>
        <w:t>{{rent.paymentMethod}}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qua nền tảng HomeSpace. Tiền thuê và tiền cọc không thanh toán trực tiếp vào tài khoản cá nhân của Bên A.</w:t>
      </w:r>
    </w:p>
    <w:p>
      <w:pPr>
        <w:keepNext w:val="0"/>
        <w:spacing w:before="0" w:after="4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3.4. Tiền đặt cọc: </w:t>
      </w:r>
      <w:r>
        <w:rPr>
          <w:rFonts w:ascii="Times New Roman" w:hAnsi="Times New Roman" w:eastAsia="Times New Roman"/>
          <w:b w:val="0"/>
          <w:i w:val="0"/>
          <w:sz w:val="26"/>
        </w:rPr>
        <w:t>{{deposit.amountNumber}}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VNĐ (Bằng chữ: </w:t>
      </w:r>
      <w:r>
        <w:rPr>
          <w:rFonts w:ascii="Times New Roman" w:hAnsi="Times New Roman" w:eastAsia="Times New Roman"/>
          <w:b w:val="0"/>
          <w:i w:val="0"/>
          <w:sz w:val="26"/>
        </w:rPr>
        <w:t>{{deposit.amountWords}}</w:t>
      </w:r>
      <w:r>
        <w:rPr>
          <w:rFonts w:ascii="Times New Roman" w:hAnsi="Times New Roman" w:eastAsia="Times New Roman"/>
          <w:b w:val="0"/>
          <w:i w:val="0"/>
          <w:sz w:val="26"/>
        </w:rPr>
        <w:t>).</w:t>
      </w:r>
    </w:p>
    <w:p>
      <w:pPr>
        <w:keepNext w:val="0"/>
        <w:spacing w:before="0" w:after="4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3.5. Điều kiện hoàn trả/khấu trừ tiền cọc: </w:t>
      </w:r>
      <w:r>
        <w:rPr>
          <w:rFonts w:ascii="Times New Roman" w:hAnsi="Times New Roman" w:eastAsia="Times New Roman"/>
          <w:b w:val="0"/>
          <w:i w:val="0"/>
          <w:sz w:val="26"/>
        </w:rPr>
        <w:t>{{deposit.description}}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spacing w:after="4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3.6. Trước thời điểm ký hợp đồng, Bên B đã hoàn tất thanh toán khoản tiền ban đầu qua hệ thống HomeSpace theo thông tin tại Phụ lục thanh toán đính kèm.</w:t>
      </w:r>
    </w:p>
    <w:p>
      <w:pPr>
        <w:spacing w:after="20"/>
      </w:pPr>
      <w:r>
        <w:rPr>
          <w:rFonts w:ascii="Times New Roman" w:hAnsi="Times New Roman" w:eastAsia="Times New Roman"/>
          <w:b/>
          <w:i w:val="0"/>
          <w:sz w:val="26"/>
        </w:rPr>
        <w:t>Xác nhận thanh toán ban đầu: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{{#initialPaymentTable}}</w:t>
      </w:r>
    </w:p>
    <w:p>
      <w:pPr>
        <w:keepNext w:val="0"/>
        <w:spacing w:before="0" w:after="4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Mã giao dịch: </w:t>
      </w:r>
      <w:r>
        <w:rPr>
          <w:rFonts w:ascii="Times New Roman" w:hAnsi="Times New Roman" w:eastAsia="Times New Roman"/>
          <w:b w:val="0"/>
          <w:i w:val="0"/>
          <w:sz w:val="26"/>
        </w:rPr>
        <w:t>{{payment.initial.transactionCode}}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; hoàn tất lúc: </w:t>
      </w:r>
      <w:r>
        <w:rPr>
          <w:rFonts w:ascii="Times New Roman" w:hAnsi="Times New Roman" w:eastAsia="Times New Roman"/>
          <w:b w:val="0"/>
          <w:i w:val="0"/>
          <w:sz w:val="26"/>
        </w:rPr>
        <w:t>{{payment.initial.paidAt}}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; trạng thái: </w:t>
      </w:r>
      <w:r>
        <w:rPr>
          <w:rFonts w:ascii="Times New Roman" w:hAnsi="Times New Roman" w:eastAsia="Times New Roman"/>
          <w:b w:val="0"/>
          <w:i w:val="0"/>
          <w:sz w:val="26"/>
        </w:rPr>
        <w:t>{{payment.initial.status}}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; tổng tiền ban đầu: </w:t>
      </w:r>
      <w:r>
        <w:rPr>
          <w:rFonts w:ascii="Times New Roman" w:hAnsi="Times New Roman" w:eastAsia="Times New Roman"/>
          <w:b w:val="0"/>
          <w:i w:val="0"/>
          <w:sz w:val="26"/>
        </w:rPr>
        <w:t>{{payment.initial.totalAmount}}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i w:val="0"/>
          <w:sz w:val="26"/>
        </w:rPr>
        <w:t>ĐIỀU 4. CÁC KHOẢN PHÍ DỊCH VỤ, ĐIỆN, NƯỚC VÀ GỬI XE</w:t>
      </w:r>
    </w:p>
    <w:p>
      <w:pPr>
        <w:spacing w:after="20"/>
      </w:pPr>
      <w:r>
        <w:rPr>
          <w:rFonts w:ascii="Times New Roman" w:hAnsi="Times New Roman" w:eastAsia="Times New Roman"/>
          <w:b/>
          <w:i w:val="0"/>
          <w:sz w:val="26"/>
        </w:rPr>
        <w:t>4.1. Bảng đơn giá điện, nước, internet, rác, vệ sinh và gửi xe: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{{#chargesTable}}</w:t>
      </w:r>
    </w:p>
    <w:p>
      <w:pPr>
        <w:spacing w:after="20"/>
      </w:pPr>
      <w:r>
        <w:rPr>
          <w:rFonts w:ascii="Times New Roman" w:hAnsi="Times New Roman" w:eastAsia="Times New Roman"/>
          <w:b/>
          <w:i w:val="0"/>
          <w:sz w:val="26"/>
        </w:rPr>
        <w:t>4.2. Bảng tiện ích và quyền sử dụng không gian chung: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{{#amenitiesTable}}</w:t>
      </w:r>
    </w:p>
    <w:p>
      <w:pPr>
        <w:spacing w:after="40" w:line="276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4.3. Đối với tiện ích dùng chung (khu giặt phơi, nhà để xe, lối đi chung nếu có), Bên B được quyền sử dụng theo nội quy nhà trọ, khung giờ và tình trạng vận hành thực tế, không cấu thành cam kết vận hành liên tục tuyệt đối.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i w:val="0"/>
          <w:sz w:val="26"/>
        </w:rPr>
        <w:t>ĐIỀU 5. TRANG THIẾT BỊ VÀ NỘI THẤT TRONG PHÒNG</w:t>
      </w:r>
    </w:p>
    <w:p>
      <w:pPr>
        <w:spacing w:after="20"/>
      </w:pPr>
      <w:r>
        <w:rPr>
          <w:rFonts w:ascii="Times New Roman" w:hAnsi="Times New Roman" w:eastAsia="Times New Roman"/>
          <w:b/>
          <w:i w:val="0"/>
          <w:sz w:val="26"/>
        </w:rPr>
        <w:t>5.1. Danh mục thiết bị bàn giao trong phòng: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{{#equipmentTable}}</w:t>
      </w:r>
    </w:p>
    <w:p>
      <w:pPr>
        <w:spacing w:after="40" w:line="276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5.2. Bên B có trách nhiệm sử dụng đúng tính năng, giữ gìn vệ sinh và đền bù nếu làm hư hỏng, mất mát.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i w:val="0"/>
          <w:sz w:val="26"/>
        </w:rPr>
        <w:t>ĐIỀU 6. QUYỀN VÀ NGHĨA VỤ CỦA BÊN A</w:t>
      </w:r>
    </w:p>
    <w:p>
      <w:pPr>
        <w:spacing w:after="40" w:line="276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6.1. Giao phòng và tiện nghi đúng hiện trạng thỏa thuận.</w:t>
      </w:r>
    </w:p>
    <w:p>
      <w:pPr>
        <w:spacing w:after="40" w:line="276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6.2. Đăng ký tạm trú hoặc phối hợp thực hiện thủ tục tạm trú cho Bên B theo quy định Luật Cư trú; bảo đảm an ninh khu trọ và bảo trì hệ thống cấp thoát nước, điện tổng trong phạm vi trách nhiệm của mình.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i w:val="0"/>
          <w:sz w:val="26"/>
        </w:rPr>
        <w:t>ĐIỀU 7. QUYỀN VÀ NGHĨA VỤ CỦA BÊN B (NỘI QUY VÀ AN TOÀN PCCC)</w:t>
      </w:r>
    </w:p>
    <w:p>
      <w:pPr>
        <w:keepNext w:val="0"/>
        <w:spacing w:before="0" w:after="4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7.1. Cư trú đúng số người đăng ký: </w:t>
      </w:r>
      <w:r>
        <w:rPr>
          <w:rFonts w:ascii="Times New Roman" w:hAnsi="Times New Roman" w:eastAsia="Times New Roman"/>
          <w:b w:val="0"/>
          <w:i w:val="0"/>
          <w:sz w:val="26"/>
        </w:rPr>
        <w:t>{{tenant.occupantCount}}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người; giữ đúng số lượng xe: </w:t>
      </w:r>
      <w:r>
        <w:rPr>
          <w:rFonts w:ascii="Times New Roman" w:hAnsi="Times New Roman" w:eastAsia="Times New Roman"/>
          <w:b w:val="0"/>
          <w:i w:val="0"/>
          <w:sz w:val="26"/>
        </w:rPr>
        <w:t>{{tenant.motorbikeCount}}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xe máy. Khách ở qua đêm phải báo trước với Bên A và đăng ký theo quy định.</w:t>
      </w:r>
    </w:p>
    <w:p>
      <w:pPr>
        <w:spacing w:after="40" w:line="276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7.2. TUÂN THỦ NGHIÊM NGẶT PCCC: Không sạc pin/ắc quy xe điện qua đêm không có người trông coi; không đun nấu bằng bếp gas mini không bảo đảm an toàn; không che chắn hành lang, cầu thang thoát nạn.</w:t>
      </w:r>
    </w:p>
    <w:p>
      <w:pPr>
        <w:spacing w:after="40" w:line="276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7.3. Giữ gìn an ninh trật tự, không mở nhạc lớn sau 22h00; giữ vệ sinh khu vực chung (sân phơi, nhà xe, hành lang).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i w:val="0"/>
          <w:sz w:val="26"/>
        </w:rPr>
        <w:t>ĐIỀU 8. QUY ĐỊNH VỀ VẬT NUÔI VÀ THỎA THUẬN KHÁC</w:t>
      </w:r>
    </w:p>
    <w:p>
      <w:pPr>
        <w:spacing w:after="40" w:line="276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8.1. Quy định vật nuôi: Chỉ được nuôi nếu khu trọ cho phép (thể hiện tại Bảng tiện ích); Bên B chịu trách nhiệm giữ gìn vệ sinh và không gây ồn ào.</w:t>
      </w:r>
    </w:p>
    <w:p>
      <w:pPr>
        <w:keepNext w:val="0"/>
        <w:spacing w:before="0" w:after="4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8.2. Thỏa thuận bổ sung: </w:t>
      </w:r>
      <w:r>
        <w:rPr>
          <w:rFonts w:ascii="Times New Roman" w:hAnsi="Times New Roman" w:eastAsia="Times New Roman"/>
          <w:b w:val="0"/>
          <w:i w:val="0"/>
          <w:sz w:val="26"/>
        </w:rPr>
        <w:t>{{contract.specialTerms}}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i w:val="0"/>
          <w:sz w:val="26"/>
        </w:rPr>
        <w:t>ĐIỀU 9. CHẤM DỨT HỢP ĐỒNG VÀ HOÀN TRẢ PHÒNG</w:t>
      </w:r>
    </w:p>
    <w:p>
      <w:pPr>
        <w:spacing w:after="40" w:line="276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9.1. Bên B muốn trả phòng trước hạn phải báo trước tối thiểu theo thỏa thuận, dọn dẹp sạch sẽ và bàn giao lại chìa khóa, hiện trạng phòng.</w:t>
      </w:r>
    </w:p>
    <w:p>
      <w:pPr>
        <w:spacing w:after="40" w:line="276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9.2. Tiền cọc được xử lý theo thỏa thuận khi có vi phạm hợp đồng hoặc hư hỏng tài sản; việc khấu trừ phải có căn cứ phù hợp với trách nhiệm của Bên B.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i w:val="0"/>
          <w:sz w:val="26"/>
        </w:rPr>
        <w:t>ĐIỀU 10. GIAO KẾT ĐIỆN TỬ VÀ HIỆU LỰC</w:t>
      </w:r>
    </w:p>
    <w:p>
      <w:pPr>
        <w:spacing w:after="40" w:line="276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10.1. Hợp đồng được giao kết điện tử qua nền tảng HomeSpace theo Luật Giao dịch điện tử.</w:t>
      </w:r>
    </w:p>
    <w:p>
      <w:pPr>
        <w:keepNext w:val="0"/>
        <w:spacing w:before="0" w:after="4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10.2. Phiên bản schema: </w:t>
      </w:r>
      <w:r>
        <w:rPr>
          <w:rFonts w:ascii="Times New Roman" w:hAnsi="Times New Roman" w:eastAsia="Times New Roman"/>
          <w:b w:val="0"/>
          <w:i w:val="0"/>
          <w:sz w:val="26"/>
        </w:rPr>
        <w:t>{{contract.schemaVersion}}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; Số hiệu bản sửa đổi: </w:t>
      </w:r>
      <w:r>
        <w:rPr>
          <w:rFonts w:ascii="Times New Roman" w:hAnsi="Times New Roman" w:eastAsia="Times New Roman"/>
          <w:b w:val="0"/>
          <w:i w:val="0"/>
          <w:sz w:val="26"/>
        </w:rPr>
        <w:t>{{contract.revisionNumber}}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spacing w:after="40" w:line="276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10.3. Hợp đồng có hiệu lực sau khi hai bên hoàn tất xác nhận điện tử.</w:t>
      </w:r>
    </w:p>
    <w:p>
      <w:pPr>
        <w:pageBreakBefore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ĐẠI DIỆN CÁC BÊN KÝ/XÁC NHẬN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4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BÊN CHO THUÊ (BÊN A)</w:t>
            </w:r>
          </w:p>
        </w:tc>
        <w:tc>
          <w:tcPr>
            <w:tcW w:type="dxa" w:w="464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BÊN THUÊ (BÊN B)</w:t>
            </w:r>
          </w:p>
        </w:tc>
      </w:tr>
      <w:tr>
        <w:tc>
          <w:tcPr>
            <w:tcW w:type="dxa" w:w="46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(Ký, ghi rõ họ tên hoặc ký điện tử)</w:t>
            </w:r>
          </w:p>
          <w:p/>
          <w:p/>
          <w:p/>
          <w:p/>
        </w:tc>
        <w:tc>
          <w:tcPr>
            <w:tcW w:type="dxa" w:w="46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(Ký, ghi rõ họ tên hoặc ký điện tử)</w:t>
            </w:r>
          </w:p>
          <w:p/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Trang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b w:val="0"/>
        <w:i/>
        <w:sz w:val="18"/>
      </w:rPr>
      <w:t>HomeSpace | Mẫu hợp đồng điện tử | Phòng trọ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