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6"/>
        </w:rPr>
        <w:t>CỘNG HÒA XÃ HỘI CHỦ NGHĨA VIỆT NAM</w:t>
      </w:r>
    </w:p>
    <w:p>
      <w:pPr>
        <w:spacing w:after="20"/>
        <w:jc w:val="center"/>
      </w:pPr>
      <w:r>
        <w:rPr>
          <w:rFonts w:ascii="Times New Roman" w:hAnsi="Times New Roman" w:eastAsia="Times New Roman"/>
          <w:b/>
          <w:sz w:val="26"/>
        </w:rPr>
        <w:t>Độc lập - Tự do - Hạnh phúc</w:t>
      </w:r>
    </w:p>
    <w:p>
      <w:pPr>
        <w:spacing w:after="160"/>
        <w:jc w:val="center"/>
      </w:pPr>
      <w:r>
        <w:rPr>
          <w:rFonts w:ascii="Times New Roman" w:hAnsi="Times New Roman" w:eastAsia="Times New Roman"/>
          <w:b w:val="0"/>
          <w:sz w:val="22"/>
        </w:rPr>
        <w:t>____________________</w:t>
      </w:r>
    </w:p>
    <w:p>
      <w:pPr>
        <w:spacing w:after="40"/>
        <w:jc w:val="center"/>
      </w:pPr>
      <w:r>
        <w:rPr>
          <w:rFonts w:ascii="Times New Roman" w:hAnsi="Times New Roman" w:eastAsia="Times New Roman"/>
          <w:b/>
          <w:sz w:val="32"/>
        </w:rPr>
        <w:t>HỢP ĐỒNG THUÊ PHÒNG TRỌ / CĂN HỘ DỊCH VỤ</w:t>
      </w:r>
    </w:p>
    <w:p>
      <w:pPr>
        <w:spacing w:after="160"/>
        <w:jc w:val="center"/>
      </w:pPr>
      <w:r>
        <w:rPr>
          <w:rFonts w:ascii="Times New Roman" w:hAnsi="Times New Roman" w:eastAsia="Times New Roman"/>
          <w:b/>
          <w:sz w:val="26"/>
        </w:rPr>
        <w:t>Số: {{contract.number}}</w:t>
      </w:r>
    </w:p>
    <w:p>
      <w:pPr>
        <w:spacing w:before="0" w:after="40" w:line="276" w:lineRule="auto"/>
        <w:ind w:firstLine="0"/>
        <w:jc w:val="left"/>
      </w:pPr>
      <w:r>
        <w:rPr>
          <w:rFonts w:ascii="Times New Roman" w:hAnsi="Times New Roman" w:eastAsia="Times New Roman"/>
          <w:b/>
          <w:i w:val="0"/>
          <w:sz w:val="26"/>
        </w:rPr>
        <w:t>Căn cứ:</w:t>
      </w:r>
    </w:p>
    <w:p>
      <w:pPr>
        <w:spacing w:before="0" w:after="20" w:line="276" w:lineRule="auto"/>
        <w:ind w:left="340" w:hanging="198"/>
        <w:jc w:val="both"/>
      </w:pPr>
      <w:r>
        <w:rPr>
          <w:rFonts w:ascii="Times New Roman" w:hAnsi="Times New Roman" w:eastAsia="Times New Roman"/>
          <w:b w:val="0"/>
          <w:i w:val="0"/>
          <w:sz w:val="26"/>
        </w:rPr>
        <w:t>• Bộ luật Dân sự số 91/2015/QH13 ngày 24/11/2015, đặc biệt các Điều 472 đến 482 về hợp đồng thuê tài sản;</w:t>
      </w:r>
    </w:p>
    <w:p>
      <w:pPr>
        <w:spacing w:before="0" w:after="20" w:line="276" w:lineRule="auto"/>
        <w:ind w:left="340" w:hanging="198"/>
        <w:jc w:val="both"/>
      </w:pPr>
      <w:r>
        <w:rPr>
          <w:rFonts w:ascii="Times New Roman" w:hAnsi="Times New Roman" w:eastAsia="Times New Roman"/>
          <w:b w:val="0"/>
          <w:i w:val="0"/>
          <w:sz w:val="26"/>
        </w:rPr>
        <w:t>• Luật Nhà ở số 27/2023/QH15, đặc biệt Điều 57 về nhà ở nhiều tầng nhiều căn hộ của cá nhân, được điều chỉnh thời điểm hiệu lực bởi Luật số 43/2024/QH15 và các văn bản sửa đổi, bổ sung còn hiệu lực;</w:t>
      </w:r>
    </w:p>
    <w:p>
      <w:pPr>
        <w:spacing w:before="0" w:after="20" w:line="276" w:lineRule="auto"/>
        <w:ind w:left="340" w:hanging="198"/>
        <w:jc w:val="both"/>
      </w:pPr>
      <w:r>
        <w:rPr>
          <w:rFonts w:ascii="Times New Roman" w:hAnsi="Times New Roman" w:eastAsia="Times New Roman"/>
          <w:b w:val="0"/>
          <w:i w:val="0"/>
          <w:sz w:val="26"/>
        </w:rPr>
        <w:t>• Chỉ thị số 19/CT-TTg ngày 24/06/2024 của Thủ tướng Chính phủ về tăng cường công tác phòng cháy, chữa cháy đối với nhà ở nhiều tầng, nhiều căn hộ, nhà ở riêng lẻ kết hợp sản xuất, kinh doanh; Kế hoạch số 320/KH-BCA-C07 ngày 05/07/2024 của Bộ Công an triển khai thực hiện Chỉ thị số 19/CT-TTg;</w:t>
      </w:r>
    </w:p>
    <w:p>
      <w:pPr>
        <w:spacing w:before="0" w:after="20" w:line="276" w:lineRule="auto"/>
        <w:ind w:left="340" w:hanging="198"/>
        <w:jc w:val="both"/>
      </w:pPr>
      <w:r>
        <w:rPr>
          <w:rFonts w:ascii="Times New Roman" w:hAnsi="Times New Roman" w:eastAsia="Times New Roman"/>
          <w:b w:val="0"/>
          <w:i w:val="0"/>
          <w:sz w:val="26"/>
        </w:rPr>
        <w:t>• Luật Cư trú số 68/2020/QH14 ngày 13/11/2020 và Luật số 118/2025/QH15 ngày 10/12/2025 sửa đổi, bổ sung một số luật có liên quan đến an ninh, trật tự;</w:t>
      </w:r>
    </w:p>
    <w:p>
      <w:pPr>
        <w:spacing w:before="0" w:after="20" w:line="276" w:lineRule="auto"/>
        <w:ind w:left="340" w:hanging="198"/>
        <w:jc w:val="both"/>
      </w:pPr>
      <w:r>
        <w:rPr>
          <w:rFonts w:ascii="Times New Roman" w:hAnsi="Times New Roman" w:eastAsia="Times New Roman"/>
          <w:b w:val="0"/>
          <w:i w:val="0"/>
          <w:sz w:val="26"/>
        </w:rPr>
        <w:t>• Luật Phòng cháy, chữa cháy và cứu nạn, cứu hộ số 55/2024/QH15 ngày 29/11/2024 và Nghị định số 105/2025/NĐ-CP ngày 15/05/2025 quy định chi tiết một số điều và biện pháp thi hành;</w:t>
      </w:r>
    </w:p>
    <w:p>
      <w:pPr>
        <w:spacing w:before="0" w:after="100" w:line="276" w:lineRule="auto"/>
        <w:ind w:firstLine="425"/>
        <w:jc w:val="both"/>
      </w:pPr>
      <w:r>
        <w:rPr>
          <w:rFonts w:ascii="Times New Roman" w:hAnsi="Times New Roman" w:eastAsia="Times New Roman"/>
          <w:b w:val="0"/>
          <w:i w:val="0"/>
          <w:sz w:val="26"/>
        </w:rPr>
        <w:t xml:space="preserve">Trên cơ sở nhu cầu thuê, khả năng cho thuê và sự tự nguyện của các bên, ngày </w:t>
      </w:r>
      <w:r>
        <w:rPr>
          <w:rFonts w:ascii="Times New Roman" w:hAnsi="Times New Roman" w:eastAsia="Times New Roman"/>
          <w:b w:val="0"/>
          <w:i w:val="0"/>
          <w:sz w:val="26"/>
        </w:rPr>
        <w:t>{{contract.signingDate}}</w:t>
      </w:r>
      <w:r>
        <w:rPr>
          <w:rFonts w:ascii="Times New Roman" w:hAnsi="Times New Roman" w:eastAsia="Times New Roman"/>
          <w:b w:val="0"/>
          <w:i w:val="0"/>
          <w:sz w:val="26"/>
        </w:rPr>
        <w:t xml:space="preserve"> tại </w:t>
      </w:r>
      <w:r>
        <w:rPr>
          <w:rFonts w:ascii="Times New Roman" w:hAnsi="Times New Roman" w:eastAsia="Times New Roman"/>
          <w:b w:val="0"/>
          <w:i w:val="0"/>
          <w:sz w:val="26"/>
        </w:rPr>
        <w:t>{{contract.signingCity}}</w:t>
      </w:r>
      <w:r>
        <w:rPr>
          <w:rFonts w:ascii="Times New Roman" w:hAnsi="Times New Roman" w:eastAsia="Times New Roman"/>
          <w:b w:val="0"/>
          <w:i w:val="0"/>
          <w:sz w:val="26"/>
        </w:rPr>
        <w:t>, các bên thống nhất giao kết Hợp đồng với các điều khoản sau:</w:t>
      </w:r>
    </w:p>
    <w:p>
      <w:pPr>
        <w:spacing w:before="60" w:after="40" w:line="276" w:lineRule="auto"/>
        <w:ind w:firstLine="0"/>
        <w:jc w:val="left"/>
        <w:keepNext/>
      </w:pPr>
      <w:r>
        <w:rPr>
          <w:rFonts w:ascii="Times New Roman" w:hAnsi="Times New Roman" w:eastAsia="Times New Roman"/>
          <w:b/>
          <w:i w:val="0"/>
          <w:sz w:val="26"/>
        </w:rPr>
        <w:t>BÊN CHO THUÊ / CHỦ TRỌ (BÊN A)</w:t>
      </w:r>
    </w:p>
    <w:p>
      <w:pPr>
        <w:spacing w:before="0" w:after="20" w:line="276" w:lineRule="auto"/>
        <w:ind w:left="340"/>
        <w:jc w:val="left"/>
      </w:pPr>
      <w:r>
        <w:rPr>
          <w:rFonts w:ascii="Times New Roman" w:hAnsi="Times New Roman" w:eastAsia="Times New Roman"/>
          <w:b w:val="0"/>
          <w:i w:val="0"/>
          <w:sz w:val="26"/>
        </w:rPr>
        <w:t xml:space="preserve">Họ và tên: </w:t>
      </w:r>
      <w:r>
        <w:rPr>
          <w:rFonts w:ascii="Times New Roman" w:hAnsi="Times New Roman" w:eastAsia="Times New Roman"/>
          <w:b w:val="0"/>
          <w:i w:val="0"/>
          <w:sz w:val="26"/>
        </w:rPr>
        <w:t>{{landlord.fullName}}</w:t>
      </w:r>
    </w:p>
    <w:p>
      <w:pPr>
        <w:spacing w:before="0" w:after="20" w:line="276" w:lineRule="auto"/>
        <w:ind w:left="340"/>
        <w:jc w:val="left"/>
      </w:pPr>
      <w:r>
        <w:rPr>
          <w:rFonts w:ascii="Times New Roman" w:hAnsi="Times New Roman" w:eastAsia="Times New Roman"/>
          <w:b w:val="0"/>
          <w:i w:val="0"/>
          <w:sz w:val="26"/>
        </w:rPr>
        <w:t xml:space="preserve">CCCD/Mã số định danh: </w:t>
      </w:r>
      <w:r>
        <w:rPr>
          <w:rFonts w:ascii="Times New Roman" w:hAnsi="Times New Roman" w:eastAsia="Times New Roman"/>
          <w:b w:val="0"/>
          <w:i w:val="0"/>
          <w:sz w:val="26"/>
        </w:rPr>
        <w:t>{{landlord.idNumber}}</w:t>
      </w:r>
      <w:r>
        <w:rPr>
          <w:rFonts w:ascii="Times New Roman" w:hAnsi="Times New Roman" w:eastAsia="Times New Roman"/>
          <w:b w:val="0"/>
          <w:i w:val="0"/>
          <w:sz w:val="26"/>
        </w:rPr>
        <w:t xml:space="preserve">; ngày cấp: </w:t>
      </w:r>
      <w:r>
        <w:rPr>
          <w:rFonts w:ascii="Times New Roman" w:hAnsi="Times New Roman" w:eastAsia="Times New Roman"/>
          <w:b w:val="0"/>
          <w:i w:val="0"/>
          <w:sz w:val="26"/>
        </w:rPr>
        <w:t>{{landlord.idIssueDate}}</w:t>
      </w:r>
      <w:r>
        <w:rPr>
          <w:rFonts w:ascii="Times New Roman" w:hAnsi="Times New Roman" w:eastAsia="Times New Roman"/>
          <w:b w:val="0"/>
          <w:i w:val="0"/>
          <w:sz w:val="26"/>
        </w:rPr>
        <w:t xml:space="preserve">; nơi cấp: </w:t>
      </w:r>
      <w:r>
        <w:rPr>
          <w:rFonts w:ascii="Times New Roman" w:hAnsi="Times New Roman" w:eastAsia="Times New Roman"/>
          <w:b w:val="0"/>
          <w:i w:val="0"/>
          <w:sz w:val="26"/>
        </w:rPr>
        <w:t>{{landlord.idIssuePlace}}</w:t>
      </w:r>
    </w:p>
    <w:p>
      <w:pPr>
        <w:spacing w:before="0" w:after="20" w:line="276" w:lineRule="auto"/>
        <w:ind w:left="340"/>
        <w:jc w:val="left"/>
      </w:pPr>
      <w:r>
        <w:rPr>
          <w:rFonts w:ascii="Times New Roman" w:hAnsi="Times New Roman" w:eastAsia="Times New Roman"/>
          <w:b w:val="0"/>
          <w:i w:val="0"/>
          <w:sz w:val="26"/>
        </w:rPr>
        <w:t xml:space="preserve">Nơi thường trú/địa chỉ liên hệ: </w:t>
      </w:r>
      <w:r>
        <w:rPr>
          <w:rFonts w:ascii="Times New Roman" w:hAnsi="Times New Roman" w:eastAsia="Times New Roman"/>
          <w:b w:val="0"/>
          <w:i w:val="0"/>
          <w:sz w:val="26"/>
        </w:rPr>
        <w:t>{{landlord.permanentAddress}}</w:t>
      </w:r>
    </w:p>
    <w:p>
      <w:pPr>
        <w:spacing w:before="0" w:after="20" w:line="276" w:lineRule="auto"/>
        <w:ind w:left="340"/>
        <w:jc w:val="left"/>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{{landlord.phone}}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{{landlord.email}}</w:t>
      </w:r>
    </w:p>
    <w:p>
      <w:pPr>
        <w:spacing w:before="60" w:after="40" w:line="276" w:lineRule="auto"/>
        <w:ind w:firstLine="0"/>
        <w:jc w:val="left"/>
        <w:keepNext/>
      </w:pPr>
      <w:r>
        <w:rPr>
          <w:rFonts w:ascii="Times New Roman" w:hAnsi="Times New Roman" w:eastAsia="Times New Roman"/>
          <w:b/>
          <w:i w:val="0"/>
          <w:sz w:val="26"/>
        </w:rPr>
        <w:t>BÊN THUÊ (BÊN B)</w:t>
      </w:r>
    </w:p>
    <w:p>
      <w:pPr>
        <w:spacing w:before="0" w:after="20" w:line="276" w:lineRule="auto"/>
        <w:ind w:left="340"/>
        <w:jc w:val="left"/>
      </w:pPr>
      <w:r>
        <w:rPr>
          <w:rFonts w:ascii="Times New Roman" w:hAnsi="Times New Roman" w:eastAsia="Times New Roman"/>
          <w:b w:val="0"/>
          <w:i w:val="0"/>
          <w:sz w:val="26"/>
        </w:rPr>
        <w:t xml:space="preserve">Họ và tên: </w:t>
      </w:r>
      <w:r>
        <w:rPr>
          <w:rFonts w:ascii="Times New Roman" w:hAnsi="Times New Roman" w:eastAsia="Times New Roman"/>
          <w:b w:val="0"/>
          <w:i w:val="0"/>
          <w:sz w:val="26"/>
        </w:rPr>
        <w:t>{{tenant.fullName}}</w:t>
      </w:r>
    </w:p>
    <w:p>
      <w:pPr>
        <w:spacing w:before="0" w:after="20" w:line="276" w:lineRule="auto"/>
        <w:ind w:left="340"/>
        <w:jc w:val="left"/>
      </w:pPr>
      <w:r>
        <w:rPr>
          <w:rFonts w:ascii="Times New Roman" w:hAnsi="Times New Roman" w:eastAsia="Times New Roman"/>
          <w:b w:val="0"/>
          <w:i w:val="0"/>
          <w:sz w:val="26"/>
        </w:rPr>
        <w:t xml:space="preserve">CCCD/Mã số định danh: </w:t>
      </w:r>
      <w:r>
        <w:rPr>
          <w:rFonts w:ascii="Times New Roman" w:hAnsi="Times New Roman" w:eastAsia="Times New Roman"/>
          <w:b w:val="0"/>
          <w:i w:val="0"/>
          <w:sz w:val="26"/>
        </w:rPr>
        <w:t>{{tenant.idNumber}}</w:t>
      </w:r>
      <w:r>
        <w:rPr>
          <w:rFonts w:ascii="Times New Roman" w:hAnsi="Times New Roman" w:eastAsia="Times New Roman"/>
          <w:b w:val="0"/>
          <w:i w:val="0"/>
          <w:sz w:val="26"/>
        </w:rPr>
        <w:t xml:space="preserve">; ngày cấp: </w:t>
      </w:r>
      <w:r>
        <w:rPr>
          <w:rFonts w:ascii="Times New Roman" w:hAnsi="Times New Roman" w:eastAsia="Times New Roman"/>
          <w:b w:val="0"/>
          <w:i w:val="0"/>
          <w:sz w:val="26"/>
        </w:rPr>
        <w:t>{{tenant.idIssueDate}}</w:t>
      </w:r>
      <w:r>
        <w:rPr>
          <w:rFonts w:ascii="Times New Roman" w:hAnsi="Times New Roman" w:eastAsia="Times New Roman"/>
          <w:b w:val="0"/>
          <w:i w:val="0"/>
          <w:sz w:val="26"/>
        </w:rPr>
        <w:t xml:space="preserve">; nơi cấp: </w:t>
      </w:r>
      <w:r>
        <w:rPr>
          <w:rFonts w:ascii="Times New Roman" w:hAnsi="Times New Roman" w:eastAsia="Times New Roman"/>
          <w:b w:val="0"/>
          <w:i w:val="0"/>
          <w:sz w:val="26"/>
        </w:rPr>
        <w:t>{{tenant.idIssuePlace}}</w:t>
      </w:r>
    </w:p>
    <w:p>
      <w:pPr>
        <w:spacing w:before="0" w:after="20" w:line="276" w:lineRule="auto"/>
        <w:ind w:left="340"/>
        <w:jc w:val="left"/>
      </w:pPr>
      <w:r>
        <w:rPr>
          <w:rFonts w:ascii="Times New Roman" w:hAnsi="Times New Roman" w:eastAsia="Times New Roman"/>
          <w:b w:val="0"/>
          <w:i w:val="0"/>
          <w:sz w:val="26"/>
        </w:rPr>
        <w:t xml:space="preserve">Nơi thường trú: </w:t>
      </w:r>
      <w:r>
        <w:rPr>
          <w:rFonts w:ascii="Times New Roman" w:hAnsi="Times New Roman" w:eastAsia="Times New Roman"/>
          <w:b w:val="0"/>
          <w:i w:val="0"/>
          <w:sz w:val="26"/>
        </w:rPr>
        <w:t>{{tenant.permanentAddress}}</w:t>
      </w:r>
    </w:p>
    <w:p>
      <w:pPr>
        <w:spacing w:before="0" w:after="20" w:line="276" w:lineRule="auto"/>
        <w:ind w:left="340"/>
        <w:jc w:val="left"/>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{{tenant.phone}}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{{tenant.email}}</w:t>
      </w:r>
    </w:p>
    <w:p>
      <w:pPr>
        <w:spacing w:before="0" w:after="20" w:line="276" w:lineRule="auto"/>
        <w:ind w:left="340"/>
        <w:jc w:val="left"/>
      </w:pPr>
      <w:r>
        <w:rPr>
          <w:rFonts w:ascii="Times New Roman" w:hAnsi="Times New Roman" w:eastAsia="Times New Roman"/>
          <w:b w:val="0"/>
          <w:i w:val="0"/>
          <w:sz w:val="26"/>
        </w:rPr>
        <w:t xml:space="preserve">Số lượng người cùng cư trú/sử dụng để ở đã đăng ký: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người</w:t>
      </w:r>
    </w:p>
    <w:p>
      <w:pPr>
        <w:spacing w:before="140" w:after="80" w:line="276" w:lineRule="auto"/>
        <w:ind w:firstLine="0"/>
        <w:jc w:val="left"/>
        <w:keepNext/>
      </w:pPr>
      <w:r>
        <w:rPr>
          <w:rFonts w:ascii="Times New Roman" w:hAnsi="Times New Roman" w:eastAsia="Times New Roman"/>
          <w:b/>
          <w:i w:val="0"/>
          <w:sz w:val="26"/>
        </w:rPr>
        <w:t>ĐIỀU 1. PHÒNG THUÊ, HÌNH THỨC VÀ MỤC ĐÍCH</w:t>
      </w:r>
    </w:p>
    <w:p>
      <w:pPr>
        <w:spacing w:before="0" w:after="40" w:line="276" w:lineRule="auto"/>
        <w:ind w:firstLine="425"/>
        <w:jc w:val="left"/>
      </w:pPr>
      <w:r>
        <w:rPr>
          <w:rFonts w:ascii="Times New Roman" w:hAnsi="Times New Roman" w:eastAsia="Times New Roman"/>
          <w:b w:val="0"/>
          <w:i w:val="0"/>
          <w:sz w:val="26"/>
        </w:rPr>
        <w:t xml:space="preserve">1.1. Phòng số </w:t>
      </w:r>
      <w:r>
        <w:rPr>
          <w:rFonts w:ascii="Times New Roman" w:hAnsi="Times New Roman" w:eastAsia="Times New Roman"/>
          <w:b w:val="0"/>
          <w:i w:val="0"/>
          <w:sz w:val="26"/>
        </w:rPr>
        <w:t>{{property.unitNumber}}</w:t>
      </w:r>
      <w:r>
        <w:rPr>
          <w:rFonts w:ascii="Times New Roman" w:hAnsi="Times New Roman" w:eastAsia="Times New Roman"/>
          <w:b w:val="0"/>
          <w:i w:val="0"/>
          <w:sz w:val="26"/>
        </w:rPr>
        <w:t xml:space="preserve">, Tầng </w:t>
      </w:r>
      <w:r>
        <w:rPr>
          <w:rFonts w:ascii="Times New Roman" w:hAnsi="Times New Roman" w:eastAsia="Times New Roman"/>
          <w:b w:val="0"/>
          <w:i w:val="0"/>
          <w:sz w:val="26"/>
        </w:rPr>
        <w:t>{{property.floor}}</w:t>
      </w:r>
      <w:r>
        <w:rPr>
          <w:rFonts w:ascii="Times New Roman" w:hAnsi="Times New Roman" w:eastAsia="Times New Roman"/>
          <w:b w:val="0"/>
          <w:i w:val="0"/>
          <w:sz w:val="26"/>
        </w:rPr>
        <w:t xml:space="preserve">, tại </w:t>
      </w:r>
      <w:r>
        <w:rPr>
          <w:rFonts w:ascii="Times New Roman" w:hAnsi="Times New Roman" w:eastAsia="Times New Roman"/>
          <w:b w:val="0"/>
          <w:i w:val="0"/>
          <w:sz w:val="26"/>
        </w:rPr>
        <w:t>{{property.fullAddress}}</w:t>
      </w:r>
      <w:r>
        <w:rPr>
          <w:rFonts w:ascii="Times New Roman" w:hAnsi="Times New Roman" w:eastAsia="Times New Roman"/>
          <w:b w:val="0"/>
          <w:i w:val="0"/>
          <w:sz w:val="26"/>
        </w:rPr>
        <w:t xml:space="preserve">, diện tích </w:t>
      </w:r>
      <w:r>
        <w:rPr>
          <w:rFonts w:ascii="Times New Roman" w:hAnsi="Times New Roman" w:eastAsia="Times New Roman"/>
          <w:b w:val="0"/>
          <w:i w:val="0"/>
          <w:sz w:val="26"/>
        </w:rPr>
        <w:t>{{property.areaText}}</w:t>
      </w:r>
      <w:r>
        <w:rPr>
          <w:rFonts w:ascii="Times New Roman" w:hAnsi="Times New Roman" w:eastAsia="Times New Roman"/>
          <w:b w:val="0"/>
          <w:i w:val="0"/>
          <w:sz w:val="26"/>
        </w:rPr>
        <w:t xml:space="preserve">, loại hình </w:t>
      </w:r>
      <w:r>
        <w:rPr>
          <w:rFonts w:ascii="Times New Roman" w:hAnsi="Times New Roman" w:eastAsia="Times New Roman"/>
          <w:b w:val="0"/>
          <w:i w:val="0"/>
          <w:sz w:val="26"/>
        </w:rPr>
        <w:t>{{property.propertyType}}</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1.2. Hình thức thuê: </w:t>
      </w:r>
      <w:r>
        <w:rPr>
          <w:rFonts w:ascii="Times New Roman" w:hAnsi="Times New Roman" w:eastAsia="Times New Roman"/>
          <w:b w:val="0"/>
          <w:i w:val="0"/>
          <w:sz w:val="26"/>
        </w:rPr>
        <w:t>{{lease.rentalMode}}</w:t>
      </w:r>
      <w:r>
        <w:rPr>
          <w:rFonts w:ascii="Times New Roman" w:hAnsi="Times New Roman" w:eastAsia="Times New Roman"/>
          <w:b w:val="0"/>
          <w:i w:val="0"/>
          <w:sz w:val="26"/>
        </w:rPr>
        <w:t>. Phòng được sử dụng chủ yếu cho mục đích ở hợp pháp, đúng công năng và nội quy cơ sở.</w:t>
      </w:r>
    </w:p>
    <w:p>
      <w:pPr>
        <w:spacing w:before="0" w:after="40" w:line="276" w:lineRule="auto"/>
        <w:ind w:firstLine="425"/>
        <w:jc w:val="left"/>
      </w:pPr>
      <w:r>
        <w:rPr>
          <w:rFonts w:ascii="Times New Roman" w:hAnsi="Times New Roman" w:eastAsia="Times New Roman"/>
          <w:b w:val="0"/>
          <w:i w:val="0"/>
          <w:sz w:val="26"/>
        </w:rPr>
        <w:t xml:space="preserve">1.3. Số lượng người ở đăng ký là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người. Bên B không được bố trí người ở vượt số lượng đã đăng ký khi chưa thông báo và đáp ứng điều kiện quản lý cư trú, an toàn của cơ sở.</w:t>
      </w:r>
    </w:p>
    <w:p>
      <w:pPr>
        <w:spacing w:before="140" w:after="80" w:line="276" w:lineRule="auto"/>
        <w:ind w:firstLine="0"/>
        <w:jc w:val="left"/>
        <w:keepNext/>
      </w:pPr>
      <w:r>
        <w:rPr>
          <w:rFonts w:ascii="Times New Roman" w:hAnsi="Times New Roman" w:eastAsia="Times New Roman"/>
          <w:b/>
          <w:i w:val="0"/>
          <w:sz w:val="26"/>
        </w:rPr>
        <w:t>ĐIỀU 2. THỜI HẠN VÀ BÀN GIAO</w:t>
      </w:r>
    </w:p>
    <w:p>
      <w:pPr>
        <w:spacing w:before="0" w:after="40" w:line="276" w:lineRule="auto"/>
        <w:ind w:firstLine="425"/>
        <w:jc w:val="left"/>
      </w:pPr>
      <w:r>
        <w:rPr>
          <w:rFonts w:ascii="Times New Roman" w:hAnsi="Times New Roman" w:eastAsia="Times New Roman"/>
          <w:b w:val="0"/>
          <w:i w:val="0"/>
          <w:sz w:val="26"/>
        </w:rPr>
        <w:t xml:space="preserve">2.1. Thời hạn thuê từ </w:t>
      </w:r>
      <w:r>
        <w:rPr>
          <w:rFonts w:ascii="Times New Roman" w:hAnsi="Times New Roman" w:eastAsia="Times New Roman"/>
          <w:b w:val="0"/>
          <w:i w:val="0"/>
          <w:sz w:val="26"/>
        </w:rPr>
        <w:t>{{lease.startDateText}}</w:t>
      </w:r>
      <w:r>
        <w:rPr>
          <w:rFonts w:ascii="Times New Roman" w:hAnsi="Times New Roman" w:eastAsia="Times New Roman"/>
          <w:b w:val="0"/>
          <w:i w:val="0"/>
          <w:sz w:val="26"/>
        </w:rPr>
        <w:t xml:space="preserve"> đến </w:t>
      </w:r>
      <w:r>
        <w:rPr>
          <w:rFonts w:ascii="Times New Roman" w:hAnsi="Times New Roman" w:eastAsia="Times New Roman"/>
          <w:b w:val="0"/>
          <w:i w:val="0"/>
          <w:sz w:val="26"/>
        </w:rPr>
        <w:t>{{lease.endDateText}}</w:t>
      </w:r>
      <w:r>
        <w:rPr>
          <w:rFonts w:ascii="Times New Roman" w:hAnsi="Times New Roman" w:eastAsia="Times New Roman"/>
          <w:b w:val="0"/>
          <w:i w:val="0"/>
          <w:sz w:val="26"/>
        </w:rPr>
        <w:t xml:space="preserve">, tương ứng </w:t>
      </w:r>
      <w:r>
        <w:rPr>
          <w:rFonts w:ascii="Times New Roman" w:hAnsi="Times New Roman" w:eastAsia="Times New Roman"/>
          <w:b w:val="0"/>
          <w:i w:val="0"/>
          <w:sz w:val="26"/>
        </w:rPr>
        <w:t>{{lease.durationText}}</w:t>
      </w:r>
      <w:r>
        <w:rPr>
          <w:rFonts w:ascii="Times New Roman" w:hAnsi="Times New Roman" w:eastAsia="Times New Roman"/>
          <w:b w:val="0"/>
          <w:i w:val="0"/>
          <w:sz w:val="26"/>
        </w:rPr>
        <w:t xml:space="preserve"> - </w:t>
      </w:r>
      <w:r>
        <w:rPr>
          <w:rFonts w:ascii="Times New Roman" w:hAnsi="Times New Roman" w:eastAsia="Times New Roman"/>
          <w:b w:val="0"/>
          <w:i w:val="0"/>
          <w:sz w:val="26"/>
        </w:rPr>
        <w:t>{{lease.durationMonths}}</w:t>
      </w:r>
      <w:r>
        <w:rPr>
          <w:rFonts w:ascii="Times New Roman" w:hAnsi="Times New Roman" w:eastAsia="Times New Roman"/>
          <w:b w:val="0"/>
          <w:i w:val="0"/>
          <w:sz w:val="26"/>
        </w:rPr>
        <w:t xml:space="preserve"> tháng.</w:t>
      </w:r>
    </w:p>
    <w:p>
      <w:pPr>
        <w:spacing w:before="0" w:after="40" w:line="276" w:lineRule="auto"/>
        <w:ind w:firstLine="425"/>
        <w:jc w:val="left"/>
      </w:pPr>
      <w:r>
        <w:rPr>
          <w:rFonts w:ascii="Times New Roman" w:hAnsi="Times New Roman" w:eastAsia="Times New Roman"/>
          <w:b w:val="0"/>
          <w:i w:val="0"/>
          <w:sz w:val="26"/>
        </w:rPr>
        <w:t xml:space="preserve">2.2. Bàn giao ngày </w:t>
      </w:r>
      <w:r>
        <w:rPr>
          <w:rFonts w:ascii="Times New Roman" w:hAnsi="Times New Roman" w:eastAsia="Times New Roman"/>
          <w:b w:val="0"/>
          <w:i w:val="0"/>
          <w:sz w:val="26"/>
        </w:rPr>
        <w:t>{{lease.handoverDateText}}</w:t>
      </w:r>
      <w:r>
        <w:rPr>
          <w:rFonts w:ascii="Times New Roman" w:hAnsi="Times New Roman" w:eastAsia="Times New Roman"/>
          <w:b w:val="0"/>
          <w:i w:val="0"/>
          <w:sz w:val="26"/>
        </w:rPr>
        <w:t xml:space="preserve">. Chỉ số điện ban đầu: </w:t>
      </w:r>
      <w:r>
        <w:rPr>
          <w:rFonts w:ascii="Times New Roman" w:hAnsi="Times New Roman" w:eastAsia="Times New Roman"/>
          <w:b w:val="0"/>
          <w:i w:val="0"/>
          <w:sz w:val="26"/>
        </w:rPr>
        <w:t>{{meters.electricityInitial}}</w:t>
      </w:r>
      <w:r>
        <w:rPr>
          <w:rFonts w:ascii="Times New Roman" w:hAnsi="Times New Roman" w:eastAsia="Times New Roman"/>
          <w:b w:val="0"/>
          <w:i w:val="0"/>
          <w:sz w:val="26"/>
        </w:rPr>
        <w:t xml:space="preserve">; chỉ số nước ban đầu: </w:t>
      </w:r>
      <w:r>
        <w:rPr>
          <w:rFonts w:ascii="Times New Roman" w:hAnsi="Times New Roman" w:eastAsia="Times New Roman"/>
          <w:b w:val="0"/>
          <w:i w:val="0"/>
          <w:sz w:val="26"/>
        </w:rPr>
        <w:t>{{meters.waterInitial}}</w:t>
      </w:r>
      <w:r>
        <w:rPr>
          <w:rFonts w:ascii="Times New Roman" w:hAnsi="Times New Roman" w:eastAsia="Times New Roman"/>
          <w:b w:val="0"/>
          <w:i w:val="0"/>
          <w:sz w:val="26"/>
        </w:rPr>
        <w:t>.</w:t>
      </w:r>
    </w:p>
    <w:p>
      <w:pPr>
        <w:spacing w:before="140" w:after="80" w:line="276" w:lineRule="auto"/>
        <w:ind w:firstLine="0"/>
        <w:jc w:val="left"/>
        <w:keepNext/>
      </w:pPr>
      <w:r>
        <w:rPr>
          <w:rFonts w:ascii="Times New Roman" w:hAnsi="Times New Roman" w:eastAsia="Times New Roman"/>
          <w:b/>
          <w:i w:val="0"/>
          <w:sz w:val="26"/>
        </w:rPr>
        <w:t>ĐIỀU 3. TIỀN PHÒNG, ĐẶT CỌC VÀ THANH TOÁN</w:t>
      </w:r>
    </w:p>
    <w:p>
      <w:pPr>
        <w:spacing w:before="0" w:after="40" w:line="276" w:lineRule="auto"/>
        <w:ind w:firstLine="425"/>
        <w:jc w:val="left"/>
      </w:pPr>
      <w:r>
        <w:rPr>
          <w:rFonts w:ascii="Times New Roman" w:hAnsi="Times New Roman" w:eastAsia="Times New Roman"/>
          <w:b w:val="0"/>
          <w:i w:val="0"/>
          <w:sz w:val="26"/>
        </w:rPr>
        <w:t xml:space="preserve">3.1. Tiền phòng: </w:t>
      </w:r>
      <w:r>
        <w:rPr>
          <w:rFonts w:ascii="Times New Roman" w:hAnsi="Times New Roman" w:eastAsia="Times New Roman"/>
          <w:b w:val="0"/>
          <w:i w:val="0"/>
          <w:sz w:val="26"/>
        </w:rPr>
        <w:t>{{rent.amountNumber}}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{{rent.amountWords}}</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3.2. Kỳ thanh toán: </w:t>
      </w:r>
      <w:r>
        <w:rPr>
          <w:rFonts w:ascii="Times New Roman" w:hAnsi="Times New Roman" w:eastAsia="Times New Roman"/>
          <w:b w:val="0"/>
          <w:i w:val="0"/>
          <w:sz w:val="26"/>
        </w:rPr>
        <w:t>{{rent.paymentCycle}}</w:t>
      </w:r>
      <w:r>
        <w:rPr>
          <w:rFonts w:ascii="Times New Roman" w:hAnsi="Times New Roman" w:eastAsia="Times New Roman"/>
          <w:b w:val="0"/>
          <w:i w:val="0"/>
          <w:sz w:val="26"/>
        </w:rPr>
        <w:t xml:space="preserve">; hạn đóng: </w:t>
      </w:r>
      <w:r>
        <w:rPr>
          <w:rFonts w:ascii="Times New Roman" w:hAnsi="Times New Roman" w:eastAsia="Times New Roman"/>
          <w:b w:val="0"/>
          <w:i w:val="0"/>
          <w:sz w:val="26"/>
        </w:rPr>
        <w:t>{{rent.paymentDueDay}}</w:t>
      </w:r>
      <w:r>
        <w:rPr>
          <w:rFonts w:ascii="Times New Roman" w:hAnsi="Times New Roman" w:eastAsia="Times New Roman"/>
          <w:b w:val="0"/>
          <w:i w:val="0"/>
          <w:sz w:val="26"/>
        </w:rPr>
        <w:t xml:space="preserve">; hình thức: </w:t>
      </w:r>
      <w:r>
        <w:rPr>
          <w:rFonts w:ascii="Times New Roman" w:hAnsi="Times New Roman" w:eastAsia="Times New Roman"/>
          <w:b w:val="0"/>
          <w:i w:val="0"/>
          <w:sz w:val="26"/>
        </w:rPr>
        <w:t>{{rent.paymentMethod}}</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3.3. Tiền phòng và tiền cọc được nộp trực tuyến qua HomeSpace theo </w:t>
      </w:r>
      <w:r>
        <w:rPr>
          <w:rFonts w:ascii="Times New Roman" w:hAnsi="Times New Roman" w:eastAsia="Times New Roman"/>
          <w:b w:val="0"/>
          <w:i w:val="0"/>
          <w:sz w:val="26"/>
        </w:rPr>
        <w:t>{{rent.paymentMethod}}</w:t>
      </w:r>
      <w:r>
        <w:rPr>
          <w:rFonts w:ascii="Times New Roman" w:hAnsi="Times New Roman" w:eastAsia="Times New Roman"/>
          <w:b w:val="0"/>
          <w:i w:val="0"/>
          <w:sz w:val="26"/>
        </w:rPr>
        <w:t>; mẫu Hợp đồng không sử dụng số tài khoản hoặc tên ngân hàng cá nhân của Bên A.</w:t>
      </w:r>
    </w:p>
    <w:p>
      <w:pPr>
        <w:spacing w:before="0" w:after="40" w:line="276" w:lineRule="auto"/>
        <w:ind w:firstLine="425"/>
        <w:jc w:val="left"/>
      </w:pPr>
      <w:r>
        <w:rPr>
          <w:rFonts w:ascii="Times New Roman" w:hAnsi="Times New Roman" w:eastAsia="Times New Roman"/>
          <w:b w:val="0"/>
          <w:i w:val="0"/>
          <w:sz w:val="26"/>
        </w:rPr>
        <w:t xml:space="preserve">3.4. Tiền cọc: </w:t>
      </w:r>
      <w:r>
        <w:rPr>
          <w:rFonts w:ascii="Times New Roman" w:hAnsi="Times New Roman" w:eastAsia="Times New Roman"/>
          <w:b w:val="0"/>
          <w:i w:val="0"/>
          <w:sz w:val="26"/>
        </w:rPr>
        <w:t>{{deposit.amountNumber}}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{{deposit.amountWords}}</w:t>
      </w:r>
      <w:r>
        <w:rPr>
          <w:rFonts w:ascii="Times New Roman" w:hAnsi="Times New Roman" w:eastAsia="Times New Roman"/>
          <w:b w:val="0"/>
          <w:i w:val="0"/>
          <w:sz w:val="26"/>
        </w:rPr>
        <w:t xml:space="preserve">). Thỏa thuận về hoàn, khấu trừ và xử lý cọc: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spacing w:before="140" w:after="80" w:line="276" w:lineRule="auto"/>
        <w:ind w:firstLine="0"/>
        <w:jc w:val="left"/>
        <w:keepNext/>
      </w:pPr>
      <w:r>
        <w:rPr>
          <w:rFonts w:ascii="Times New Roman" w:hAnsi="Times New Roman" w:eastAsia="Times New Roman"/>
          <w:b/>
          <w:i w:val="0"/>
          <w:sz w:val="26"/>
        </w:rPr>
        <w:t>ĐIỀU 4. PHÍ DỊCH VỤ VÀ TRANG THIẾT BỊ</w:t>
      </w:r>
    </w:p>
    <w:p>
      <w:pPr>
        <w:spacing w:before="0" w:after="40" w:line="276" w:lineRule="auto"/>
        <w:ind w:firstLine="425"/>
        <w:jc w:val="left"/>
      </w:pPr>
      <w:r>
        <w:rPr>
          <w:rFonts w:ascii="Times New Roman" w:hAnsi="Times New Roman" w:eastAsia="Times New Roman"/>
          <w:b w:val="0"/>
          <w:i w:val="0"/>
          <w:sz w:val="26"/>
        </w:rPr>
        <w:t>4.1. Điện, nước, internet, rác, máy giặt, gửi xe và dịch vụ khác được thu theo biểu phí được công khai cho Bên B và phù hợp quy định pháp luật.</w:t>
      </w:r>
    </w:p>
    <w:p>
      <w:pPr>
        <w:spacing w:before="80" w:after="40" w:line="276" w:lineRule="auto"/>
        <w:ind w:firstLine="0"/>
        <w:jc w:val="left"/>
        <w:keepNext/>
      </w:pPr>
      <w:r>
        <w:rPr>
          <w:rFonts w:ascii="Times New Roman" w:hAnsi="Times New Roman" w:eastAsia="Times New Roman"/>
          <w:b/>
          <w:i w:val="0"/>
          <w:sz w:val="26"/>
        </w:rPr>
        <w:t>4.2. Bảng đơn giá điện, nước, internet, rác, máy giặt, gửi xe</w:t>
      </w:r>
    </w:p>
    <w:tbl>
      <w:tblPr>
        <w:tblW w:type="auto" w:w="0"/>
        <w:jc w:val="center"/>
        <w:tblLayout w:type="autofit"/>
        <w:tblLook w:firstColumn="1" w:firstRow="1" w:lastColumn="0" w:lastRow="0" w:noHBand="0" w:noVBand="1" w:val="04A0"/>
      </w:tblPr>
      <w:tblGrid>
        <w:gridCol w:w="9298"/>
      </w:tblGrid>
      <w:tr>
        <w:tc>
          <w:tcPr>
            <w:tcW w:type="dxa" w:w="9298"/>
            <w:vAlign w:val="center"/>
            <w:shd w:fill="F2F2F2"/>
          </w:tcPr>
          <w:p>
            <w:pPr>
              <w:spacing w:before="120" w:after="120"/>
              <w:jc w:val="center"/>
            </w:pPr>
            <w:r>
              <w:rPr>
                <w:rFonts w:ascii="Times New Roman" w:hAnsi="Times New Roman" w:eastAsia="Times New Roman"/>
                <w:b/>
                <w:i w:val="0"/>
                <w:sz w:val="26"/>
              </w:rPr>
              <w:t>{{#chargesTable}}</w:t>
            </w:r>
          </w:p>
        </w:tc>
      </w:tr>
    </w:tbl>
    <w:p>
      <w:pPr>
        <w:spacing w:before="0" w:after="40" w:line="276" w:lineRule="auto"/>
        <w:ind w:firstLine="425"/>
        <w:jc w:val="both"/>
      </w:pPr>
      <w:r>
        <w:rPr>
          <w:rFonts w:ascii="Times New Roman" w:hAnsi="Times New Roman" w:eastAsia="Times New Roman"/>
          <w:b w:val="0"/>
          <w:i/>
          <w:sz w:val="26"/>
        </w:rPr>
        <w:t>Bảng phí do HomeSpace tự sinh từ cấu hình của cơ sở.</w:t>
      </w:r>
    </w:p>
    <w:p>
      <w:pPr>
        <w:spacing w:before="80" w:after="40" w:line="276" w:lineRule="auto"/>
        <w:ind w:firstLine="0"/>
        <w:jc w:val="left"/>
        <w:keepNext/>
      </w:pPr>
      <w:r>
        <w:rPr>
          <w:rFonts w:ascii="Times New Roman" w:hAnsi="Times New Roman" w:eastAsia="Times New Roman"/>
          <w:b/>
          <w:i w:val="0"/>
          <w:sz w:val="26"/>
        </w:rPr>
        <w:t>4.3. Bảng trang thiết bị bàn giao trong phòng</w:t>
      </w:r>
    </w:p>
    <w:tbl>
      <w:tblPr>
        <w:tblW w:type="auto" w:w="0"/>
        <w:jc w:val="center"/>
        <w:tblLayout w:type="autofit"/>
        <w:tblLook w:firstColumn="1" w:firstRow="1" w:lastColumn="0" w:lastRow="0" w:noHBand="0" w:noVBand="1" w:val="04A0"/>
      </w:tblPr>
      <w:tblGrid>
        <w:gridCol w:w="9298"/>
      </w:tblGrid>
      <w:tr>
        <w:tc>
          <w:tcPr>
            <w:tcW w:type="dxa" w:w="9298"/>
            <w:vAlign w:val="center"/>
            <w:shd w:fill="F2F2F2"/>
          </w:tcPr>
          <w:p>
            <w:pPr>
              <w:spacing w:before="120" w:after="120"/>
              <w:jc w:val="center"/>
            </w:pPr>
            <w:r>
              <w:rPr>
                <w:rFonts w:ascii="Times New Roman" w:hAnsi="Times New Roman" w:eastAsia="Times New Roman"/>
                <w:b/>
                <w:i w:val="0"/>
                <w:sz w:val="26"/>
              </w:rPr>
              <w:t>{{#equipmentTable}}</w:t>
            </w:r>
          </w:p>
        </w:tc>
      </w:tr>
    </w:tbl>
    <w:p>
      <w:pPr>
        <w:spacing w:before="0" w:after="40" w:line="276" w:lineRule="auto"/>
        <w:ind w:firstLine="425"/>
        <w:jc w:val="both"/>
      </w:pPr>
      <w:r>
        <w:rPr>
          <w:rFonts w:ascii="Times New Roman" w:hAnsi="Times New Roman" w:eastAsia="Times New Roman"/>
          <w:b w:val="0"/>
          <w:i/>
          <w:sz w:val="26"/>
        </w:rPr>
        <w:t>Danh mục là căn cứ đối chiếu khi trả phòng và xử lý hư hỏng.</w:t>
      </w:r>
    </w:p>
    <w:p>
      <w:pPr>
        <w:spacing w:before="140" w:after="80" w:line="276" w:lineRule="auto"/>
        <w:ind w:firstLine="0"/>
        <w:jc w:val="left"/>
        <w:keepNext/>
      </w:pPr>
      <w:r>
        <w:rPr>
          <w:rFonts w:ascii="Times New Roman" w:hAnsi="Times New Roman" w:eastAsia="Times New Roman"/>
          <w:b/>
          <w:i w:val="0"/>
          <w:sz w:val="26"/>
        </w:rPr>
        <w:t>ĐIỀU 5. QUYỀN VÀ NGHĨA VỤ CỦA BÊN A</w:t>
      </w:r>
    </w:p>
    <w:p>
      <w:pPr>
        <w:spacing w:before="0" w:after="40" w:line="276" w:lineRule="auto"/>
        <w:ind w:firstLine="425"/>
        <w:jc w:val="left"/>
      </w:pPr>
      <w:r>
        <w:rPr>
          <w:rFonts w:ascii="Times New Roman" w:hAnsi="Times New Roman" w:eastAsia="Times New Roman"/>
          <w:b w:val="0"/>
          <w:i w:val="0"/>
          <w:sz w:val="26"/>
        </w:rPr>
        <w:t>5.1. Bàn giao phòng đủ điều kiện sử dụng theo thỏa thuận; duy trì các hệ thống dùng chung thuộc phạm vi quản lý của chủ cơ sở và thông báo nội quy cho Bên B.</w:t>
      </w:r>
    </w:p>
    <w:p>
      <w:pPr>
        <w:spacing w:before="0" w:after="40" w:line="276" w:lineRule="auto"/>
        <w:ind w:firstLine="425"/>
        <w:jc w:val="left"/>
      </w:pPr>
      <w:r>
        <w:rPr>
          <w:rFonts w:ascii="Times New Roman" w:hAnsi="Times New Roman" w:eastAsia="Times New Roman"/>
          <w:b w:val="0"/>
          <w:i w:val="0"/>
          <w:sz w:val="26"/>
        </w:rPr>
        <w:t>5.2. Thực hiện trách nhiệm PCCC của chủ sở hữu/người quản lý cơ sở theo loại hình, quy mô và quy định pháp luật; duy trì lối thoát nạn, phương tiện PCCC và điều kiện tiếp cận chữa cháy thuộc phạm vi trách nhiệm của mình.</w:t>
      </w:r>
    </w:p>
    <w:p>
      <w:pPr>
        <w:spacing w:before="0" w:after="40" w:line="276" w:lineRule="auto"/>
        <w:ind w:firstLine="425"/>
        <w:jc w:val="left"/>
      </w:pPr>
      <w:r>
        <w:rPr>
          <w:rFonts w:ascii="Times New Roman" w:hAnsi="Times New Roman" w:eastAsia="Times New Roman"/>
          <w:b w:val="0"/>
          <w:i w:val="0"/>
          <w:sz w:val="26"/>
        </w:rPr>
        <w:t>5.3. Phối hợp xác nhận, cung cấp thông tin cần thiết để Bên B thực hiện đăng ký tạm trú hoặc thông báo lưu trú theo pháp luật.</w:t>
      </w:r>
    </w:p>
    <w:p>
      <w:pPr>
        <w:spacing w:before="0" w:after="40" w:line="276" w:lineRule="auto"/>
        <w:ind w:firstLine="425"/>
        <w:jc w:val="left"/>
      </w:pPr>
      <w:r>
        <w:rPr>
          <w:rFonts w:ascii="Times New Roman" w:hAnsi="Times New Roman" w:eastAsia="Times New Roman"/>
          <w:b w:val="0"/>
          <w:i w:val="0"/>
          <w:sz w:val="26"/>
        </w:rPr>
        <w:t>5.4. Có quyền kiểm tra phòng khi cần thiết với thông báo trước hợp lý, trừ trường hợp khẩn cấp về cháy, điện, nước, an ninh hoặc nguy cơ gây thiệt hại.</w:t>
      </w:r>
    </w:p>
    <w:p>
      <w:pPr>
        <w:spacing w:before="140" w:after="80" w:line="276" w:lineRule="auto"/>
        <w:ind w:firstLine="0"/>
        <w:jc w:val="left"/>
        <w:keepNext/>
      </w:pPr>
      <w:r>
        <w:rPr>
          <w:rFonts w:ascii="Times New Roman" w:hAnsi="Times New Roman" w:eastAsia="Times New Roman"/>
          <w:b/>
          <w:i w:val="0"/>
          <w:sz w:val="26"/>
        </w:rPr>
        <w:t>ĐIỀU 6. QUYỀN VÀ NGHĨA VỤ CỦA BÊN B</w:t>
      </w:r>
    </w:p>
    <w:p>
      <w:pPr>
        <w:spacing w:before="0" w:after="40" w:line="276" w:lineRule="auto"/>
        <w:ind w:firstLine="425"/>
        <w:jc w:val="left"/>
      </w:pPr>
      <w:r>
        <w:rPr>
          <w:rFonts w:ascii="Times New Roman" w:hAnsi="Times New Roman" w:eastAsia="Times New Roman"/>
          <w:b w:val="0"/>
          <w:i w:val="0"/>
          <w:sz w:val="26"/>
        </w:rPr>
        <w:t>6.1. Thanh toán đúng hạn, bảo quản phòng và tài sản, giữ vệ sinh khu vực riêng và khu vực dùng chung.</w:t>
      </w:r>
    </w:p>
    <w:p>
      <w:pPr>
        <w:spacing w:before="0" w:after="40" w:line="276" w:lineRule="auto"/>
        <w:ind w:firstLine="425"/>
        <w:jc w:val="left"/>
      </w:pPr>
      <w:r>
        <w:rPr>
          <w:rFonts w:ascii="Times New Roman" w:hAnsi="Times New Roman" w:eastAsia="Times New Roman"/>
          <w:b w:val="0"/>
          <w:i w:val="0"/>
          <w:sz w:val="26"/>
        </w:rPr>
        <w:t>6.2. Khách bên ngoài ở lại qua đêm phải được Bên B thông báo trước cho Bên A theo nội quy hợp pháp của cơ sở và cung cấp thông tin giấy tờ tùy thân cần thiết để thực hiện nghĩa vụ lưu trú theo pháp luật.</w:t>
      </w:r>
    </w:p>
    <w:p>
      <w:pPr>
        <w:spacing w:before="0" w:after="40" w:line="276" w:lineRule="auto"/>
        <w:ind w:firstLine="425"/>
        <w:jc w:val="left"/>
      </w:pPr>
      <w:r>
        <w:rPr>
          <w:rFonts w:ascii="Times New Roman" w:hAnsi="Times New Roman" w:eastAsia="Times New Roman"/>
          <w:b w:val="0"/>
          <w:i w:val="0"/>
          <w:sz w:val="26"/>
        </w:rPr>
        <w:t>6.3. Bên B phải cung cấp trung thực, kịp thời thông tin cần thiết để đăng ký tạm trú với cơ quan đăng ký cư trú có thẩm quyền theo trường hợp áp dụng.</w:t>
      </w:r>
    </w:p>
    <w:p>
      <w:pPr>
        <w:spacing w:before="0" w:after="40" w:line="276" w:lineRule="auto"/>
        <w:ind w:firstLine="425"/>
        <w:jc w:val="left"/>
      </w:pPr>
      <w:r>
        <w:rPr>
          <w:rFonts w:ascii="Times New Roman" w:hAnsi="Times New Roman" w:eastAsia="Times New Roman"/>
          <w:b w:val="0"/>
          <w:i w:val="0"/>
          <w:sz w:val="26"/>
        </w:rPr>
        <w:t>6.4. Không tự ý cho thuê lại, chuyển nhượng quyền thuê hoặc đưa thêm người vào ở thường xuyên trái nội quy và thỏa thuận.</w:t>
      </w:r>
    </w:p>
    <w:p>
      <w:pPr>
        <w:spacing w:before="140" w:after="80" w:line="276" w:lineRule="auto"/>
        <w:ind w:firstLine="0"/>
        <w:jc w:val="left"/>
        <w:keepNext/>
      </w:pPr>
      <w:r>
        <w:rPr>
          <w:rFonts w:ascii="Times New Roman" w:hAnsi="Times New Roman" w:eastAsia="Times New Roman"/>
          <w:b/>
          <w:i w:val="0"/>
          <w:sz w:val="26"/>
        </w:rPr>
        <w:t>ĐIỀU 7. PCCC, AN NINH TRẬT TỰ VÀ NỘI QUY PHÒNG TRỌ</w:t>
      </w:r>
    </w:p>
    <w:p>
      <w:pPr>
        <w:spacing w:before="0" w:after="40" w:line="276" w:lineRule="auto"/>
        <w:ind w:firstLine="425"/>
        <w:jc w:val="left"/>
      </w:pPr>
      <w:r>
        <w:rPr>
          <w:rFonts w:ascii="Times New Roman" w:hAnsi="Times New Roman" w:eastAsia="Times New Roman"/>
          <w:b w:val="0"/>
          <w:i w:val="0"/>
          <w:sz w:val="26"/>
        </w:rPr>
        <w:t>7.1. Nghiêm cấm sạc pin xe đạp điện/xe máy điện qua đêm trong điều kiện không có người giám sát hoặc tại vị trí, nguồn điện không được phép theo nội quy và yêu cầu PCCC của cơ sở.</w:t>
      </w:r>
    </w:p>
    <w:p>
      <w:pPr>
        <w:spacing w:before="0" w:after="40" w:line="276" w:lineRule="auto"/>
        <w:ind w:firstLine="425"/>
        <w:jc w:val="left"/>
      </w:pPr>
      <w:r>
        <w:rPr>
          <w:rFonts w:ascii="Times New Roman" w:hAnsi="Times New Roman" w:eastAsia="Times New Roman"/>
          <w:b w:val="0"/>
          <w:i w:val="0"/>
          <w:sz w:val="26"/>
        </w:rPr>
        <w:t>7.2. Cấm sử dụng bếp gas mini không rõ nguồn gốc, bình/thiết bị gas không bảo đảm an toàn; cấm đốt nến, vàng mã hoặc tạo nguồn lửa trần trong phòng khi không đáp ứng yêu cầu an toàn.</w:t>
      </w:r>
    </w:p>
    <w:p>
      <w:pPr>
        <w:spacing w:before="0" w:after="40" w:line="276" w:lineRule="auto"/>
        <w:ind w:firstLine="425"/>
        <w:jc w:val="left"/>
      </w:pPr>
      <w:r>
        <w:rPr>
          <w:rFonts w:ascii="Times New Roman" w:hAnsi="Times New Roman" w:eastAsia="Times New Roman"/>
          <w:b w:val="0"/>
          <w:i w:val="0"/>
          <w:sz w:val="26"/>
        </w:rPr>
        <w:t>7.3. Không chặn, khóa, che chắn lối thoát nạn; không tự ý tháo dỡ, di chuyển hoặc vô hiệu hóa bình chữa cháy, đầu báo, đèn chỉ dẫn và phương tiện PCCC.</w:t>
      </w:r>
    </w:p>
    <w:p>
      <w:pPr>
        <w:spacing w:before="0" w:after="40" w:line="276" w:lineRule="auto"/>
        <w:ind w:firstLine="425"/>
        <w:jc w:val="left"/>
      </w:pPr>
      <w:r>
        <w:rPr>
          <w:rFonts w:ascii="Times New Roman" w:hAnsi="Times New Roman" w:eastAsia="Times New Roman"/>
          <w:b w:val="0"/>
          <w:i w:val="0"/>
          <w:sz w:val="26"/>
        </w:rPr>
        <w:t>7.4. Bên B tuân thủ giờ đóng/mở cửa chung được cơ sở công bố hợp pháp; sau 22h00 phải giữ trật tự, hạn chế tiếng ồn, không tụ tập gây ảnh hưởng đến phòng xung quanh và khu dân cư.</w:t>
      </w:r>
    </w:p>
    <w:p>
      <w:pPr>
        <w:spacing w:before="0" w:after="40" w:line="276" w:lineRule="auto"/>
        <w:ind w:firstLine="425"/>
        <w:jc w:val="left"/>
      </w:pPr>
      <w:r>
        <w:rPr>
          <w:rFonts w:ascii="Times New Roman" w:hAnsi="Times New Roman" w:eastAsia="Times New Roman"/>
          <w:b w:val="0"/>
          <w:i w:val="0"/>
          <w:sz w:val="26"/>
        </w:rPr>
        <w:t>7.5. Nghiêm cấm chứa chấp, sử dụng hàng cấm, tổ chức cờ bạc, gây rối, hoặc thực hiện hoạt động trái pháp luật tại phòng và khu vực chung.</w:t>
      </w:r>
    </w:p>
    <w:p>
      <w:pPr>
        <w:spacing w:before="140" w:after="80" w:line="276" w:lineRule="auto"/>
        <w:ind w:firstLine="0"/>
        <w:jc w:val="left"/>
        <w:keepNext/>
      </w:pPr>
      <w:r>
        <w:rPr>
          <w:rFonts w:ascii="Times New Roman" w:hAnsi="Times New Roman" w:eastAsia="Times New Roman"/>
          <w:b/>
          <w:i w:val="0"/>
          <w:sz w:val="26"/>
        </w:rPr>
        <w:t>ĐIỀU 8. SỬA CHỮA, HƯ HỎNG VÀ KIỂM TRA</w:t>
      </w:r>
    </w:p>
    <w:p>
      <w:pPr>
        <w:spacing w:before="0" w:after="40" w:line="276" w:lineRule="auto"/>
        <w:ind w:firstLine="425"/>
        <w:jc w:val="left"/>
      </w:pPr>
      <w:r>
        <w:rPr>
          <w:rFonts w:ascii="Times New Roman" w:hAnsi="Times New Roman" w:eastAsia="Times New Roman"/>
          <w:b w:val="0"/>
          <w:i w:val="0"/>
          <w:sz w:val="26"/>
        </w:rPr>
        <w:t>8.1. Bên B không tự ý cải tạo hệ thống điện, nước, khoan cắt kết cấu hoặc lắp thiết bị công suất lớn làm tăng nguy cơ mất an toàn nếu chưa được Bên A đồng ý.</w:t>
      </w:r>
    </w:p>
    <w:p>
      <w:pPr>
        <w:spacing w:before="0" w:after="40" w:line="276" w:lineRule="auto"/>
        <w:ind w:firstLine="425"/>
        <w:jc w:val="left"/>
      </w:pPr>
      <w:r>
        <w:rPr>
          <w:rFonts w:ascii="Times New Roman" w:hAnsi="Times New Roman" w:eastAsia="Times New Roman"/>
          <w:b w:val="0"/>
          <w:i w:val="0"/>
          <w:sz w:val="26"/>
        </w:rPr>
        <w:t>8.2. Hư hỏng do hao mòn tự nhiên hoặc lỗi hệ thống thuộc trách nhiệm Bên A được xử lý theo phạm vi nghĩa vụ của Bên A. Hư hỏng do lỗi của Bên B, người cùng ở hoặc khách do Bên B quản lý do Bên B chịu chi phí khắc phục.</w:t>
      </w:r>
    </w:p>
    <w:p>
      <w:pPr>
        <w:spacing w:before="0" w:after="40" w:line="276" w:lineRule="auto"/>
        <w:ind w:firstLine="425"/>
        <w:jc w:val="left"/>
      </w:pPr>
      <w:r>
        <w:rPr>
          <w:rFonts w:ascii="Times New Roman" w:hAnsi="Times New Roman" w:eastAsia="Times New Roman"/>
          <w:b w:val="0"/>
          <w:i w:val="0"/>
          <w:sz w:val="26"/>
        </w:rPr>
        <w:t>8.3. Khi kiểm tra, Bên A phải tôn trọng quyền riêng tư và chỉ kiểm tra trong phạm vi cần thiết; trường hợp khẩn cấp được quyền tiếp cận để xử lý nguy cơ tức thời.</w:t>
      </w:r>
    </w:p>
    <w:p>
      <w:pPr>
        <w:spacing w:before="140" w:after="80" w:line="276" w:lineRule="auto"/>
        <w:ind w:firstLine="0"/>
        <w:jc w:val="left"/>
        <w:keepNext/>
      </w:pPr>
      <w:r>
        <w:rPr>
          <w:rFonts w:ascii="Times New Roman" w:hAnsi="Times New Roman" w:eastAsia="Times New Roman"/>
          <w:b/>
          <w:i w:val="0"/>
          <w:sz w:val="26"/>
        </w:rPr>
        <w:t>ĐIỀU 9. XỬ LÝ VI PHẠM VÀ CHẤM DỨT</w:t>
      </w:r>
    </w:p>
    <w:p>
      <w:pPr>
        <w:spacing w:before="0" w:after="40" w:line="276" w:lineRule="auto"/>
        <w:ind w:firstLine="425"/>
        <w:jc w:val="left"/>
      </w:pPr>
      <w:r>
        <w:rPr>
          <w:rFonts w:ascii="Times New Roman" w:hAnsi="Times New Roman" w:eastAsia="Times New Roman"/>
          <w:b w:val="0"/>
          <w:i w:val="0"/>
          <w:sz w:val="26"/>
        </w:rPr>
        <w:t>9.1. Vi phạm về PCCC, an ninh trật tự, số người ở, thanh toán hoặc gây thiệt hại phải được khắc phục ngay hoặc trong thời hạn hợp lý tùy tính chất vi phạm.</w:t>
      </w:r>
    </w:p>
    <w:p>
      <w:pPr>
        <w:spacing w:before="0" w:after="40" w:line="276" w:lineRule="auto"/>
        <w:ind w:firstLine="425"/>
        <w:jc w:val="left"/>
      </w:pPr>
      <w:r>
        <w:rPr>
          <w:rFonts w:ascii="Times New Roman" w:hAnsi="Times New Roman" w:eastAsia="Times New Roman"/>
          <w:b w:val="0"/>
          <w:i w:val="0"/>
          <w:sz w:val="26"/>
        </w:rPr>
        <w:t>9.2. Vi phạm nghiêm trọng, tái diễn hoặc thuộc trường hợp pháp luật cho phép có thể là căn cứ chấm dứt Hợp đồng sau khi thực hiện nghĩa vụ thông báo áp dụng cho trường hợp đó.</w:t>
      </w:r>
    </w:p>
    <w:p>
      <w:pPr>
        <w:spacing w:before="0" w:after="40" w:line="276" w:lineRule="auto"/>
        <w:ind w:firstLine="425"/>
        <w:jc w:val="left"/>
      </w:pPr>
      <w:r>
        <w:rPr>
          <w:rFonts w:ascii="Times New Roman" w:hAnsi="Times New Roman" w:eastAsia="Times New Roman"/>
          <w:b w:val="0"/>
          <w:i w:val="0"/>
          <w:sz w:val="26"/>
        </w:rPr>
        <w:t xml:space="preserve">9.3. Khi trả phòng, Bên B bàn giao phòng, chìa khóa/thẻ và tài sản; hai bên chốt công nợ và xử lý tiền cọc theo </w:t>
      </w:r>
      <w:r>
        <w:rPr>
          <w:rFonts w:ascii="Times New Roman" w:hAnsi="Times New Roman" w:eastAsia="Times New Roman"/>
          <w:b w:val="0"/>
          <w:i w:val="0"/>
          <w:sz w:val="26"/>
        </w:rPr>
        <w:t>{{deposit.description}}</w:t>
      </w:r>
      <w:r>
        <w:rPr>
          <w:rFonts w:ascii="Times New Roman" w:hAnsi="Times New Roman" w:eastAsia="Times New Roman"/>
          <w:b w:val="0"/>
          <w:i w:val="0"/>
          <w:sz w:val="26"/>
        </w:rPr>
        <w:t>. Chỉ được khấu trừ các khoản có căn cứ và thuộc trách nhiệm của Bên B.</w:t>
      </w:r>
    </w:p>
    <w:p>
      <w:pPr>
        <w:spacing w:before="140" w:after="80" w:line="276" w:lineRule="auto"/>
        <w:ind w:firstLine="0"/>
        <w:jc w:val="left"/>
        <w:keepNext/>
      </w:pPr>
      <w:r>
        <w:rPr>
          <w:rFonts w:ascii="Times New Roman" w:hAnsi="Times New Roman" w:eastAsia="Times New Roman"/>
          <w:b/>
          <w:i w:val="0"/>
          <w:sz w:val="26"/>
        </w:rPr>
        <w:t>ĐIỀU 10. ĐIỀU KHOẢN CHUNG VÀ CHỮ KÝ</w:t>
      </w:r>
    </w:p>
    <w:p>
      <w:pPr>
        <w:spacing w:before="0" w:after="40" w:line="276" w:lineRule="auto"/>
        <w:ind w:firstLine="425"/>
        <w:jc w:val="left"/>
      </w:pPr>
      <w:r>
        <w:rPr>
          <w:rFonts w:ascii="Times New Roman" w:hAnsi="Times New Roman" w:eastAsia="Times New Roman"/>
          <w:b w:val="0"/>
          <w:i w:val="0"/>
          <w:sz w:val="26"/>
        </w:rPr>
        <w:t>10.1. Hợp đồng và các bảng động do HomeSpace sinh ra là một chỉnh thể. Trường hợp nội quy cơ sở trái quy định pháp luật hoặc trái thỏa thuận có hiệu lực cao hơn thì áp dụng quy định pháp luật và nội dung thỏa thuận hợp pháp.</w:t>
      </w:r>
    </w:p>
    <w:p>
      <w:pPr>
        <w:spacing w:before="0" w:after="40" w:line="276" w:lineRule="auto"/>
        <w:ind w:firstLine="425"/>
        <w:jc w:val="left"/>
      </w:pPr>
      <w:r>
        <w:rPr>
          <w:rFonts w:ascii="Times New Roman" w:hAnsi="Times New Roman" w:eastAsia="Times New Roman"/>
          <w:b w:val="0"/>
          <w:i w:val="0"/>
          <w:sz w:val="26"/>
        </w:rPr>
        <w:t>10.2. Mọi sửa đổi, gia hạn hoặc chấm dứt theo thỏa thuận phải được ghi nhận bằng văn bản hoặc phương tiện điện tử có thể lưu trữ, truy xuất.</w:t>
      </w:r>
    </w:p>
    <w:p>
      <w:pPr>
        <w:spacing w:before="0" w:after="40" w:line="276" w:lineRule="auto"/>
        <w:ind w:firstLine="425"/>
        <w:jc w:val="left"/>
      </w:pPr>
      <w:r>
        <w:rPr>
          <w:rFonts w:ascii="Times New Roman" w:hAnsi="Times New Roman" w:eastAsia="Times New Roman"/>
          <w:b w:val="0"/>
          <w:i w:val="0"/>
          <w:sz w:val="26"/>
        </w:rPr>
        <w:t>10.3. Tranh chấp được ưu tiên thương lượng; nếu không thành, các bên có quyền yêu cầu cơ quan có thẩm quyền giải quyết theo pháp luật Việt Nam.</w:t>
      </w:r>
    </w:p>
    <w:p>
      <w:pPr>
        <w:spacing w:before="200" w:after="100" w:line="276" w:lineRule="auto"/>
        <w:ind w:firstLine="0"/>
        <w:jc w:val="center"/>
      </w:pPr>
      <w:r>
        <w:rPr>
          <w:rFonts w:ascii="Times New Roman" w:hAnsi="Times New Roman" w:eastAsia="Times New Roman"/>
          <w:b/>
          <w:i w:val="0"/>
          <w:sz w:val="26"/>
        </w:rPr>
        <w:t>ĐẠI DIỆN CÁC BÊN KÝ/XÁC NHẬN</w:t>
      </w:r>
    </w:p>
    <w:tbl>
      <w:tblPr>
        <w:tblW w:type="auto" w:w="0"/>
        <w:jc w:val="center"/>
        <w:tblLook w:firstColumn="1" w:firstRow="1" w:lastColumn="0" w:lastRow="0" w:noHBand="0" w:noVBand="1" w:val="04A0"/>
      </w:tblPr>
      <w:tblGrid>
        <w:gridCol w:w="4649"/>
        <w:gridCol w:w="4649"/>
      </w:tblGrid>
      <w:tr>
        <w:tc>
          <w:tcPr>
            <w:tcW w:type="dxa" w:w="4649"/>
            <w:vAlign w:val="top"/>
          </w:tcPr>
          <w:p>
            <w:pPr>
              <w:jc w:val="center"/>
            </w:pPr>
            <w:r>
              <w:rPr>
                <w:rFonts w:ascii="Times New Roman" w:hAnsi="Times New Roman" w:eastAsia="Times New Roman"/>
                <w:b/>
                <w:sz w:val="26"/>
              </w:rPr>
              <w:t>BÊN CHO THUÊ (BÊN A)</w:t>
            </w:r>
          </w:p>
          <w:p>
            <w:pPr>
              <w:jc w:val="center"/>
            </w:pPr>
            <w:r>
              <w:rPr>
                <w:rFonts w:ascii="Times New Roman" w:hAnsi="Times New Roman" w:eastAsia="Times New Roman"/>
                <w:i/>
                <w:sz w:val="22"/>
              </w:rPr>
              <w:t>(Ký, ghi rõ họ tên hoặc ký điện tử)</w:t>
            </w:r>
          </w:p>
          <w:p/>
          <w:p/>
          <w:p/>
          <w:p/>
        </w:tc>
        <w:tc>
          <w:tcPr>
            <w:tcW w:type="dxa" w:w="4649"/>
            <w:vAlign w:val="top"/>
          </w:tcPr>
          <w:p>
            <w:pPr>
              <w:jc w:val="center"/>
            </w:pPr>
            <w:r>
              <w:rPr>
                <w:rFonts w:ascii="Times New Roman" w:hAnsi="Times New Roman" w:eastAsia="Times New Roman"/>
                <w:b/>
                <w:sz w:val="26"/>
              </w:rPr>
              <w:t>BÊN THUÊ (BÊN B)</w:t>
            </w:r>
          </w:p>
          <w:p>
            <w:pPr>
              <w:jc w:val="center"/>
            </w:pPr>
            <w:r>
              <w:rPr>
                <w:rFonts w:ascii="Times New Roman" w:hAnsi="Times New Roman" w:eastAsia="Times New Roman"/>
                <w:i/>
                <w:sz w:val="22"/>
              </w:rPr>
              <w:t>(Ký, ghi rõ họ tên hoặc ký điện tử)</w:t>
            </w:r>
          </w:p>
          <w:p/>
          <w:p/>
          <w:p/>
          <w:p/>
        </w:tc>
      </w:tr>
    </w:tbl>
    <w:sectPr w:rsidR="00FC693F" w:rsidRPr="0006063C" w:rsidSect="00034616">
      <w:footerReference w:type="default" r:id="rId9"/>
      <w:pgSz w:w="11906" w:h="16838"/>
      <w:pgMar w:top="1134" w:right="1134" w:bottom="1134"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8"/>
      </w:rPr>
      <w:t>HomeSpace | Mẫu hợp đồng điện tử | Phòng trọ / căn hộ dịch vụ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