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pacing w:val="-9"/>
        </w:rPr>
        <w:t>CỘNG HÒA XÃ HỘI CHỦ NGHĨA VIỆT NAM</w:t>
      </w:r>
    </w:p>
    <w:p>
      <w:pPr>
        <w:spacing w:after="220"/>
        <w:jc w:val="center"/>
      </w:pPr>
      <w:r>
        <w:rPr>
          <w:b/>
          <w:spacing w:val="-9"/>
        </w:rPr>
        <w:t>Độc lập - Tự do - Hạnh phúc</w:t>
      </w:r>
    </w:p>
    <w:p>
      <w:pPr>
        <w:pStyle w:val="ContractTitle"/>
      </w:pPr>
      <w:r>
        <w:rPr>
          <w:b w:val="0"/>
        </w:rPr>
        <w:t>HỢP ĐỒNG THUÊ PHÒNG TRỌ</w:t>
      </w:r>
    </w:p>
    <w:p>
      <w:pPr>
        <w:spacing w:after="260"/>
        <w:jc w:val="center"/>
      </w:pPr>
      <w:r>
        <w:rPr>
          <w:b w:val="0"/>
          <w:sz w:val="23"/>
          <w:spacing w:val="-9"/>
        </w:rPr>
        <w:t xml:space="preserve">Số: </w:t>
      </w:r>
      <w:r>
        <w:rPr>
          <w:b w:val="0"/>
          <w:sz w:val="23"/>
          <w:spacing w:val="-9"/>
        </w:rPr>
        <w:t>{{contract.number}}</w:t>
      </w:r>
      <w:r>
        <w:rPr>
          <w:b w:val="0"/>
          <w:sz w:val="23"/>
          <w:spacing w:val="-9"/>
        </w:rPr>
        <w:t xml:space="preserve"> - Ngày ký: </w:t>
      </w:r>
      <w:r>
        <w:rPr>
          <w:b w:val="0"/>
          <w:sz w:val="23"/>
          <w:spacing w:val="-9"/>
        </w:rPr>
        <w:t>{{contract.signingDate}}</w:t>
      </w:r>
      <w:r>
        <w:rPr>
          <w:b w:val="0"/>
          <w:sz w:val="23"/>
          <w:spacing w:val="-9"/>
        </w:rPr>
        <w:t xml:space="preserve"> tại </w:t>
      </w:r>
      <w:r>
        <w:rPr>
          <w:b w:val="0"/>
          <w:sz w:val="23"/>
          <w:spacing w:val="-9"/>
        </w:rPr>
        <w:t>{{contract.signingCity}}</w:t>
      </w:r>
      <w:r>
        <w:rPr>
          <w:b w:val="0"/>
          <w:sz w:val="23"/>
          <w:spacing w:val="-9"/>
        </w:rPr>
        <w:t>.</w:t>
      </w:r>
    </w:p>
    <w:p>
      <w:pPr>
        <w:pStyle w:val="ContractLegalHeading"/>
      </w:pPr>
      <w:r>
        <w:rPr>
          <w:b w:val="0"/>
        </w:rPr>
        <w:t>CĂN CỨ PHÁP LÝ</w:t>
      </w:r>
    </w:p>
    <w:p>
      <w:pPr>
        <w:spacing w:after="40"/>
        <w:ind w:left="272" w:hanging="215"/>
      </w:pPr>
      <w:r>
        <w:rPr>
          <w:b w:val="0"/>
          <w:spacing w:val="-9"/>
        </w:rPr>
        <w:t>• Bộ luật Dân sự số 91/2015/QH13;</w:t>
      </w:r>
    </w:p>
    <w:p>
      <w:pPr>
        <w:spacing w:after="40"/>
        <w:ind w:left="272" w:hanging="215"/>
      </w:pPr>
      <w:r>
        <w:rPr>
          <w:b w:val="0"/>
          <w:spacing w:val="-9"/>
        </w:rPr>
        <w:t>• Luật Nhà ở số 27/2023/QH15 và quy định về quản lý nhà ở nhiều phòng cho thuê;</w:t>
      </w:r>
    </w:p>
    <w:p>
      <w:pPr>
        <w:spacing w:after="40"/>
        <w:ind w:left="272" w:hanging="215"/>
      </w:pPr>
      <w:r>
        <w:rPr>
          <w:b w:val="0"/>
          <w:spacing w:val="-9"/>
        </w:rPr>
        <w:t>• Luật Giao dịch điện tử số 20/2023/QH15;</w:t>
      </w:r>
    </w:p>
    <w:p>
      <w:pPr>
        <w:spacing w:after="40"/>
        <w:ind w:left="272" w:hanging="215"/>
      </w:pPr>
      <w:r>
        <w:rPr>
          <w:b w:val="0"/>
          <w:spacing w:val="-9"/>
        </w:rPr>
        <w:t>• Luật Cư trú số 68/2020/QH14;</w:t>
      </w:r>
    </w:p>
    <w:p>
      <w:pPr>
        <w:spacing w:after="40"/>
        <w:ind w:left="272" w:hanging="215"/>
      </w:pPr>
      <w:r>
        <w:rPr>
          <w:b w:val="0"/>
          <w:spacing w:val="-9"/>
        </w:rPr>
        <w:t>• Luật Phòng cháy, chữa cháy và cứu nạn, cứu hộ số 55/2024/QH15 (quy định về nhà trọ và lối thoát nạn khẩn cấp);</w:t>
      </w:r>
    </w:p>
    <w:p>
      <w:pPr>
        <w:spacing w:after="40"/>
        <w:ind w:left="272" w:hanging="215"/>
      </w:pPr>
      <w:r>
        <w:rPr>
          <w:b w:val="0"/>
          <w:spacing w:val="-9"/>
        </w:rPr>
        <w:t>• Luật Kinh doanh bất động sản số 29/2023/QH15 (trong phạm vi áp dụng).</w:t>
      </w:r>
    </w:p>
    <w:p>
      <w:pPr>
        <w:pStyle w:val="ContractLegalHeading"/>
      </w:pPr>
      <w:r>
        <w:rPr>
          <w:b w:val="0"/>
        </w:rPr>
        <w:t>THÔNG TIN CÁC BÊN</w:t>
      </w:r>
    </w:p>
    <w:p>
      <w:pPr/>
      <w:r>
        <w:rPr>
          <w:b/>
          <w:spacing w:val="-9"/>
        </w:rPr>
        <w:t xml:space="preserve">BÊN CHO THUÊ (BÊN A): </w:t>
      </w:r>
      <w:r>
        <w:rPr>
          <w:b w:val="0"/>
          <w:spacing w:val="-9"/>
        </w:rPr>
        <w:t>{{landlord.fullName}}</w:t>
      </w:r>
    </w:p>
    <w:p>
      <w:pPr/>
      <w:r>
        <w:rPr>
          <w:b w:val="0"/>
          <w:spacing w:val="-9"/>
        </w:rPr>
        <w:t xml:space="preserve">CCCD/Hộ chiếu: </w:t>
      </w:r>
      <w:r>
        <w:rPr>
          <w:b w:val="0"/>
          <w:spacing w:val="-9"/>
        </w:rPr>
        <w:t>{{landlord.idNumber}}</w:t>
      </w:r>
      <w:r>
        <w:rPr>
          <w:b w:val="0"/>
          <w:spacing w:val="-9"/>
        </w:rPr>
        <w:t xml:space="preserve">; Thường trú: </w:t>
      </w:r>
      <w:r>
        <w:rPr>
          <w:b w:val="0"/>
          <w:spacing w:val="-9"/>
        </w:rPr>
        <w:t>{{landlord.permanentAddress}}</w:t>
      </w:r>
      <w:r>
        <w:rPr>
          <w:b w:val="0"/>
          <w:spacing w:val="-9"/>
        </w:rPr>
        <w:t>.</w:t>
      </w:r>
    </w:p>
    <w:p>
      <w:pPr/>
      <w:r>
        <w:rPr>
          <w:b w:val="0"/>
          <w:spacing w:val="-9"/>
        </w:rPr>
        <w:t xml:space="preserve">Điện thoại: </w:t>
      </w:r>
      <w:r>
        <w:rPr>
          <w:b w:val="0"/>
          <w:spacing w:val="-9"/>
        </w:rPr>
        <w:t>{{landlord.phone}}</w:t>
      </w:r>
      <w:r>
        <w:rPr>
          <w:b w:val="0"/>
          <w:spacing w:val="-9"/>
        </w:rPr>
        <w:t xml:space="preserve">; Email: </w:t>
      </w:r>
      <w:r>
        <w:rPr>
          <w:b w:val="0"/>
          <w:spacing w:val="-9"/>
        </w:rPr>
        <w:t>{{landlord.email}}</w:t>
      </w:r>
      <w:r>
        <w:rPr>
          <w:b w:val="0"/>
          <w:spacing w:val="-9"/>
        </w:rPr>
        <w:t>.</w:t>
      </w:r>
    </w:p>
    <w:p>
      <w:pPr/>
      <w:r>
        <w:rPr>
          <w:b w:val="0"/>
          <w:spacing w:val="-9"/>
        </w:rPr>
        <w:t xml:space="preserve">Tài khoản nhận thanh toán: Chủ tài khoản: </w:t>
      </w:r>
      <w:r>
        <w:rPr>
          <w:b w:val="0"/>
          <w:spacing w:val="-9"/>
        </w:rPr>
        <w:t>{{landlord.bankAccountHolder}}</w:t>
      </w:r>
      <w:r>
        <w:rPr>
          <w:b w:val="0"/>
          <w:spacing w:val="-9"/>
        </w:rPr>
        <w:t xml:space="preserve"> - Số tài khoản: </w:t>
      </w:r>
      <w:r>
        <w:rPr>
          <w:b w:val="0"/>
          <w:spacing w:val="-9"/>
        </w:rPr>
        <w:t>{{landlord.bankAccountNumber}}</w:t>
      </w:r>
      <w:r>
        <w:rPr>
          <w:b w:val="0"/>
          <w:spacing w:val="-9"/>
        </w:rPr>
        <w:t xml:space="preserve"> - Ngân hàng: </w:t>
      </w:r>
      <w:r>
        <w:rPr>
          <w:b w:val="0"/>
          <w:spacing w:val="-9"/>
        </w:rPr>
        <w:t>{{landlord.bankName}}</w:t>
      </w:r>
      <w:r>
        <w:rPr>
          <w:b w:val="0"/>
          <w:spacing w:val="-9"/>
        </w:rPr>
        <w:t>.</w:t>
      </w:r>
    </w:p>
    <w:p>
      <w:pPr/>
      <w:r>
        <w:rPr>
          <w:b/>
          <w:spacing w:val="-9"/>
        </w:rPr>
        <w:t xml:space="preserve">BÊN THUÊ (BÊN B): </w:t>
      </w:r>
      <w:r>
        <w:rPr>
          <w:b w:val="0"/>
          <w:spacing w:val="-9"/>
        </w:rPr>
        <w:t>{{tenant.fullName}}</w:t>
      </w:r>
    </w:p>
    <w:p>
      <w:pPr/>
      <w:r>
        <w:rPr>
          <w:b w:val="0"/>
          <w:spacing w:val="-9"/>
        </w:rPr>
        <w:t xml:space="preserve">CCCD/Hộ chiếu: </w:t>
      </w:r>
      <w:r>
        <w:rPr>
          <w:b w:val="0"/>
          <w:spacing w:val="-9"/>
        </w:rPr>
        <w:t>{{tenant.idNumber}}</w:t>
      </w:r>
      <w:r>
        <w:rPr>
          <w:b w:val="0"/>
          <w:spacing w:val="-9"/>
        </w:rPr>
        <w:t xml:space="preserve">; Thường trú: </w:t>
      </w:r>
      <w:r>
        <w:rPr>
          <w:b w:val="0"/>
          <w:spacing w:val="-9"/>
        </w:rPr>
        <w:t>{{tenant.permanentAddress}}</w:t>
      </w:r>
      <w:r>
        <w:rPr>
          <w:b w:val="0"/>
          <w:spacing w:val="-9"/>
        </w:rPr>
        <w:t>.</w:t>
      </w:r>
    </w:p>
    <w:p>
      <w:pPr/>
      <w:r>
        <w:rPr>
          <w:b w:val="0"/>
          <w:spacing w:val="-9"/>
        </w:rPr>
        <w:t xml:space="preserve">Điện thoại: </w:t>
      </w:r>
      <w:r>
        <w:rPr>
          <w:b w:val="0"/>
          <w:spacing w:val="-9"/>
        </w:rPr>
        <w:t>{{tenant.phone}}</w:t>
      </w:r>
      <w:r>
        <w:rPr>
          <w:b w:val="0"/>
          <w:spacing w:val="-9"/>
        </w:rPr>
        <w:t xml:space="preserve">; Email: </w:t>
      </w:r>
      <w:r>
        <w:rPr>
          <w:b w:val="0"/>
          <w:spacing w:val="-9"/>
        </w:rPr>
        <w:t>{{tenant.email}}</w:t>
      </w:r>
      <w:r>
        <w:rPr>
          <w:b w:val="0"/>
          <w:spacing w:val="-9"/>
        </w:rPr>
        <w:t>.</w:t>
      </w:r>
    </w:p>
    <w:p>
      <w:pPr/>
      <w:r>
        <w:rPr>
          <w:b w:val="0"/>
          <w:spacing w:val="-9"/>
        </w:rPr>
        <w:t xml:space="preserve">Số người cư trú: </w:t>
      </w:r>
      <w:r>
        <w:rPr>
          <w:b w:val="0"/>
          <w:spacing w:val="-9"/>
        </w:rPr>
        <w:t>{{tenant.occupantCount}}</w:t>
      </w:r>
      <w:r>
        <w:rPr>
          <w:b w:val="0"/>
          <w:spacing w:val="-9"/>
        </w:rPr>
        <w:t xml:space="preserve">; Xe máy đăng ký: </w:t>
      </w:r>
      <w:r>
        <w:rPr>
          <w:b w:val="0"/>
          <w:spacing w:val="-9"/>
        </w:rPr>
        <w:t>{{tenant.motorbikeCount}}</w:t>
      </w:r>
      <w:r>
        <w:rPr>
          <w:b w:val="0"/>
          <w:spacing w:val="-9"/>
        </w:rPr>
        <w:t xml:space="preserve">; Ô tô: </w:t>
      </w:r>
      <w:r>
        <w:rPr>
          <w:b w:val="0"/>
          <w:spacing w:val="-9"/>
        </w:rPr>
        <w:t>{{tenant.carCount}}</w:t>
      </w:r>
      <w:r>
        <w:rPr>
          <w:b w:val="0"/>
          <w:spacing w:val="-9"/>
        </w:rPr>
        <w:t>.</w:t>
      </w:r>
    </w:p>
    <w:p>
      <w:pPr/>
      <w:r>
        <w:rPr>
          <w:b w:val="0"/>
          <w:spacing w:val="-9"/>
        </w:rPr>
        <w:t xml:space="preserve">Tài khoản nhận hoàn trả: Chủ tài khoản: </w:t>
      </w:r>
      <w:r>
        <w:rPr>
          <w:b w:val="0"/>
          <w:spacing w:val="-9"/>
        </w:rPr>
        <w:t>{{tenant.bankAccountHolder}}</w:t>
      </w:r>
      <w:r>
        <w:rPr>
          <w:b w:val="0"/>
          <w:spacing w:val="-9"/>
        </w:rPr>
        <w:t xml:space="preserve"> - Số tài khoản: </w:t>
      </w:r>
      <w:r>
        <w:rPr>
          <w:b w:val="0"/>
          <w:spacing w:val="-9"/>
        </w:rPr>
        <w:t>{{tenant.bankAccountNumber}}</w:t>
      </w:r>
      <w:r>
        <w:rPr>
          <w:b w:val="0"/>
          <w:spacing w:val="-9"/>
        </w:rPr>
        <w:t xml:space="preserve"> - Ngân hàng: </w:t>
      </w:r>
      <w:r>
        <w:rPr>
          <w:b w:val="0"/>
          <w:spacing w:val="-9"/>
        </w:rPr>
        <w:t>{{tenant.bankName}}</w:t>
      </w:r>
      <w:r>
        <w:rPr>
          <w:b w:val="0"/>
          <w:spacing w:val="-9"/>
        </w:rPr>
        <w:t>.</w:t>
      </w:r>
    </w:p>
    <w:p>
      <w:pPr>
        <w:pStyle w:val="ContractHeading"/>
      </w:pPr>
      <w:r>
        <w:rPr>
          <w:b w:val="0"/>
        </w:rPr>
        <w:t>ĐIỀU 1. ĐỐI TƯỢNG VÀ ĐẶC ĐIỂM PHÒNG TRỌ</w:t>
      </w:r>
    </w:p>
    <w:p>
      <w:pPr/>
      <w:r>
        <w:rPr>
          <w:b w:val="0"/>
          <w:spacing w:val="-9"/>
        </w:rPr>
        <w:t xml:space="preserve">1.1. Bên A cho Bên B thuê phòng số: </w:t>
      </w:r>
      <w:r>
        <w:rPr>
          <w:b w:val="0"/>
          <w:spacing w:val="-9"/>
        </w:rPr>
        <w:t>{{property.unitNumber}}</w:t>
      </w:r>
      <w:r>
        <w:rPr>
          <w:b w:val="0"/>
          <w:spacing w:val="-9"/>
        </w:rPr>
        <w:t xml:space="preserve">, tại tầng </w:t>
      </w:r>
      <w:r>
        <w:rPr>
          <w:b w:val="0"/>
          <w:spacing w:val="-9"/>
        </w:rPr>
        <w:t>{{property.floor}}</w:t>
      </w:r>
      <w:r>
        <w:rPr>
          <w:b w:val="0"/>
          <w:spacing w:val="-9"/>
        </w:rPr>
        <w:t xml:space="preserve">, thuộc địa chỉ: </w:t>
      </w:r>
      <w:r>
        <w:rPr>
          <w:b w:val="0"/>
          <w:spacing w:val="-9"/>
        </w:rPr>
        <w:t>{{property.fullAddress}}</w:t>
      </w:r>
      <w:r>
        <w:rPr>
          <w:b w:val="0"/>
          <w:spacing w:val="-9"/>
        </w:rPr>
        <w:t>.</w:t>
      </w:r>
    </w:p>
    <w:p>
      <w:pPr/>
      <w:r>
        <w:rPr>
          <w:b w:val="0"/>
          <w:spacing w:val="-9"/>
        </w:rPr>
        <w:t xml:space="preserve">1.2. Diện tích phòng: </w:t>
      </w:r>
      <w:r>
        <w:rPr>
          <w:b w:val="0"/>
          <w:spacing w:val="-9"/>
        </w:rPr>
        <w:t>{{property.areaText}}</w:t>
      </w:r>
      <w:r>
        <w:rPr>
          <w:b w:val="0"/>
          <w:spacing w:val="-9"/>
        </w:rPr>
        <w:t xml:space="preserve">; Phạm vi thuê: </w:t>
      </w:r>
      <w:r>
        <w:rPr>
          <w:b w:val="0"/>
          <w:spacing w:val="-9"/>
        </w:rPr>
        <w:t>{{property.rentalScope}}</w:t>
      </w:r>
      <w:r>
        <w:rPr>
          <w:b w:val="0"/>
          <w:spacing w:val="-9"/>
        </w:rPr>
        <w:t xml:space="preserve">; Mã tin đăng: </w:t>
      </w:r>
      <w:r>
        <w:rPr>
          <w:b w:val="0"/>
          <w:spacing w:val="-9"/>
        </w:rPr>
        <w:t>{{property.listingCode}}</w:t>
      </w:r>
      <w:r>
        <w:rPr>
          <w:b w:val="0"/>
          <w:spacing w:val="-9"/>
        </w:rPr>
        <w:t>.</w:t>
      </w:r>
      <w:r>
        <w:rPr>
          <w:spacing w:val="-9"/>
        </w:rPr>
        <w:t xml:space="preserve"> Loại hình bất động sản: </w:t>
      </w:r>
      <w:r>
        <w:rPr>
          <w:spacing w:val="-9"/>
        </w:rPr>
        <w:t>{{property.propertyType}}</w:t>
      </w:r>
      <w:r>
        <w:rPr>
          <w:spacing w:val="-9"/>
        </w:rPr>
        <w:t>.</w:t>
      </w:r>
    </w:p>
    <w:p>
      <w:pPr/>
      <w:r>
        <w:rPr>
          <w:b w:val="0"/>
          <w:spacing w:val="-9"/>
        </w:rPr>
        <w:t>1.3. Bảng đặc điểm kỹ thuật và tiện nghi phòng:</w:t>
      </w:r>
    </w:p>
    <w:p>
      <w:pPr>
        <w:pStyle w:val="ContractMarker"/>
        <w:spacing w:after="80"/>
        <w:jc w:val="left"/>
      </w:pPr>
      <w:r>
        <w:rPr>
          <w:b w:val="0"/>
          <w:spacing w:val="-9"/>
        </w:rPr>
        <w:t>{{#propertyFeaturesTable}}</w:t>
      </w:r>
    </w:p>
    <w:p>
      <w:pPr/>
      <w:r>
        <w:rPr>
          <w:b w:val="0"/>
          <w:spacing w:val="-9"/>
        </w:rPr>
        <w:t>1.4. Mục đích sử dụng: Để ở và sinh hoạt cá nhân, tuyệt đối không sử dụng làm kho chứa hàng nguy hiểm hoặc địa điểm hoạt động trái pháp luật.</w:t>
      </w:r>
    </w:p>
    <w:p>
      <w:pPr>
        <w:pStyle w:val="ContractHeading"/>
      </w:pPr>
      <w:r>
        <w:rPr>
          <w:b w:val="0"/>
        </w:rPr>
        <w:t>ĐIỀU 2. THỜI HẠN THUÊ VÀ NHẬN PHÒNG</w:t>
      </w:r>
    </w:p>
    <w:p>
      <w:pPr/>
      <w:r>
        <w:rPr>
          <w:b w:val="0"/>
          <w:spacing w:val="-9"/>
        </w:rPr>
        <w:t xml:space="preserve">2.1. Thời hạn thuê: </w:t>
      </w:r>
      <w:r>
        <w:rPr>
          <w:b w:val="0"/>
          <w:spacing w:val="-9"/>
        </w:rPr>
        <w:t>{{lease.durationText}}</w:t>
      </w:r>
      <w:r>
        <w:rPr>
          <w:b w:val="0"/>
          <w:spacing w:val="-9"/>
        </w:rPr>
        <w:t xml:space="preserve"> (</w:t>
      </w:r>
      <w:r>
        <w:rPr>
          <w:b w:val="0"/>
          <w:spacing w:val="-9"/>
        </w:rPr>
        <w:t>{{lease.durationMonths}}</w:t>
      </w:r>
      <w:r>
        <w:rPr>
          <w:b w:val="0"/>
          <w:spacing w:val="-9"/>
        </w:rPr>
        <w:t xml:space="preserve"> tháng), từ ngày </w:t>
      </w:r>
      <w:r>
        <w:rPr>
          <w:b w:val="0"/>
          <w:spacing w:val="-9"/>
        </w:rPr>
        <w:t>{{lease.startDateText}}</w:t>
      </w:r>
      <w:r>
        <w:rPr>
          <w:b w:val="0"/>
          <w:spacing w:val="-9"/>
        </w:rPr>
        <w:t xml:space="preserve"> đến ngày </w:t>
      </w:r>
      <w:r>
        <w:rPr>
          <w:b w:val="0"/>
          <w:spacing w:val="-9"/>
        </w:rPr>
        <w:t>{{lease.endDateText}}</w:t>
      </w:r>
      <w:r>
        <w:rPr>
          <w:b w:val="0"/>
          <w:spacing w:val="-9"/>
        </w:rPr>
        <w:t>.</w:t>
      </w:r>
    </w:p>
    <w:p>
      <w:pPr/>
      <w:r>
        <w:rPr>
          <w:b w:val="0"/>
          <w:spacing w:val="-9"/>
        </w:rPr>
        <w:t xml:space="preserve">2.2. Ngày bàn giao nhận phòng: </w:t>
      </w:r>
      <w:r>
        <w:rPr>
          <w:b w:val="0"/>
          <w:spacing w:val="-9"/>
        </w:rPr>
        <w:t>{{lease.handoverDateText}}</w:t>
      </w:r>
      <w:r>
        <w:rPr>
          <w:b w:val="0"/>
          <w:spacing w:val="-9"/>
        </w:rPr>
        <w:t>.</w:t>
      </w:r>
    </w:p>
    <w:p>
      <w:pPr/>
      <w:r>
        <w:rPr>
          <w:b w:val="0"/>
          <w:spacing w:val="-9"/>
        </w:rPr>
        <w:t xml:space="preserve">2.3. Chỉ số công tơ điện lúc nhận phòng: </w:t>
      </w:r>
      <w:r>
        <w:rPr>
          <w:b w:val="0"/>
          <w:spacing w:val="-9"/>
        </w:rPr>
        <w:t>{{meters.electricityInitial}}</w:t>
      </w:r>
      <w:r>
        <w:rPr>
          <w:b w:val="0"/>
          <w:spacing w:val="-9"/>
        </w:rPr>
        <w:t xml:space="preserve">; chỉ số đồng hồ nước: </w:t>
      </w:r>
      <w:r>
        <w:rPr>
          <w:b w:val="0"/>
          <w:spacing w:val="-9"/>
        </w:rPr>
        <w:t>{{meters.waterInitial}}</w:t>
      </w:r>
      <w:r>
        <w:rPr>
          <w:b w:val="0"/>
          <w:spacing w:val="-9"/>
        </w:rPr>
        <w:t xml:space="preserve"> (nếu dùng đồng hồ riêng, hoặc cập nhật tại Biên bản bàn giao nhận phòng).</w:t>
      </w:r>
    </w:p>
    <w:p>
      <w:pPr>
        <w:pStyle w:val="ContractHeading"/>
      </w:pPr>
      <w:r>
        <w:rPr>
          <w:b w:val="0"/>
        </w:rPr>
        <w:t>ĐIỀU 3. TIỀN THUÊ PHÒNG, ĐẶT CỌC VÀ CHUYỂN KHOẢN TRỰC TIẾP</w:t>
      </w:r>
    </w:p>
    <w:p>
      <w:pPr/>
      <w:r>
        <w:rPr>
          <w:b w:val="0"/>
          <w:spacing w:val="-9"/>
        </w:rPr>
        <w:t xml:space="preserve">3.1. Tiền thuê phòng: </w:t>
      </w:r>
      <w:r>
        <w:rPr>
          <w:b w:val="0"/>
          <w:spacing w:val="-9"/>
        </w:rPr>
        <w:t>{{rent.amountNumber}}</w:t>
      </w:r>
      <w:r>
        <w:rPr>
          <w:b w:val="0"/>
          <w:spacing w:val="-9"/>
        </w:rPr>
        <w:t xml:space="preserve"> (Bằng chữ: </w:t>
      </w:r>
      <w:r>
        <w:rPr>
          <w:b w:val="0"/>
          <w:spacing w:val="-9"/>
        </w:rPr>
        <w:t>{{rent.amountWords}}</w:t>
      </w:r>
      <w:r>
        <w:rPr>
          <w:b w:val="0"/>
          <w:spacing w:val="-9"/>
        </w:rPr>
        <w:t>).</w:t>
      </w:r>
    </w:p>
    <w:p>
      <w:pPr/>
      <w:r>
        <w:rPr>
          <w:b w:val="0"/>
          <w:spacing w:val="-9"/>
        </w:rPr>
        <w:t xml:space="preserve">3.2. Chu kỳ thanh toán: </w:t>
      </w:r>
      <w:r>
        <w:rPr>
          <w:b w:val="0"/>
          <w:spacing w:val="-9"/>
        </w:rPr>
        <w:t>{{rent.paymentCycle}}</w:t>
      </w:r>
      <w:r>
        <w:rPr>
          <w:b w:val="0"/>
          <w:spacing w:val="-9"/>
        </w:rPr>
        <w:t xml:space="preserve">; Hạn thanh toán định kỳ: </w:t>
      </w:r>
      <w:r>
        <w:rPr>
          <w:b w:val="0"/>
          <w:spacing w:val="-9"/>
        </w:rPr>
        <w:t>{{rent.paymentDueDay}}</w:t>
      </w:r>
      <w:r>
        <w:rPr>
          <w:b w:val="0"/>
          <w:spacing w:val="-9"/>
        </w:rPr>
        <w:t>.</w:t>
      </w:r>
    </w:p>
    <w:p>
      <w:pPr/>
      <w:r>
        <w:rPr>
          <w:b w:val="0"/>
          <w:spacing w:val="-9"/>
        </w:rPr>
        <w:t xml:space="preserve">3.3. Phương thức thanh toán: </w:t>
      </w:r>
      <w:r>
        <w:rPr>
          <w:b w:val="0"/>
          <w:spacing w:val="-9"/>
        </w:rPr>
        <w:t>{{rent.paymentMethod}}</w:t>
      </w:r>
      <w:r>
        <w:rPr>
          <w:b w:val="0"/>
          <w:spacing w:val="-9"/>
        </w:rPr>
        <w:t>.</w:t>
      </w:r>
    </w:p>
    <w:p>
      <w:pPr/>
      <w:r>
        <w:rPr>
          <w:b w:val="0"/>
          <w:spacing w:val="-9"/>
        </w:rPr>
        <w:t xml:space="preserve">3.4. Tiền đặt cọc: </w:t>
      </w:r>
      <w:r>
        <w:rPr>
          <w:b w:val="0"/>
          <w:spacing w:val="-9"/>
        </w:rPr>
        <w:t>{{deposit.amountNumber}}</w:t>
      </w:r>
      <w:r>
        <w:rPr>
          <w:b w:val="0"/>
          <w:spacing w:val="-9"/>
        </w:rPr>
        <w:t xml:space="preserve"> (Bằng chữ: </w:t>
      </w:r>
      <w:r>
        <w:rPr>
          <w:b w:val="0"/>
          <w:spacing w:val="-9"/>
        </w:rPr>
        <w:t>{{deposit.amountWords}}</w:t>
      </w:r>
      <w:r>
        <w:rPr>
          <w:b w:val="0"/>
          <w:spacing w:val="-9"/>
        </w:rPr>
        <w:t>).</w:t>
      </w:r>
    </w:p>
    <w:p>
      <w:pPr/>
      <w:r>
        <w:rPr>
          <w:b w:val="0"/>
          <w:spacing w:val="-9"/>
        </w:rPr>
        <w:t xml:space="preserve">3.5. Điều kiện hoàn trả/khấu trừ cọc: </w:t>
      </w:r>
      <w:r>
        <w:rPr>
          <w:b w:val="0"/>
          <w:spacing w:val="-9"/>
        </w:rPr>
        <w:t>{{deposit.description}}</w:t>
      </w:r>
      <w:r>
        <w:rPr>
          <w:b w:val="0"/>
          <w:spacing w:val="-9"/>
        </w:rPr>
        <w:t>.</w:t>
      </w:r>
    </w:p>
    <w:p>
      <w:pPr/>
      <w:r>
        <w:rPr>
          <w:b w:val="0"/>
          <w:spacing w:val="-9"/>
        </w:rPr>
        <w:t xml:space="preserve">3.6. Ngày ký hợp đồng và ngày bắt đầu kỳ thuê là hai mốc độc lập. Kỳ thuê được tính từ </w:t>
      </w:r>
      <w:r>
        <w:rPr>
          <w:b w:val="0"/>
          <w:spacing w:val="-9"/>
        </w:rPr>
        <w:t>{{lease.startDateText}}</w:t>
      </w:r>
      <w:r>
        <w:rPr>
          <w:b w:val="0"/>
          <w:spacing w:val="-9"/>
        </w:rPr>
        <w:t xml:space="preserve"> đến trước ngày tương ứng tháng kế tiếp; ngày cuối toàn thời hạn thuê ghi tại </w:t>
      </w:r>
      <w:r>
        <w:rPr>
          <w:b w:val="0"/>
          <w:spacing w:val="-9"/>
        </w:rPr>
        <w:t>{{lease.endDateText}}</w:t>
      </w:r>
      <w:r>
        <w:rPr>
          <w:b w:val="0"/>
          <w:spacing w:val="-9"/>
        </w:rPr>
        <w:t>.</w:t>
      </w:r>
    </w:p>
    <w:p>
      <w:pPr/>
      <w:r>
        <w:rPr>
          <w:b w:val="0"/>
          <w:spacing w:val="-9"/>
        </w:rPr>
        <w:t>3.7. Khoản thanh toán ban đầu gồm tiền thuê kỳ đầu và tiền đặt cọc (nếu có). Không mặc nhiên tính vào khoản này phí điện, nước và dịch vụ phát sinh chưa được xác nhận, và không thu lại tiền thuê kỳ đầu trên hóa đơn quyết toán kỳ đầu.</w:t>
      </w:r>
    </w:p>
    <w:p>
      <w:pPr/>
      <w:r>
        <w:rPr>
          <w:b w:val="0"/>
          <w:spacing w:val="-9"/>
        </w:rPr>
        <w:t>3.8. Khi kết thúc mỗi kỳ, hóa đơn quyết toán phí cố định, dịch vụ, gửi xe, điện, nước và phát sinh của kỳ vừa qua, đồng thời thu tiền thuê kỳ kế tiếp nếu còn kỳ thuê trong thời hạn hợp đồng. Kỳ cuối chỉ quyết toán chi phí, không thu tiền thuê vượt quá thời hạn. Số liệu sử dụng thực tế và đơn giá theo Bảng chi phí tại Điều 4.</w:t>
      </w:r>
    </w:p>
    <w:p>
      <w:pPr/>
      <w:r>
        <w:rPr>
          <w:b w:val="0"/>
          <w:spacing w:val="-9"/>
        </w:rPr>
        <w:t xml:space="preserve">3.9. Bên A có thể chốt chỉ số và phát hành hóa đơn ngay khi dữ liệu kỳ đã đầy đủ; Bên B được xem và thanh toán ngay khi hóa đơn phát hành. Hạn thanh toán áp dụng theo </w:t>
      </w:r>
      <w:r>
        <w:rPr>
          <w:b w:val="0"/>
          <w:spacing w:val="-9"/>
        </w:rPr>
        <w:t>{{rent.paymentDueDay}}</w:t>
      </w:r>
      <w:r>
        <w:rPr>
          <w:b w:val="0"/>
          <w:spacing w:val="-9"/>
        </w:rPr>
        <w:t xml:space="preserve"> và hạn cụ thể trên từng hóa đơn.</w:t>
      </w:r>
    </w:p>
    <w:p>
      <w:pPr/>
      <w:r>
        <w:rPr>
          <w:b w:val="0"/>
          <w:spacing w:val="-9"/>
        </w:rPr>
        <w:t>3.10. Quy định chi tiết về chuyển khoản trực tiếp và vai trò HomeSpace:</w:t>
      </w:r>
    </w:p>
    <w:p>
      <w:pPr>
        <w:spacing w:after="80"/>
        <w:ind w:left="0"/>
      </w:pPr>
      <w:r>
        <w:rPr>
          <w:b w:val="0"/>
          <w:spacing w:val="-9"/>
        </w:rPr>
        <w:t>1) Bên B thanh toán tiền thuê, tiền đặt cọc và các khoản phải trả khác bằng hình thức chuyển khoản trực tiếp vào tài khoản do Bên A chỉ định trong Hợp đồng này hoặc tài khoản thay thế được hai bên xác nhận bằng văn bản hoặc thông điệp dữ liệu.</w:t>
      </w:r>
    </w:p>
    <w:p>
      <w:pPr>
        <w:spacing w:after="80"/>
        <w:ind w:left="0"/>
      </w:pPr>
      <w:r>
        <w:rPr>
          <w:b w:val="0"/>
          <w:spacing w:val="-9"/>
        </w:rPr>
        <w:t>2) HomeSpace cung cấp công cụ tính toán khoản phải trả, tạo thông tin VietQR, lưu trữ yêu cầu thanh toán và ghi nhận trạng thái do các bên khai báo. HomeSpace không nhận tiền, không giữ tiền, không chuyển tiền thay các bên và không thay thế ngân hàng xác nhận việc ghi Có hoặc ghi Nợ trên tài khoản.</w:t>
      </w:r>
    </w:p>
    <w:p>
      <w:pPr>
        <w:spacing w:after="80"/>
        <w:ind w:left="0"/>
      </w:pPr>
      <w:r>
        <w:rPr>
          <w:b w:val="0"/>
          <w:spacing w:val="-9"/>
        </w:rPr>
        <w:t>3) Một khoản thanh toán được ghi nhận hoàn tất trên HomeSpace sau khi Bên B khai báo đã thực hiện chuyển khoản và Bên A xác nhận đã nhận đủ số tiền tương ứng. Việc ghi nhận này được lập trên cơ sở xác nhận của các bên và không phải là xác nhận giao dịch do ngân hàng phát hành.</w:t>
      </w:r>
    </w:p>
    <w:p>
      <w:pPr>
        <w:spacing w:after="80"/>
        <w:ind w:left="0"/>
      </w:pPr>
      <w:r>
        <w:rPr>
          <w:b w:val="0"/>
          <w:spacing w:val="-9"/>
        </w:rPr>
        <w:t>4) Bên B có trách nhiệm kiểm tra tên chủ tài khoản, số tài khoản, ngân hàng thụ hưởng, số tiền và nội dung chuyển khoản trước khi thực hiện. Bên A có trách nhiệm kiểm tra tài khoản nhận và xác nhận trung thực trạng thái nhận tiền.</w:t>
      </w:r>
    </w:p>
    <w:p>
      <w:pPr>
        <w:spacing w:after="80"/>
        <w:ind w:left="0"/>
      </w:pPr>
      <w:r>
        <w:rPr>
          <w:b w:val="0"/>
          <w:spacing w:val="-9"/>
        </w:rPr>
        <w:t>5) Trường hợp thông tin khai báo giữa các bên không thống nhất, khoản thanh toán được chuyển sang trạng thái chờ đối soát. Các bên có trách nhiệm cung cấp chứng từ ngân hàng và phối hợp xác minh; HomeSpace chỉ lưu trữ thông tin, chứng từ và lịch sử xác nhận do các bên cung cấp.</w:t>
      </w:r>
    </w:p>
    <w:p>
      <w:pPr>
        <w:spacing w:after="80"/>
        <w:ind w:left="0"/>
      </w:pPr>
      <w:r>
        <w:rPr>
          <w:b w:val="0"/>
          <w:spacing w:val="-9"/>
        </w:rPr>
        <w:t>6) Mọi thay đổi tài khoản nhận thanh toán hoặc tài khoản nhận hoàn trả chỉ có hiệu lực đối với nghĩa vụ phát sinh sau khi bên còn lại đã nhận được và xác nhận thông báo thay đổi. Việc thay đổi tài khoản trên hồ sơ HomeSpace không tự động sửa đổi phiên bản hợp đồng đang có hiệu lực.</w:t>
      </w:r>
    </w:p>
    <w:p>
      <w:pPr>
        <w:spacing w:after="80"/>
        <w:ind w:left="0"/>
      </w:pPr>
      <w:r>
        <w:rPr>
          <w:b w:val="0"/>
          <w:spacing w:val="-9"/>
        </w:rPr>
        <w:t>7) Khi chấm dứt hoặc hết hạn hợp đồng, sau khi hai bên hoàn tất bàn giao và quyết toán, Bên A chuyển khoản số tiền cọc còn phải hoàn trực tiếp vào tài khoản nhận hoàn trả của Bên B ghi trong Hợp đồng hoặc tài khoản khác được hai bên xác nhận. Việc hoàn cọc được ghi nhận hoàn tất sau khi Bên A khai báo đã chuyển và Bên B xác nhận đã nhận đủ tiền.</w:t>
      </w:r>
    </w:p>
    <w:p>
      <w:pPr/>
      <w:r>
        <w:rPr>
          <w:b w:val="0"/>
          <w:spacing w:val="-9"/>
        </w:rPr>
        <w:t>3.11. Bảng ghi nhận thanh toán ban đầu đã được hai bên xác nhận:</w:t>
      </w:r>
    </w:p>
    <w:p>
      <w:pPr>
        <w:pStyle w:val="ContractMarker"/>
        <w:spacing w:after="80"/>
        <w:jc w:val="left"/>
      </w:pPr>
      <w:r>
        <w:rPr>
          <w:b w:val="0"/>
          <w:spacing w:val="-9"/>
        </w:rPr>
        <w:t>{{#initialPaymentTable}}</w:t>
      </w:r>
    </w:p>
    <w:p>
      <w:pPr/>
      <w:r>
        <w:rPr>
          <w:b w:val="0"/>
          <w:spacing w:val="-9"/>
        </w:rPr>
        <w:t xml:space="preserve">3.12. Mã nội dung chuyển khoản: </w:t>
      </w:r>
      <w:r>
        <w:rPr>
          <w:b w:val="0"/>
          <w:spacing w:val="-9"/>
        </w:rPr>
        <w:t>{{payment.initial.transferReference}}</w:t>
      </w:r>
      <w:r>
        <w:rPr>
          <w:b w:val="0"/>
          <w:spacing w:val="-9"/>
        </w:rPr>
        <w:t xml:space="preserve">; Bên B khai báo chuyển: </w:t>
      </w:r>
      <w:r>
        <w:rPr>
          <w:b w:val="0"/>
          <w:spacing w:val="-9"/>
        </w:rPr>
        <w:t>{{payment.initial.payerReportedAt}}</w:t>
      </w:r>
      <w:r>
        <w:rPr>
          <w:b w:val="0"/>
          <w:spacing w:val="-9"/>
        </w:rPr>
        <w:t xml:space="preserve">; Bên A xác nhận nhận: </w:t>
      </w:r>
      <w:r>
        <w:rPr>
          <w:b w:val="0"/>
          <w:spacing w:val="-9"/>
        </w:rPr>
        <w:t>{{payment.initial.payeeConfirmedAt}}</w:t>
      </w:r>
      <w:r>
        <w:rPr>
          <w:b w:val="0"/>
          <w:spacing w:val="-9"/>
        </w:rPr>
        <w:t xml:space="preserve">; Trạng thái xác nhận: </w:t>
      </w:r>
      <w:r>
        <w:rPr>
          <w:b w:val="0"/>
          <w:spacing w:val="-9"/>
        </w:rPr>
        <w:t>{{payment.initial.status}}</w:t>
      </w:r>
      <w:r>
        <w:rPr>
          <w:b w:val="0"/>
          <w:spacing w:val="-9"/>
        </w:rPr>
        <w:t>.</w:t>
      </w:r>
    </w:p>
    <w:p>
      <w:pPr>
        <w:pStyle w:val="ContractHeading"/>
      </w:pPr>
      <w:r>
        <w:rPr>
          <w:b w:val="0"/>
        </w:rPr>
        <w:t>ĐIỀU 4. CÁC KHOẢN PHÍ DỊCH VỤ, ĐIỆN, NƯỚC VÀ GỬI XE</w:t>
      </w:r>
    </w:p>
    <w:p>
      <w:pPr/>
      <w:r>
        <w:rPr>
          <w:b w:val="0"/>
          <w:spacing w:val="-9"/>
        </w:rPr>
        <w:t>4.1. Bảng đơn giá điện, nước, internet, rác, vệ sinh và gửi xe:</w:t>
      </w:r>
    </w:p>
    <w:p>
      <w:pPr>
        <w:pStyle w:val="ContractMarker"/>
        <w:spacing w:after="80"/>
        <w:jc w:val="left"/>
      </w:pPr>
      <w:r>
        <w:rPr>
          <w:b w:val="0"/>
          <w:spacing w:val="-9"/>
        </w:rPr>
        <w:t>{{#chargesTable}}</w:t>
      </w:r>
    </w:p>
    <w:p>
      <w:pPr/>
      <w:r>
        <w:rPr>
          <w:b w:val="0"/>
          <w:spacing w:val="-9"/>
        </w:rPr>
        <w:t>4.2. Bảng tiện ích đã ghi nhận:</w:t>
      </w:r>
    </w:p>
    <w:p>
      <w:pPr>
        <w:pStyle w:val="ContractMarker"/>
        <w:spacing w:after="80"/>
        <w:jc w:val="left"/>
      </w:pPr>
      <w:r>
        <w:rPr>
          <w:b w:val="0"/>
          <w:spacing w:val="-9"/>
        </w:rPr>
        <w:t>{{#amenitiesTable}}</w:t>
      </w:r>
    </w:p>
    <w:p>
      <w:pPr>
        <w:pStyle w:val="ContractHeading"/>
      </w:pPr>
      <w:r>
        <w:rPr>
          <w:b w:val="0"/>
        </w:rPr>
        <w:t>ĐIỀU 5. TRANG THIẾT BỊ VÀ NỘI THẤT TRONG PHÒNG</w:t>
      </w:r>
    </w:p>
    <w:p>
      <w:pPr/>
      <w:r>
        <w:rPr>
          <w:b w:val="0"/>
          <w:spacing w:val="-9"/>
        </w:rPr>
        <w:t>5.1. Danh mục thiết bị bàn giao trong phòng:</w:t>
      </w:r>
    </w:p>
    <w:p>
      <w:pPr>
        <w:pStyle w:val="ContractMarker"/>
        <w:spacing w:after="80"/>
        <w:jc w:val="left"/>
      </w:pPr>
      <w:r>
        <w:rPr>
          <w:b w:val="0"/>
          <w:spacing w:val="-9"/>
        </w:rPr>
        <w:t>{{#equipmentTable}}</w:t>
      </w:r>
    </w:p>
    <w:p>
      <w:pPr/>
      <w:r>
        <w:rPr>
          <w:b w:val="0"/>
          <w:spacing w:val="-9"/>
        </w:rPr>
        <w:t>5.2. Bên B có trách nhiệm sử dụng đúng tính năng, giữ gìn vệ sinh và đền bù nếu làm hư hỏng, mất mát.</w:t>
      </w:r>
    </w:p>
    <w:p>
      <w:pPr>
        <w:pStyle w:val="ContractHeading"/>
      </w:pPr>
      <w:r>
        <w:rPr>
          <w:b w:val="0"/>
        </w:rPr>
        <w:t>ĐIỀU 6. QUYỀN VÀ NGHĨA VỤ CỦA BÊN A</w:t>
      </w:r>
    </w:p>
    <w:p>
      <w:pPr/>
      <w:r>
        <w:rPr>
          <w:b w:val="0"/>
          <w:spacing w:val="-9"/>
        </w:rPr>
        <w:t>6.1. Giao phòng và tiện nghi đúng hiện trạng thỏa thuận.</w:t>
      </w:r>
    </w:p>
    <w:p>
      <w:pPr/>
      <w:r>
        <w:rPr>
          <w:b w:val="0"/>
          <w:spacing w:val="-9"/>
        </w:rPr>
        <w:t>6.2. Cung cấp tài khoản ngân hàng chính xác; kiểm tra và xác nhận kịp thời khi nhận được tiền.</w:t>
      </w:r>
    </w:p>
    <w:p>
      <w:pPr/>
      <w:r>
        <w:rPr>
          <w:b w:val="0"/>
          <w:spacing w:val="-9"/>
        </w:rPr>
        <w:t>6.3. Đăng ký tạm trú cho Bên B theo đúng quy định Luật Cư trú; đảm bảo an ninh khu trọ và bảo trì hệ thống cấp thoát nước, điện tổng.</w:t>
      </w:r>
    </w:p>
    <w:p>
      <w:pPr>
        <w:pStyle w:val="ContractHeading"/>
      </w:pPr>
      <w:r>
        <w:rPr>
          <w:b w:val="0"/>
        </w:rPr>
        <w:t>ĐIỀU 7. QUYỀN VÀ NGHĨA VỤ CỦA BÊN B (NỘI QUY VÀ AN TOÀN PCCC)</w:t>
      </w:r>
    </w:p>
    <w:p>
      <w:pPr/>
      <w:r>
        <w:rPr>
          <w:b w:val="0"/>
          <w:spacing w:val="-9"/>
        </w:rPr>
        <w:t xml:space="preserve">7.1. Cư trú đúng số người đăng ký: </w:t>
      </w:r>
      <w:r>
        <w:rPr>
          <w:b w:val="0"/>
          <w:spacing w:val="-9"/>
        </w:rPr>
        <w:t>{{tenant.occupantCount}}</w:t>
      </w:r>
      <w:r>
        <w:rPr>
          <w:b w:val="0"/>
          <w:spacing w:val="-9"/>
        </w:rPr>
        <w:t xml:space="preserve"> người; giữ đúng số lượng xe: </w:t>
      </w:r>
      <w:r>
        <w:rPr>
          <w:b w:val="0"/>
          <w:spacing w:val="-9"/>
        </w:rPr>
        <w:t>{{tenant.motorbikeCount}}</w:t>
      </w:r>
      <w:r>
        <w:rPr>
          <w:b w:val="0"/>
          <w:spacing w:val="-9"/>
        </w:rPr>
        <w:t xml:space="preserve"> xe máy. Quyền và điều kiện khách qua đêm theo Bảng chính sách; thực hiện nghĩa vụ đăng ký cư trú theo pháp luật khi áp dụng.</w:t>
      </w:r>
    </w:p>
    <w:p>
      <w:pPr/>
      <w:r>
        <w:rPr>
          <w:b w:val="0"/>
          <w:spacing w:val="-9"/>
        </w:rPr>
        <w:t>7.2. TUÂN THỦ NGHIÊM NGẶT PCCC: Không sạc pin/ắc quy xe điện qua đêm không có người trông coi; không đun nấu bằng bếp gas mini không bảo đảm an toàn; không che chắn hành lang, cầu thang thoát nạn.</w:t>
      </w:r>
    </w:p>
    <w:p>
      <w:pPr/>
      <w:r>
        <w:rPr>
          <w:b w:val="0"/>
          <w:spacing w:val="-9"/>
        </w:rPr>
        <w:t>7.3. Chuyển khoản tiền thuê và chi phí đầy đủ, đúng hạn vào tài khoản ngân hàng của Bên A.</w:t>
      </w:r>
    </w:p>
    <w:p>
      <w:pPr/>
      <w:r>
        <w:rPr>
          <w:b w:val="0"/>
          <w:spacing w:val="-9"/>
        </w:rPr>
        <w:t>7.4. Giữ gìn an ninh trật tự, tuân thủ giờ yên tĩnh đã công bố trong Bảng chính sách; giữ vệ sinh khu vực chung (sân phơi, nhà xe, hành lang).</w:t>
      </w:r>
    </w:p>
    <w:p>
      <w:pPr>
        <w:pStyle w:val="ContractHeading"/>
      </w:pPr>
      <w:r>
        <w:rPr>
          <w:b w:val="0"/>
        </w:rPr>
        <w:t>ĐIỀU 8. CHÍNH SÁCH VẬN HÀNH VÀ ĐIỀU KHOẢN THỎA THUẬN BỔ SUNG</w:t>
      </w:r>
    </w:p>
    <w:p>
      <w:pPr/>
      <w:r>
        <w:rPr>
          <w:b w:val="0"/>
          <w:spacing w:val="-9"/>
        </w:rPr>
        <w:t>8.1. Chính sách vận hành áp dụng cho phòng trọ được ghi tại bảng sau:</w:t>
      </w:r>
    </w:p>
    <w:p>
      <w:pPr>
        <w:pStyle w:val="ContractMarker"/>
        <w:spacing w:after="80"/>
        <w:jc w:val="left"/>
      </w:pPr>
      <w:r>
        <w:rPr>
          <w:b w:val="0"/>
          <w:spacing w:val="-9"/>
        </w:rPr>
        <w:t>{{#policiesTable}}</w:t>
      </w:r>
    </w:p>
    <w:p>
      <w:pPr/>
      <w:r>
        <w:rPr>
          <w:b w:val="0"/>
          <w:spacing w:val="-9"/>
        </w:rPr>
        <w:t>8.2. Các quyền, điều kiện, thời hạn, giờ yên tĩnh và sử dụng không gian chung thực hiện đúng Bảng chính sách, đọc cùng trách nhiệm bảo vệ tài sản và tuân thủ pháp luật.</w:t>
      </w:r>
    </w:p>
    <w:p>
      <w:pPr>
        <w:pStyle w:val="ContractHeading"/>
      </w:pPr>
      <w:r>
        <w:rPr>
          <w:b w:val="0"/>
        </w:rPr>
        <w:t>ĐIỀU 9. CHẤM DỨT HỢP ĐỒNG VÀ HOÀN TRẢ PHÒNG</w:t>
      </w:r>
    </w:p>
    <w:p>
      <w:pPr/>
      <w:r>
        <w:rPr>
          <w:b w:val="0"/>
          <w:spacing w:val="-9"/>
        </w:rPr>
        <w:t>9.1. Bên B muốn trả phòng trước hạn phải thông báo trong thời hạn theo Bảng chính sách, dọn dẹp sạch sẽ và bàn giao lại chìa khóa, hiện trạng phòng.</w:t>
      </w:r>
    </w:p>
    <w:p>
      <w:pPr/>
      <w:r>
        <w:rPr>
          <w:b w:val="0"/>
          <w:spacing w:val="-9"/>
        </w:rPr>
        <w:t>9.2. Quyết toán và chuyển khoản số cọc còn phải hoàn trực tiếp vào tài khoản ngân hàng của Bên B trong thời hạn theo Bảng chính sách, đọc cùng điều kiện cọc đã chốt.</w:t>
      </w:r>
    </w:p>
    <w:p>
      <w:pPr/>
      <w:r>
        <w:rPr>
          <w:b w:val="0"/>
          <w:spacing w:val="-9"/>
        </w:rPr>
        <w:t>9.3. Phí chậm thanh toán (nếu áp dụng) theo phương thức và mức đã thỏa thuận, được ghi riêng trên hóa đơn quá hạn. Khi Bên B khai báo đã chuyển khoản, việc cập nhật khoản phí được tạm dừng để đối soát; HomeSpace không tự xác nhận giao dịch ngân hàng.</w:t>
      </w:r>
    </w:p>
    <w:p>
      <w:pPr>
        <w:keepNext w:val="0"/>
      </w:pPr>
      <w:r>
        <w:rPr>
          <w:b w:val="0"/>
          <w:spacing w:val="-9"/>
        </w:rPr>
        <w:t>9.4. Từ 00:00 ngày quá hạn thứ 5 (giờ Việt Nam), HomeSpace mở lựa chọn để Bên A cho chuyển công nợ và phí phạt đã chốt sang hóa đơn kỳ tiếp theo nếu còn kỳ thuê, hoặc đề nghị hai bên chấm dứt sớm; HomeSpace không tự động chấm dứt hợp đồng. Khi chuyển nợ, phí phạt của khoản chuyển dừng tăng và khoản cũ chỉ được cộng một lần.</w:t>
      </w:r>
    </w:p>
    <w:p>
      <w:pPr>
        <w:keepNext w:val="0"/>
      </w:pPr>
      <w:r>
        <w:rPr>
          <w:b w:val="0"/>
          <w:spacing w:val="-9"/>
        </w:rPr>
        <w:t>9.5. Nếu Bên B đồng ý đề nghị chấm dứt, Bên A xác nhận đã thực tế nhận lại phòng, chìa khóa và tài sản rồi mới hoàn tất. Nếu Bên B từ chối, hợp đồng vẫn có hiệu lực, tin đăng chưa mở lại và cọc chưa chuyển chủ; Bên A có thể rút đề nghị hoặc thực hiện nhánh chấm dứt theo điều khoản đã ký, sau khi thông báo và thực tế nhận lại tài sản bàn giao.</w:t>
      </w:r>
    </w:p>
    <w:p>
      <w:pPr>
        <w:keepNext w:val="0"/>
      </w:pPr>
      <w:r>
        <w:rPr>
          <w:b w:val="0"/>
          <w:spacing w:val="-9"/>
        </w:rPr>
        <w:t>9.6. Chỉ sau khi hoàn tất bàn giao, hệ thống mới cập nhật trạng thái hợp đồng, khoản cọc và tin đăng. Công nợ còn thiếu vẫn được theo dõi riêng; việc quyết toán và xử lý tiền cọc căn cứ vào điều kiện đã ký. HomeSpace không nhận giữ tiền, không tự chiếm hữu tài sản hoặc cưỡng chế thu hồi.</w:t>
      </w:r>
    </w:p>
    <w:p>
      <w:pPr>
        <w:keepNext/>
      </w:pPr>
      <w:r>
        <w:rPr>
          <w:b w:val="0"/>
          <w:spacing w:val="-9"/>
        </w:rPr>
        <w:t>9.7. Toàn văn điều khoản quá hạn, phí chậm trả và phương án chấm dứt đã được hai bên chốt:</w:t>
      </w:r>
    </w:p>
    <w:p>
      <w:pPr>
        <w:pStyle w:val="ContractMarker"/>
        <w:keepNext w:val="0"/>
        <w:spacing w:after="80"/>
        <w:jc w:val="left"/>
      </w:pPr>
      <w:r>
        <w:rPr>
          <w:b w:val="0"/>
          <w:spacing w:val="-9"/>
        </w:rPr>
        <w:t>{{contract.specialTerms}}</w:t>
      </w:r>
    </w:p>
    <w:p>
      <w:pPr>
        <w:pStyle w:val="ContractHeading"/>
        <w:keepNext/>
      </w:pPr>
      <w:r>
        <w:rPr>
          <w:b w:val="0"/>
        </w:rPr>
        <w:t>ĐIỀU 10. GIAO KẾT ĐIỆN TỬ VÀ HIỆU LỰC</w:t>
      </w:r>
    </w:p>
    <w:p>
      <w:pPr>
        <w:keepNext w:val="0"/>
      </w:pPr>
      <w:r>
        <w:rPr>
          <w:b w:val="0"/>
          <w:spacing w:val="-9"/>
        </w:rPr>
        <w:t>10.1. Hợp đồng được giao kết điện tử qua nền tảng HomeSpace theo Luật Giao dịch điện tử.</w:t>
      </w:r>
    </w:p>
    <w:p>
      <w:pPr>
        <w:keepNext w:val="0"/>
      </w:pPr>
      <w:r>
        <w:rPr>
          <w:b w:val="0"/>
          <w:spacing w:val="-9"/>
        </w:rPr>
        <w:t xml:space="preserve">10.2. Phiên bản schema: </w:t>
      </w:r>
      <w:r>
        <w:rPr>
          <w:b w:val="0"/>
          <w:spacing w:val="-9"/>
        </w:rPr>
        <w:t>{{contract.schemaVersion}}</w:t>
      </w:r>
      <w:r>
        <w:rPr>
          <w:b w:val="0"/>
          <w:spacing w:val="-9"/>
        </w:rPr>
        <w:t xml:space="preserve">; Số hiệu bản sửa đổi: </w:t>
      </w:r>
      <w:r>
        <w:rPr>
          <w:b w:val="0"/>
          <w:spacing w:val="-9"/>
        </w:rPr>
        <w:t>{{contract.revisionNumber}}</w:t>
      </w:r>
      <w:r>
        <w:rPr>
          <w:b w:val="0"/>
          <w:spacing w:val="-9"/>
        </w:rPr>
        <w:t>.</w:t>
      </w:r>
    </w:p>
    <w:p>
      <w:pPr/>
      <w:r>
        <w:rPr>
          <w:b w:val="0"/>
          <w:spacing w:val="-9"/>
        </w:rPr>
        <w:t>10.3. Hợp đồng có hiệu lực sau khi hai bên hoàn tất xác nhận điện tử.</w:t>
      </w:r>
    </w:p>
    <w:sectPr w:rsidR="00FC693F" w:rsidRPr="0006063C" w:rsidSect="00034616">
      <w:headerReference w:type="default" r:id="rId9"/>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9A9A9A"/>
        <w:sz w:val="17"/>
      </w:rPr>
      <w:t>HomeSpace | Mẫu hợp đồng điện tử | Phòng trọ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76" w:lineRule="auto"/>
      <w:jc w:val="both"/>
    </w:pPr>
    <w:rPr>
      <w:rFonts w:ascii="Times New Roman" w:hAnsi="Times New Roman" w:eastAsia="Times New Roman"/>
      <w:color w:val="10101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Title"/>
    <w:basedOn w:val="Normal"/>
    <w:pPr>
      <w:keepNext/>
      <w:widowControl/>
      <w:spacing w:before="20" w:after="180"/>
      <w:jc w:val="center"/>
    </w:pPr>
    <w:rPr>
      <w:rFonts w:ascii="Times New Roman" w:hAnsi="Times New Roman" w:eastAsia="Times New Roman"/>
      <w:b/>
      <w:sz w:val="32"/>
    </w:rPr>
  </w:style>
  <w:style w:type="paragraph" w:customStyle="1" w:styleId="ContractHeading">
    <w:name w:val="ContractHeading"/>
    <w:basedOn w:val="Normal"/>
    <w:pPr>
      <w:keepNext/>
      <w:widowControl/>
      <w:spacing w:before="160" w:after="80"/>
    </w:pPr>
    <w:rPr>
      <w:rFonts w:ascii="Times New Roman" w:hAnsi="Times New Roman" w:eastAsia="Times New Roman"/>
      <w:b/>
      <w:sz w:val="26"/>
    </w:rPr>
  </w:style>
  <w:style w:type="paragraph" w:customStyle="1" w:styleId="ContractLegalHeading">
    <w:name w:val="ContractLegalHeading"/>
    <w:basedOn w:val="Normal"/>
    <w:pPr>
      <w:keepNext/>
      <w:widowControl/>
      <w:spacing w:before="200" w:after="100"/>
    </w:pPr>
    <w:rPr>
      <w:rFonts w:ascii="Times New Roman" w:hAnsi="Times New Roman" w:eastAsia="Times New Roman"/>
      <w:b/>
      <w:sz w:val="26"/>
    </w:rPr>
  </w:style>
  <w:style w:type="paragraph" w:customStyle="1" w:styleId="ContractSubheading">
    <w:name w:val="ContractSubheading"/>
    <w:basedOn w:val="Normal"/>
    <w:pPr>
      <w:keepNext/>
      <w:widowControl/>
      <w:spacing w:before="100" w:after="80"/>
    </w:pPr>
    <w:rPr>
      <w:rFonts w:ascii="Times New Roman" w:hAnsi="Times New Roman" w:eastAsia="Times New Roman"/>
      <w:b/>
      <w:sz w:val="24"/>
    </w:rPr>
  </w:style>
  <w:style w:type="paragraph" w:customStyle="1" w:styleId="ContractMarker">
    <w:name w:val="ContractMarker"/>
    <w:basedOn w:val="Normal"/>
    <w:pPr>
      <w:keepNext w:val="0"/>
      <w:widowControl/>
      <w:spacing w:before="20" w:after="140"/>
    </w:pPr>
    <w:rPr>
      <w:rFonts w:ascii="Times New Roman" w:hAnsi="Times New Roman" w:eastAsia="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PHÒNG TRỌ</dc:title>
  <dc:subject>HomeSpace Contract Schema V3</dc:subject>
  <dc:creator>HomeSpace</dc:creator>
  <cp:keywords/>
  <dc:description>generated by python-docx</dc:description>
  <cp:lastModifiedBy/>
  <cp:revision>1</cp:revision>
  <dcterms:created xsi:type="dcterms:W3CDTF">2013-12-23T23:15:00Z</dcterms:created>
  <dcterms:modified xsi:type="dcterms:W3CDTF">2013-12-23T23:15:00Z</dcterms:modified>
  <cp:category/>
</cp:coreProperties>
</file>