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 w:line="276" w:lineRule="auto"/>
        <w:ind w:left="0" w:firstLine="0"/>
        <w:jc w:val="center"/>
      </w:pPr>
      <w:r>
        <w:rPr>
          <w:rFonts w:ascii="Times New Roman" w:hAnsi="Times New Roman" w:eastAsia="Times New Roman"/>
          <w:b/>
          <w:i w:val="0"/>
          <w:sz w:val="25"/>
        </w:rPr>
        <w:t>CỘNG HÒA XÃ HỘI CHỦ NGHĨA VIỆT NAM</w:t>
      </w:r>
    </w:p>
    <w:p>
      <w:pPr>
        <w:keepNext w:val="0"/>
        <w:widowControl/>
        <w:spacing w:before="0" w:after="240" w:line="276" w:lineRule="auto"/>
        <w:ind w:left="0" w:firstLine="0"/>
        <w:jc w:val="center"/>
      </w:pPr>
      <w:r>
        <w:rPr>
          <w:rFonts w:ascii="Times New Roman" w:hAnsi="Times New Roman" w:eastAsia="Times New Roman"/>
          <w:b/>
          <w:i w:val="0"/>
          <w:sz w:val="25"/>
        </w:rPr>
        <w:t>Độc lập - Tự do - Hạnh phúc</w:t>
      </w:r>
    </w:p>
    <w:p>
      <w:pPr>
        <w:keepNext w:val="0"/>
        <w:widowControl/>
        <w:spacing w:before="0" w:after="60" w:line="276" w:lineRule="auto"/>
        <w:ind w:left="0" w:firstLine="0"/>
        <w:jc w:val="center"/>
      </w:pPr>
      <w:r>
        <w:rPr>
          <w:rFonts w:ascii="Times New Roman" w:hAnsi="Times New Roman" w:eastAsia="Times New Roman"/>
          <w:b/>
          <w:i w:val="0"/>
          <w:sz w:val="32"/>
        </w:rPr>
        <w:t>HỢP ĐỒNG THUÊ NHÀ NGUYÊN CĂN</w:t>
      </w:r>
    </w:p>
    <w:p>
      <w:pPr>
        <w:keepNext w:val="0"/>
        <w:widowControl/>
        <w:spacing w:before="0" w:after="160" w:line="276" w:lineRule="auto"/>
        <w:ind w:left="0" w:firstLine="0"/>
        <w:jc w:val="center"/>
      </w:pPr>
      <w:r>
        <w:rPr>
          <w:rFonts w:ascii="Times New Roman" w:hAnsi="Times New Roman" w:eastAsia="Times New Roman"/>
          <w:b w:val="0"/>
          <w:i w:val="0"/>
          <w:sz w:val="23"/>
        </w:rPr>
        <w:t>Số: {{contract.number}} - Ngày ký: {{contract.signingDate}} tại {{contract.signingCity}}.</w:t>
      </w:r>
    </w:p>
    <w:p>
      <w:pPr>
        <w:keepNext/>
        <w:widowControl/>
        <w:spacing w:before="160" w:after="80" w:line="276" w:lineRule="auto"/>
        <w:ind w:left="0" w:firstLine="0"/>
        <w:jc w:val="left"/>
      </w:pPr>
      <w:r>
        <w:rPr>
          <w:rFonts w:ascii="Times New Roman" w:hAnsi="Times New Roman" w:eastAsia="Times New Roman"/>
          <w:b/>
          <w:i w:val="0"/>
          <w:sz w:val="26"/>
        </w:rPr>
        <w:t>CĂN CỨ PHÁP LÝ</w:t>
      </w:r>
    </w:p>
    <w:p>
      <w:pPr>
        <w:keepNext w:val="0"/>
        <w:widowControl/>
        <w:spacing w:before="0" w:after="60" w:line="276" w:lineRule="auto"/>
        <w:ind w:left="227" w:hanging="170"/>
        <w:jc w:val="both"/>
      </w:pPr>
      <w:r>
        <w:rPr>
          <w:rFonts w:ascii="Times New Roman" w:hAnsi="Times New Roman" w:eastAsia="Times New Roman"/>
          <w:b w:val="0"/>
          <w:i w:val="0"/>
          <w:sz w:val="24"/>
        </w:rPr>
        <w:t>• Bộ luật Dân sự số 91/2015/QH13;</w:t>
      </w:r>
    </w:p>
    <w:p>
      <w:pPr>
        <w:keepNext w:val="0"/>
        <w:widowControl/>
        <w:spacing w:before="0" w:after="60" w:line="276" w:lineRule="auto"/>
        <w:ind w:left="227" w:hanging="170"/>
        <w:jc w:val="both"/>
      </w:pPr>
      <w:r>
        <w:rPr>
          <w:rFonts w:ascii="Times New Roman" w:hAnsi="Times New Roman" w:eastAsia="Times New Roman"/>
          <w:b w:val="0"/>
          <w:i w:val="0"/>
          <w:sz w:val="24"/>
        </w:rPr>
        <w:t>• Luật Nhà ở số 27/2023/QH15;</w:t>
      </w:r>
    </w:p>
    <w:p>
      <w:pPr>
        <w:keepNext w:val="0"/>
        <w:widowControl/>
        <w:spacing w:before="0" w:after="60" w:line="276" w:lineRule="auto"/>
        <w:ind w:left="227" w:hanging="170"/>
        <w:jc w:val="both"/>
      </w:pPr>
      <w:r>
        <w:rPr>
          <w:rFonts w:ascii="Times New Roman" w:hAnsi="Times New Roman" w:eastAsia="Times New Roman"/>
          <w:b w:val="0"/>
          <w:i w:val="0"/>
          <w:sz w:val="24"/>
        </w:rPr>
        <w:t>• Luật Giao dịch điện tử số 20/2023/QH15;</w:t>
      </w:r>
    </w:p>
    <w:p>
      <w:pPr>
        <w:keepNext w:val="0"/>
        <w:widowControl/>
        <w:spacing w:before="0" w:after="60" w:line="276" w:lineRule="auto"/>
        <w:ind w:left="227" w:hanging="170"/>
        <w:jc w:val="both"/>
      </w:pPr>
      <w:r>
        <w:rPr>
          <w:rFonts w:ascii="Times New Roman" w:hAnsi="Times New Roman" w:eastAsia="Times New Roman"/>
          <w:b w:val="0"/>
          <w:i w:val="0"/>
          <w:sz w:val="24"/>
        </w:rPr>
        <w:t>• Luật Cư trú số 68/2020/QH14;</w:t>
      </w:r>
    </w:p>
    <w:p>
      <w:pPr>
        <w:keepNext w:val="0"/>
        <w:widowControl/>
        <w:spacing w:before="0" w:after="60" w:line="276" w:lineRule="auto"/>
        <w:ind w:left="227" w:hanging="170"/>
        <w:jc w:val="both"/>
      </w:pPr>
      <w:r>
        <w:rPr>
          <w:rFonts w:ascii="Times New Roman" w:hAnsi="Times New Roman" w:eastAsia="Times New Roman"/>
          <w:b w:val="0"/>
          <w:i w:val="0"/>
          <w:sz w:val="24"/>
        </w:rPr>
        <w:t>• Luật Phòng cháy, chữa cháy và cứu nạn, cứu hộ số 55/2024/QH15;</w:t>
      </w:r>
    </w:p>
    <w:p>
      <w:pPr>
        <w:keepNext w:val="0"/>
        <w:widowControl/>
        <w:spacing w:before="0" w:after="60" w:line="276" w:lineRule="auto"/>
        <w:ind w:left="227" w:hanging="170"/>
        <w:jc w:val="both"/>
      </w:pPr>
      <w:r>
        <w:rPr>
          <w:rFonts w:ascii="Times New Roman" w:hAnsi="Times New Roman" w:eastAsia="Times New Roman"/>
          <w:b w:val="0"/>
          <w:i w:val="0"/>
          <w:sz w:val="24"/>
        </w:rPr>
        <w:t>• Luật Kinh doanh bất động sản số 29/2023/QH15 (trong phạm vi áp dụng).</w:t>
      </w:r>
    </w:p>
    <w:p>
      <w:pPr>
        <w:keepNext/>
        <w:widowControl/>
        <w:spacing w:before="160" w:after="80" w:line="276" w:lineRule="auto"/>
        <w:ind w:left="0" w:firstLine="0"/>
        <w:jc w:val="left"/>
      </w:pPr>
      <w:r>
        <w:rPr>
          <w:rFonts w:ascii="Times New Roman" w:hAnsi="Times New Roman" w:eastAsia="Times New Roman"/>
          <w:b/>
          <w:i w:val="0"/>
          <w:sz w:val="26"/>
        </w:rPr>
        <w:t>THÔNG TIN CÁC BÊN</w:t>
      </w:r>
    </w:p>
    <w:p>
      <w:pPr>
        <w:keepNext w:val="0"/>
        <w:widowControl/>
        <w:spacing w:before="0" w:after="40" w:line="276" w:lineRule="auto"/>
        <w:ind w:left="0" w:firstLine="0"/>
        <w:jc w:val="left"/>
      </w:pPr>
      <w:r>
        <w:rPr>
          <w:rFonts w:ascii="Times New Roman" w:hAnsi="Times New Roman" w:eastAsia="Times New Roman"/>
          <w:b/>
          <w:i w:val="0"/>
          <w:sz w:val="24"/>
        </w:rPr>
        <w:t xml:space="preserve">BÊN CHO THUÊ (BÊN A): </w:t>
      </w:r>
      <w:r>
        <w:rPr>
          <w:rFonts w:ascii="Times New Roman" w:hAnsi="Times New Roman" w:eastAsia="Times New Roman"/>
          <w:b w:val="0"/>
          <w:i w:val="0"/>
          <w:sz w:val="24"/>
        </w:rPr>
        <w:t>{{landlord.fullName}}</w:t>
      </w:r>
    </w:p>
    <w:p>
      <w:pPr>
        <w:keepNext w:val="0"/>
        <w:widowControl/>
        <w:spacing w:before="0" w:after="80" w:line="276" w:lineRule="auto"/>
        <w:ind w:left="0" w:firstLine="0"/>
        <w:jc w:val="left"/>
      </w:pPr>
      <w:r>
        <w:rPr>
          <w:rFonts w:ascii="Times New Roman" w:hAnsi="Times New Roman" w:eastAsia="Times New Roman"/>
          <w:b w:val="0"/>
          <w:i w:val="0"/>
          <w:sz w:val="24"/>
        </w:rPr>
        <w:t>CCCD/Hộ chiếu: {{landlord.idNumber}}; Thường trú: {{landlord.permanentAddress}}.</w:t>
      </w:r>
    </w:p>
    <w:p>
      <w:pPr>
        <w:keepNext w:val="0"/>
        <w:widowControl/>
        <w:spacing w:before="0" w:after="80" w:line="276" w:lineRule="auto"/>
        <w:ind w:left="0" w:firstLine="0"/>
        <w:jc w:val="left"/>
      </w:pPr>
      <w:r>
        <w:rPr>
          <w:rFonts w:ascii="Times New Roman" w:hAnsi="Times New Roman" w:eastAsia="Times New Roman"/>
          <w:b w:val="0"/>
          <w:i w:val="0"/>
          <w:sz w:val="24"/>
        </w:rPr>
        <w:t>Điện thoại: {{landlord.phone}}; Email: {{landlord.email}}.</w:t>
      </w:r>
    </w:p>
    <w:p>
      <w:pPr>
        <w:keepNext w:val="0"/>
        <w:widowControl/>
        <w:spacing w:before="0" w:after="80" w:line="276" w:lineRule="auto"/>
        <w:ind w:left="0" w:firstLine="0"/>
        <w:jc w:val="left"/>
      </w:pPr>
      <w:r>
        <w:rPr>
          <w:rFonts w:ascii="Times New Roman" w:hAnsi="Times New Roman" w:eastAsia="Times New Roman"/>
          <w:b w:val="0"/>
          <w:i w:val="0"/>
          <w:sz w:val="24"/>
        </w:rPr>
        <w:t>Tài khoản nhận thanh toán: Chủ tài khoản: {{landlord.bankAccountHolder}} - Số tài khoản: {{landlord.bankAccountNumber}} - Ngân hàng: {{landlord.bankName}}.</w:t>
      </w:r>
    </w:p>
    <w:p>
      <w:pPr>
        <w:keepNext w:val="0"/>
        <w:widowControl/>
        <w:spacing w:before="60" w:after="40" w:line="276" w:lineRule="auto"/>
        <w:ind w:left="0" w:firstLine="0"/>
        <w:jc w:val="left"/>
      </w:pPr>
      <w:r>
        <w:rPr>
          <w:rFonts w:ascii="Times New Roman" w:hAnsi="Times New Roman" w:eastAsia="Times New Roman"/>
          <w:b/>
          <w:i w:val="0"/>
          <w:sz w:val="24"/>
        </w:rPr>
        <w:t xml:space="preserve">BÊN THUÊ (BÊN B): </w:t>
      </w:r>
      <w:r>
        <w:rPr>
          <w:rFonts w:ascii="Times New Roman" w:hAnsi="Times New Roman" w:eastAsia="Times New Roman"/>
          <w:b w:val="0"/>
          <w:i w:val="0"/>
          <w:sz w:val="24"/>
        </w:rPr>
        <w:t>{{tenant.fullName}}</w:t>
      </w:r>
    </w:p>
    <w:p>
      <w:pPr>
        <w:keepNext w:val="0"/>
        <w:widowControl/>
        <w:spacing w:before="0" w:after="80" w:line="276" w:lineRule="auto"/>
        <w:ind w:left="0" w:firstLine="0"/>
        <w:jc w:val="left"/>
      </w:pPr>
      <w:r>
        <w:rPr>
          <w:rFonts w:ascii="Times New Roman" w:hAnsi="Times New Roman" w:eastAsia="Times New Roman"/>
          <w:b w:val="0"/>
          <w:i w:val="0"/>
          <w:sz w:val="24"/>
        </w:rPr>
        <w:t>CCCD/Hộ chiếu: {{tenant.idNumber}}; Thường trú: {{tenant.permanentAddress}}.</w:t>
      </w:r>
    </w:p>
    <w:p>
      <w:pPr>
        <w:keepNext w:val="0"/>
        <w:widowControl/>
        <w:spacing w:before="0" w:after="80" w:line="276" w:lineRule="auto"/>
        <w:ind w:left="0" w:firstLine="0"/>
        <w:jc w:val="left"/>
      </w:pPr>
      <w:r>
        <w:rPr>
          <w:rFonts w:ascii="Times New Roman" w:hAnsi="Times New Roman" w:eastAsia="Times New Roman"/>
          <w:b w:val="0"/>
          <w:i w:val="0"/>
          <w:sz w:val="24"/>
        </w:rPr>
        <w:t>Điện thoại: {{tenant.phone}}; Email: {{tenant.email}}.</w:t>
      </w:r>
    </w:p>
    <w:p>
      <w:pPr>
        <w:keepNext w:val="0"/>
        <w:widowControl/>
        <w:spacing w:before="0" w:after="80" w:line="276" w:lineRule="auto"/>
        <w:ind w:left="0" w:firstLine="0"/>
        <w:jc w:val="left"/>
      </w:pPr>
      <w:r>
        <w:rPr>
          <w:rFonts w:ascii="Times New Roman" w:hAnsi="Times New Roman" w:eastAsia="Times New Roman"/>
          <w:b w:val="0"/>
          <w:i w:val="0"/>
          <w:sz w:val="24"/>
        </w:rPr>
        <w:t>Số người cư trú: {{tenant.occupantCount}}; Xe máy đăng ký: {{tenant.motorbikeCount}}; Ô tô đăng ký: {{tenant.carCount}}.</w:t>
      </w:r>
    </w:p>
    <w:p>
      <w:pPr>
        <w:keepNext w:val="0"/>
        <w:widowControl/>
        <w:spacing w:before="0" w:after="80" w:line="276" w:lineRule="auto"/>
        <w:ind w:left="0" w:firstLine="0"/>
        <w:jc w:val="left"/>
      </w:pPr>
      <w:r>
        <w:rPr>
          <w:rFonts w:ascii="Times New Roman" w:hAnsi="Times New Roman" w:eastAsia="Times New Roman"/>
          <w:b w:val="0"/>
          <w:i w:val="0"/>
          <w:sz w:val="24"/>
        </w:rPr>
        <w:t>Tài khoản nhận hoàn trả: Chủ tài khoản: {{tenant.bankAccountHolder}} - Số tài khoản: {{tenant.bankAccountNumber}} - Ngân hàng: {{tenant.bankName}}.</w:t>
      </w:r>
    </w:p>
    <w:p>
      <w:pPr>
        <w:keepNext/>
        <w:widowControl/>
        <w:spacing w:before="160" w:after="80" w:line="276" w:lineRule="auto"/>
        <w:ind w:left="0" w:firstLine="0"/>
        <w:jc w:val="left"/>
      </w:pPr>
      <w:r>
        <w:rPr>
          <w:rFonts w:ascii="Times New Roman" w:hAnsi="Times New Roman" w:eastAsia="Times New Roman"/>
          <w:b/>
          <w:i w:val="0"/>
          <w:sz w:val="26"/>
        </w:rPr>
        <w:t>ĐIỀU 1. ĐỐI TƯỢNG VÀ PHẠM VI CHO THUÊ</w:t>
      </w:r>
    </w:p>
    <w:p>
      <w:pPr>
        <w:keepNext w:val="0"/>
        <w:widowControl/>
        <w:spacing w:before="0" w:after="80" w:line="276" w:lineRule="auto"/>
        <w:ind w:left="0" w:firstLine="0"/>
        <w:jc w:val="both"/>
      </w:pPr>
      <w:r>
        <w:rPr>
          <w:rFonts w:ascii="Times New Roman" w:hAnsi="Times New Roman" w:eastAsia="Times New Roman"/>
          <w:b w:val="0"/>
          <w:i w:val="0"/>
          <w:sz w:val="24"/>
        </w:rPr>
        <w:t>1.1. Bên A đồng ý cho Bên B thuê toàn bộ căn nhà tại địa chỉ: {{property.fullAddress}}.</w:t>
      </w:r>
    </w:p>
    <w:p>
      <w:pPr>
        <w:keepNext w:val="0"/>
        <w:widowControl/>
        <w:spacing w:before="0" w:after="80" w:line="276" w:lineRule="auto"/>
        <w:ind w:left="0" w:firstLine="0"/>
        <w:jc w:val="both"/>
      </w:pPr>
      <w:r>
        <w:rPr>
          <w:rFonts w:ascii="Times New Roman" w:hAnsi="Times New Roman" w:eastAsia="Times New Roman"/>
          <w:b w:val="0"/>
          <w:i w:val="0"/>
          <w:sz w:val="24"/>
        </w:rPr>
        <w:t>1.2. Diện tích: {{property.areaText}}; Kết cấu/Số tầng: {{property.floor}}; Loại tài sản: {{property.propertyType}}; Phạm vi thuê: {{property.rentalScope}}; Mã tin: {{property.listingCode}}.</w:t>
      </w:r>
    </w:p>
    <w:p>
      <w:pPr>
        <w:keepNext w:val="0"/>
        <w:widowControl/>
        <w:spacing w:before="0" w:after="80" w:line="276" w:lineRule="auto"/>
        <w:ind w:left="0" w:firstLine="0"/>
        <w:jc w:val="both"/>
      </w:pPr>
      <w:r>
        <w:rPr>
          <w:rFonts w:ascii="Times New Roman" w:hAnsi="Times New Roman" w:eastAsia="Times New Roman"/>
          <w:b w:val="0"/>
          <w:i w:val="0"/>
          <w:sz w:val="24"/>
        </w:rPr>
        <w:t>1.3. Số người tối đa cho phép: {{property.maxOccupants}}; Số xe tối đa cho phép: {{property.maxVehicles}}.</w:t>
      </w:r>
    </w:p>
    <w:p>
      <w:pPr>
        <w:keepNext/>
        <w:widowControl/>
        <w:spacing w:before="0" w:after="80" w:line="276" w:lineRule="auto"/>
        <w:ind w:left="0" w:firstLine="0"/>
        <w:jc w:val="both"/>
      </w:pPr>
      <w:r>
        <w:rPr>
          <w:rFonts w:ascii="Times New Roman" w:hAnsi="Times New Roman" w:eastAsia="Times New Roman"/>
          <w:b w:val="0"/>
          <w:i w:val="0"/>
          <w:sz w:val="24"/>
        </w:rPr>
        <w:t>1.4. Bảng thông số đặc điểm căn nhà:</w:t>
      </w:r>
    </w:p>
    <w:p>
      <w:pPr>
        <w:keepNext w:val="0"/>
        <w:widowControl/>
        <w:spacing w:before="20" w:after="100" w:line="276" w:lineRule="auto"/>
        <w:ind w:left="0" w:firstLine="0"/>
        <w:jc w:val="left"/>
      </w:pPr>
      <w:r>
        <w:rPr>
          <w:rFonts w:ascii="Times New Roman" w:hAnsi="Times New Roman" w:eastAsia="Times New Roman"/>
          <w:b w:val="0"/>
          <w:i w:val="0"/>
          <w:sz w:val="24"/>
        </w:rPr>
        <w:t>{{#propertyFeaturesTable}}</w:t>
      </w:r>
    </w:p>
    <w:p>
      <w:pPr>
        <w:keepNext w:val="0"/>
        <w:widowControl/>
        <w:spacing w:before="0" w:after="80" w:line="276" w:lineRule="auto"/>
        <w:ind w:left="0" w:firstLine="0"/>
        <w:jc w:val="both"/>
      </w:pPr>
      <w:r>
        <w:rPr>
          <w:rFonts w:ascii="Times New Roman" w:hAnsi="Times New Roman" w:eastAsia="Times New Roman"/>
          <w:b w:val="0"/>
          <w:i w:val="0"/>
          <w:sz w:val="24"/>
        </w:rPr>
        <w:t>1.5. Mục đích thuê: Dùng để ở và sinh hoạt hợp pháp, không sử dụng vào mục đích vi phạm pháp luật.</w:t>
      </w:r>
    </w:p>
    <w:p>
      <w:pPr>
        <w:keepNext/>
        <w:widowControl/>
        <w:spacing w:before="160" w:after="80" w:line="276" w:lineRule="auto"/>
        <w:ind w:left="0" w:firstLine="0"/>
        <w:jc w:val="left"/>
      </w:pPr>
      <w:r>
        <w:rPr>
          <w:rFonts w:ascii="Times New Roman" w:hAnsi="Times New Roman" w:eastAsia="Times New Roman"/>
          <w:b/>
          <w:i w:val="0"/>
          <w:sz w:val="26"/>
        </w:rPr>
        <w:t>ĐIỀU 2. THỜI HẠN THUÊ VÀ BÀN GIAO</w:t>
      </w:r>
    </w:p>
    <w:p>
      <w:pPr>
        <w:keepNext w:val="0"/>
        <w:widowControl/>
        <w:spacing w:before="0" w:after="80" w:line="276" w:lineRule="auto"/>
        <w:ind w:left="0" w:firstLine="0"/>
        <w:jc w:val="both"/>
      </w:pPr>
      <w:r>
        <w:rPr>
          <w:rFonts w:ascii="Times New Roman" w:hAnsi="Times New Roman" w:eastAsia="Times New Roman"/>
          <w:b w:val="0"/>
          <w:i w:val="0"/>
          <w:sz w:val="24"/>
        </w:rPr>
        <w:t>2.1. Thời hạn thuê: {{lease.durationText}} ({{lease.durationMonths}} tháng), từ ngày {{lease.startDateText}} đến ngày {{lease.endDateText}}.</w:t>
      </w:r>
    </w:p>
    <w:p>
      <w:pPr>
        <w:keepNext w:val="0"/>
        <w:widowControl/>
        <w:spacing w:before="0" w:after="80" w:line="276" w:lineRule="auto"/>
        <w:ind w:left="0" w:firstLine="0"/>
        <w:jc w:val="both"/>
      </w:pPr>
      <w:r>
        <w:rPr>
          <w:rFonts w:ascii="Times New Roman" w:hAnsi="Times New Roman" w:eastAsia="Times New Roman"/>
          <w:b w:val="0"/>
          <w:i w:val="0"/>
          <w:sz w:val="24"/>
        </w:rPr>
        <w:t>2.2. Ngày bàn giao: {{lease.handoverDateText}}.</w:t>
      </w:r>
    </w:p>
    <w:p>
      <w:pPr>
        <w:keepNext w:val="0"/>
        <w:widowControl/>
        <w:spacing w:before="0" w:after="80" w:line="276" w:lineRule="auto"/>
        <w:ind w:left="0" w:firstLine="0"/>
        <w:jc w:val="both"/>
      </w:pPr>
      <w:r>
        <w:rPr>
          <w:rFonts w:ascii="Times New Roman" w:hAnsi="Times New Roman" w:eastAsia="Times New Roman"/>
          <w:b w:val="0"/>
          <w:i w:val="0"/>
          <w:sz w:val="24"/>
        </w:rPr>
        <w:t>2.3. Bàn giao chỉ số công tơ điện ban đầu: {{meters.electricityInitial}}; nước ban đầu: {{meters.waterInitial}} (nếu chưa có sẽ lập tại Biên bản bàn giao khi nhận nhà).</w:t>
      </w:r>
    </w:p>
    <w:p>
      <w:pPr>
        <w:keepNext/>
        <w:widowControl/>
        <w:spacing w:before="160" w:after="80" w:line="276" w:lineRule="auto"/>
        <w:ind w:left="0" w:firstLine="0"/>
        <w:jc w:val="left"/>
      </w:pPr>
      <w:r>
        <w:rPr>
          <w:rFonts w:ascii="Times New Roman" w:hAnsi="Times New Roman" w:eastAsia="Times New Roman"/>
          <w:b/>
          <w:i w:val="0"/>
          <w:sz w:val="26"/>
        </w:rPr>
        <w:t>ĐIỀU 3. GIÁ THUÊ, TIỀN CỌC VÀ PHƯƠNG THỨC CHUYỂN KHOẢN TRỰC TIẾP</w:t>
      </w:r>
    </w:p>
    <w:p>
      <w:pPr>
        <w:keepNext w:val="0"/>
        <w:widowControl/>
        <w:spacing w:before="0" w:after="80" w:line="276" w:lineRule="auto"/>
        <w:ind w:left="0" w:firstLine="0"/>
        <w:jc w:val="both"/>
      </w:pPr>
      <w:r>
        <w:rPr>
          <w:rFonts w:ascii="Times New Roman" w:hAnsi="Times New Roman" w:eastAsia="Times New Roman"/>
          <w:b w:val="0"/>
          <w:i w:val="0"/>
          <w:sz w:val="24"/>
        </w:rPr>
        <w:t>3.1. Giá thuê: {{rent.amountNumber}} (Bằng chữ: {{rent.amountWords}}).</w:t>
      </w:r>
    </w:p>
    <w:p>
      <w:pPr>
        <w:keepNext w:val="0"/>
        <w:widowControl/>
        <w:spacing w:before="0" w:after="80" w:line="276" w:lineRule="auto"/>
        <w:ind w:left="0" w:firstLine="0"/>
        <w:jc w:val="both"/>
      </w:pPr>
      <w:r>
        <w:rPr>
          <w:rFonts w:ascii="Times New Roman" w:hAnsi="Times New Roman" w:eastAsia="Times New Roman"/>
          <w:b w:val="0"/>
          <w:i w:val="0"/>
          <w:sz w:val="24"/>
        </w:rPr>
        <w:t>3.2. Chu kỳ thanh toán: {{rent.paymentCycle}}; Hạn thanh toán định kỳ: {{rent.paymentDueDay}}.</w:t>
      </w:r>
    </w:p>
    <w:p>
      <w:pPr>
        <w:keepNext w:val="0"/>
        <w:widowControl/>
        <w:spacing w:before="0" w:after="80" w:line="276" w:lineRule="auto"/>
        <w:ind w:left="0" w:firstLine="0"/>
        <w:jc w:val="both"/>
      </w:pPr>
      <w:r>
        <w:rPr>
          <w:rFonts w:ascii="Times New Roman" w:hAnsi="Times New Roman" w:eastAsia="Times New Roman"/>
          <w:b w:val="0"/>
          <w:i w:val="0"/>
          <w:sz w:val="24"/>
        </w:rPr>
        <w:t>3.3. Phương thức thanh toán: {{rent.paymentMethod}}.</w:t>
      </w:r>
    </w:p>
    <w:p>
      <w:pPr>
        <w:keepNext w:val="0"/>
        <w:widowControl/>
        <w:spacing w:before="0" w:after="80" w:line="276" w:lineRule="auto"/>
        <w:ind w:left="0" w:firstLine="0"/>
        <w:jc w:val="both"/>
      </w:pPr>
      <w:r>
        <w:rPr>
          <w:rFonts w:ascii="Times New Roman" w:hAnsi="Times New Roman" w:eastAsia="Times New Roman"/>
          <w:b w:val="0"/>
          <w:i w:val="0"/>
          <w:sz w:val="24"/>
        </w:rPr>
        <w:t>3.4. Tiền đặt cọc: {{deposit.amountNumber}} (Bằng chữ: {{deposit.amountWords}}).</w:t>
      </w:r>
    </w:p>
    <w:p>
      <w:pPr>
        <w:keepNext w:val="0"/>
        <w:widowControl/>
        <w:spacing w:before="0" w:after="80" w:line="276" w:lineRule="auto"/>
        <w:ind w:left="0" w:firstLine="0"/>
        <w:jc w:val="both"/>
      </w:pPr>
      <w:r>
        <w:rPr>
          <w:rFonts w:ascii="Times New Roman" w:hAnsi="Times New Roman" w:eastAsia="Times New Roman"/>
          <w:b w:val="0"/>
          <w:i w:val="0"/>
          <w:sz w:val="24"/>
        </w:rPr>
        <w:t>3.5. Điều kiện hoàn trả/khấu trừ cọc: {{deposit.description}}.</w:t>
      </w:r>
    </w:p>
    <w:p>
      <w:pPr>
        <w:keepNext w:val="0"/>
        <w:widowControl/>
        <w:spacing w:before="0" w:after="80" w:line="276" w:lineRule="auto"/>
        <w:ind w:left="0" w:firstLine="0"/>
        <w:jc w:val="both"/>
      </w:pPr>
      <w:r>
        <w:rPr>
          <w:rFonts w:ascii="Times New Roman" w:hAnsi="Times New Roman" w:eastAsia="Times New Roman"/>
          <w:b w:val="0"/>
          <w:i w:val="0"/>
          <w:sz w:val="24"/>
        </w:rPr>
        <w:t>3.6. Khoản ban đầu gồm tiền thuê kỳ đầu và cọc; không thu lại tiền thuê kỳ đầu trong hóa đơn quyết toán kỳ đầu. Mỗi hóa đơn cuối kỳ gồm dịch vụ/điện/nước/phát sinh của kỳ vừa qua và tiền thuê kỳ sau nếu còn kỳ thuê; kỳ cuối không thu tiền thuê ngoài thời hạn. Hạn cụ thể theo {{rent.paymentDueDay}} và hóa đơn, không mặc định ngày 05 hằng tháng. Bên A có thể chốt chỉ số và phát hành hóa đơn ngay khi dữ liệu kỳ đã đầy đủ; Bên B được xem và thanh toán ngay sau khi hóa đơn được phát hành.</w:t>
      </w:r>
    </w:p>
    <w:p>
      <w:pPr>
        <w:keepNext/>
        <w:widowControl/>
        <w:spacing w:before="0" w:after="80" w:line="276" w:lineRule="auto"/>
        <w:ind w:left="0" w:firstLine="0"/>
        <w:jc w:val="both"/>
      </w:pPr>
      <w:r>
        <w:rPr>
          <w:rFonts w:ascii="Times New Roman" w:hAnsi="Times New Roman" w:eastAsia="Times New Roman"/>
          <w:b w:val="0"/>
          <w:i w:val="0"/>
          <w:sz w:val="24"/>
        </w:rPr>
        <w:t>3.7. Quy định chi tiết về chuyển khoản trực tiếp và vai trò HomeSpace:</w:t>
      </w:r>
    </w:p>
    <w:p>
      <w:pPr>
        <w:keepNext w:val="0"/>
        <w:widowControl/>
        <w:spacing w:before="0" w:after="60" w:line="276" w:lineRule="auto"/>
        <w:ind w:left="227" w:hanging="170"/>
        <w:jc w:val="both"/>
      </w:pPr>
      <w:r>
        <w:rPr>
          <w:rFonts w:ascii="Times New Roman" w:hAnsi="Times New Roman" w:eastAsia="Times New Roman"/>
          <w:b w:val="0"/>
          <w:i w:val="0"/>
          <w:sz w:val="24"/>
        </w:rPr>
        <w:t>+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keepNext w:val="0"/>
        <w:widowControl/>
        <w:spacing w:before="0" w:after="60" w:line="276" w:lineRule="auto"/>
        <w:ind w:left="227" w:hanging="170"/>
        <w:jc w:val="both"/>
      </w:pPr>
      <w:r>
        <w:rPr>
          <w:rFonts w:ascii="Times New Roman" w:hAnsi="Times New Roman" w:eastAsia="Times New Roman"/>
          <w:b w:val="0"/>
          <w:i w:val="0"/>
          <w:sz w:val="24"/>
        </w:rPr>
        <w:t>+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keepNext w:val="0"/>
        <w:widowControl/>
        <w:spacing w:before="0" w:after="60" w:line="276" w:lineRule="auto"/>
        <w:ind w:left="227" w:hanging="170"/>
        <w:jc w:val="both"/>
      </w:pPr>
      <w:r>
        <w:rPr>
          <w:rFonts w:ascii="Times New Roman" w:hAnsi="Times New Roman" w:eastAsia="Times New Roman"/>
          <w:b w:val="0"/>
          <w:i w:val="0"/>
          <w:sz w:val="24"/>
        </w:rPr>
        <w:t>+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keepNext w:val="0"/>
        <w:widowControl/>
        <w:spacing w:before="0" w:after="60" w:line="276" w:lineRule="auto"/>
        <w:ind w:left="227" w:hanging="170"/>
        <w:jc w:val="both"/>
      </w:pPr>
      <w:r>
        <w:rPr>
          <w:rFonts w:ascii="Times New Roman" w:hAnsi="Times New Roman" w:eastAsia="Times New Roman"/>
          <w:b w:val="0"/>
          <w:i w:val="0"/>
          <w:sz w:val="24"/>
        </w:rPr>
        <w:t>+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keepNext w:val="0"/>
        <w:widowControl/>
        <w:spacing w:before="0" w:after="60" w:line="276" w:lineRule="auto"/>
        <w:ind w:left="227" w:hanging="170"/>
        <w:jc w:val="both"/>
      </w:pPr>
      <w:r>
        <w:rPr>
          <w:rFonts w:ascii="Times New Roman" w:hAnsi="Times New Roman" w:eastAsia="Times New Roman"/>
          <w:b w:val="0"/>
          <w:i w:val="0"/>
          <w:sz w:val="24"/>
        </w:rPr>
        <w:t>+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keepNext w:val="0"/>
        <w:widowControl/>
        <w:spacing w:before="0" w:after="60" w:line="276" w:lineRule="auto"/>
        <w:ind w:left="227" w:hanging="170"/>
        <w:jc w:val="both"/>
      </w:pPr>
      <w:r>
        <w:rPr>
          <w:rFonts w:ascii="Times New Roman" w:hAnsi="Times New Roman" w:eastAsia="Times New Roman"/>
          <w:b w:val="0"/>
          <w:i w:val="0"/>
          <w:sz w:val="24"/>
        </w:rPr>
        <w:t>+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keepNext w:val="0"/>
        <w:widowControl/>
        <w:spacing w:before="0" w:after="60" w:line="276" w:lineRule="auto"/>
        <w:ind w:left="227" w:hanging="170"/>
        <w:jc w:val="both"/>
      </w:pPr>
      <w:r>
        <w:rPr>
          <w:rFonts w:ascii="Times New Roman" w:hAnsi="Times New Roman" w:eastAsia="Times New Roman"/>
          <w:b w:val="0"/>
          <w:i w:val="0"/>
          <w:sz w:val="24"/>
        </w:rPr>
        <w:t>+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keepNext/>
        <w:widowControl/>
        <w:spacing w:before="0" w:after="80" w:line="276" w:lineRule="auto"/>
        <w:ind w:left="0" w:firstLine="0"/>
        <w:jc w:val="both"/>
      </w:pPr>
      <w:r>
        <w:rPr>
          <w:rFonts w:ascii="Times New Roman" w:hAnsi="Times New Roman" w:eastAsia="Times New Roman"/>
          <w:b w:val="0"/>
          <w:i w:val="0"/>
          <w:sz w:val="24"/>
        </w:rPr>
        <w:t>3.8. Bảng ghi nhận thanh toán ban đầu đã được hai bên xác nhận:</w:t>
      </w:r>
    </w:p>
    <w:p>
      <w:pPr>
        <w:keepNext w:val="0"/>
        <w:widowControl/>
        <w:spacing w:before="20" w:after="100" w:line="276" w:lineRule="auto"/>
        <w:ind w:left="0" w:firstLine="0"/>
        <w:jc w:val="left"/>
      </w:pPr>
      <w:r>
        <w:rPr>
          <w:rFonts w:ascii="Times New Roman" w:hAnsi="Times New Roman" w:eastAsia="Times New Roman"/>
          <w:b w:val="0"/>
          <w:i w:val="0"/>
          <w:sz w:val="24"/>
        </w:rPr>
        <w:t>{{#initialPaymentTable}}</w:t>
      </w:r>
    </w:p>
    <w:p>
      <w:pPr>
        <w:keepNext w:val="0"/>
        <w:widowControl/>
        <w:spacing w:before="0" w:after="80" w:line="276" w:lineRule="auto"/>
        <w:ind w:left="0" w:firstLine="0"/>
        <w:jc w:val="both"/>
      </w:pPr>
      <w:r>
        <w:rPr>
          <w:rFonts w:ascii="Times New Roman" w:hAnsi="Times New Roman" w:eastAsia="Times New Roman"/>
          <w:b w:val="0"/>
          <w:i w:val="0"/>
          <w:sz w:val="24"/>
        </w:rPr>
        <w:t>3.9. Mã nội dung chuyển khoản: {{payment.initial.transferReference}}; Mã tham chiếu giao dịch ngân hàng: {{payment.initial.bankTransactionReference}}; Bên B khai báo chuyển: {{payment.initial.payerReportedAt}}; Bên A xác nhận nhận: {{payment.initial.payeeConfirmedAt}}; Hoàn tất xác nhận hai chiều: {{payment.initial.confirmedAt}}; Trạng thái xác nhận: {{payment.initial.status}}; Tổng số tiền ban đầu: {{payment.initial.totalAmount}}; Thời điểm hoàn tất (tương thích V2): {{payment.initial.paidAt}}; Mã giao dịch đối chiếu (tương thích V2): {{payment.initial.transactionCode}}.</w:t>
      </w:r>
    </w:p>
    <w:p>
      <w:pPr>
        <w:keepNext/>
        <w:widowControl/>
        <w:spacing w:before="160" w:after="80" w:line="276" w:lineRule="auto"/>
        <w:ind w:left="0" w:firstLine="0"/>
        <w:jc w:val="left"/>
      </w:pPr>
      <w:r>
        <w:rPr>
          <w:rFonts w:ascii="Times New Roman" w:hAnsi="Times New Roman" w:eastAsia="Times New Roman"/>
          <w:b/>
          <w:i w:val="0"/>
          <w:sz w:val="26"/>
        </w:rPr>
        <w:t>ĐIỀU 4. CÁC KHOẢN CHI PHÍ KHÁC VÀ DỊCH VỤ</w:t>
      </w:r>
    </w:p>
    <w:p>
      <w:pPr>
        <w:keepNext/>
        <w:widowControl/>
        <w:spacing w:before="0" w:after="80" w:line="276" w:lineRule="auto"/>
        <w:ind w:left="0" w:firstLine="0"/>
        <w:jc w:val="both"/>
      </w:pPr>
      <w:r>
        <w:rPr>
          <w:rFonts w:ascii="Times New Roman" w:hAnsi="Times New Roman" w:eastAsia="Times New Roman"/>
          <w:b w:val="0"/>
          <w:i w:val="0"/>
          <w:sz w:val="24"/>
        </w:rPr>
        <w:t>4.1. Bảng chi phí định kỳ và dịch vụ đi kèm:</w:t>
      </w:r>
    </w:p>
    <w:p>
      <w:pPr>
        <w:keepNext w:val="0"/>
        <w:widowControl/>
        <w:spacing w:before="20" w:after="100" w:line="276" w:lineRule="auto"/>
        <w:ind w:left="0" w:firstLine="0"/>
        <w:jc w:val="left"/>
      </w:pPr>
      <w:r>
        <w:rPr>
          <w:rFonts w:ascii="Times New Roman" w:hAnsi="Times New Roman" w:eastAsia="Times New Roman"/>
          <w:b w:val="0"/>
          <w:i w:val="0"/>
          <w:sz w:val="24"/>
        </w:rPr>
        <w:t>{{#chargesTable}}</w:t>
      </w:r>
    </w:p>
    <w:p>
      <w:pPr>
        <w:keepNext/>
        <w:widowControl/>
        <w:spacing w:before="0" w:after="80" w:line="276" w:lineRule="auto"/>
        <w:ind w:left="0" w:firstLine="0"/>
        <w:jc w:val="both"/>
      </w:pPr>
      <w:r>
        <w:rPr>
          <w:rFonts w:ascii="Times New Roman" w:hAnsi="Times New Roman" w:eastAsia="Times New Roman"/>
          <w:b w:val="0"/>
          <w:i w:val="0"/>
          <w:sz w:val="24"/>
        </w:rPr>
        <w:t>4.2. Bảng tiện ích và quyền sử dụng dịch vụ:</w:t>
      </w:r>
    </w:p>
    <w:p>
      <w:pPr>
        <w:keepNext w:val="0"/>
        <w:widowControl/>
        <w:spacing w:before="20" w:after="100" w:line="276" w:lineRule="auto"/>
        <w:ind w:left="0" w:firstLine="0"/>
        <w:jc w:val="left"/>
      </w:pPr>
      <w:r>
        <w:rPr>
          <w:rFonts w:ascii="Times New Roman" w:hAnsi="Times New Roman" w:eastAsia="Times New Roman"/>
          <w:b w:val="0"/>
          <w:i w:val="0"/>
          <w:sz w:val="24"/>
        </w:rPr>
        <w:t>{{#amenitiesTable}}</w:t>
      </w:r>
    </w:p>
    <w:p>
      <w:pPr>
        <w:keepNext w:val="0"/>
        <w:widowControl/>
        <w:spacing w:before="0" w:after="80" w:line="276" w:lineRule="auto"/>
        <w:ind w:left="0" w:firstLine="0"/>
        <w:jc w:val="both"/>
      </w:pPr>
      <w:r>
        <w:rPr>
          <w:rFonts w:ascii="Times New Roman" w:hAnsi="Times New Roman" w:eastAsia="Times New Roman"/>
          <w:b w:val="0"/>
          <w:i w:val="0"/>
          <w:sz w:val="24"/>
        </w:rPr>
        <w:t>4.3. Đối với tiện ích dùng chung (nếu có), Bên B được quyền sử dụng các tiện ích chung theo nội quy, khung giờ và tình trạng vận hành của đơn vị quản lý.</w:t>
      </w:r>
    </w:p>
    <w:p>
      <w:pPr>
        <w:keepNext/>
        <w:widowControl/>
        <w:spacing w:before="160" w:after="80" w:line="276" w:lineRule="auto"/>
        <w:ind w:left="0" w:firstLine="0"/>
        <w:jc w:val="left"/>
      </w:pPr>
      <w:r>
        <w:rPr>
          <w:rFonts w:ascii="Times New Roman" w:hAnsi="Times New Roman" w:eastAsia="Times New Roman"/>
          <w:b/>
          <w:i w:val="0"/>
          <w:sz w:val="26"/>
        </w:rPr>
        <w:t>ĐIỀU 5. TÀI SẢN VÀ THIẾT BỊ BÀN GIAO</w:t>
      </w:r>
    </w:p>
    <w:p>
      <w:pPr>
        <w:keepNext/>
        <w:widowControl/>
        <w:spacing w:before="0" w:after="80" w:line="276" w:lineRule="auto"/>
        <w:ind w:left="0" w:firstLine="0"/>
        <w:jc w:val="both"/>
      </w:pPr>
      <w:r>
        <w:rPr>
          <w:rFonts w:ascii="Times New Roman" w:hAnsi="Times New Roman" w:eastAsia="Times New Roman"/>
          <w:b w:val="0"/>
          <w:i w:val="0"/>
          <w:sz w:val="24"/>
        </w:rPr>
        <w:t>5.1. Danh mục trang thiết bị, nội thất gắn liền căn nhà:</w:t>
      </w:r>
    </w:p>
    <w:p>
      <w:pPr>
        <w:keepNext w:val="0"/>
        <w:widowControl/>
        <w:spacing w:before="20" w:after="100" w:line="276" w:lineRule="auto"/>
        <w:ind w:left="0" w:firstLine="0"/>
        <w:jc w:val="left"/>
      </w:pPr>
      <w:r>
        <w:rPr>
          <w:rFonts w:ascii="Times New Roman" w:hAnsi="Times New Roman" w:eastAsia="Times New Roman"/>
          <w:b w:val="0"/>
          <w:i w:val="0"/>
          <w:sz w:val="24"/>
        </w:rPr>
        <w:t>{{#equipmentTable}}</w:t>
      </w:r>
    </w:p>
    <w:p>
      <w:pPr>
        <w:keepNext w:val="0"/>
        <w:widowControl/>
        <w:spacing w:before="0" w:after="80" w:line="276" w:lineRule="auto"/>
        <w:ind w:left="0" w:firstLine="0"/>
        <w:jc w:val="both"/>
      </w:pPr>
      <w:r>
        <w:rPr>
          <w:rFonts w:ascii="Times New Roman" w:hAnsi="Times New Roman" w:eastAsia="Times New Roman"/>
          <w:b w:val="0"/>
          <w:i w:val="0"/>
          <w:sz w:val="24"/>
        </w:rPr>
        <w:t>5.2. Bên B có trách nhiệm bảo quản nguyên vẹn, không tự ý thay đổi kết cấu chịu lực, không đục phá tường, cơi nới nếu chưa có sự đồng ý bằng văn bản của Bên A.</w:t>
      </w:r>
    </w:p>
    <w:p>
      <w:pPr>
        <w:keepNext/>
        <w:widowControl/>
        <w:spacing w:before="160" w:after="80" w:line="276" w:lineRule="auto"/>
        <w:ind w:left="0" w:firstLine="0"/>
        <w:jc w:val="left"/>
      </w:pPr>
      <w:r>
        <w:rPr>
          <w:rFonts w:ascii="Times New Roman" w:hAnsi="Times New Roman" w:eastAsia="Times New Roman"/>
          <w:b/>
          <w:i w:val="0"/>
          <w:sz w:val="26"/>
        </w:rPr>
        <w:t>ĐIỀU 6. QUYỀN VÀ NGHĨA VỤ CỦA BÊN A</w:t>
      </w:r>
    </w:p>
    <w:p>
      <w:pPr>
        <w:keepNext w:val="0"/>
        <w:widowControl/>
        <w:spacing w:before="0" w:after="80" w:line="276" w:lineRule="auto"/>
        <w:ind w:left="0" w:firstLine="0"/>
        <w:jc w:val="both"/>
      </w:pPr>
      <w:r>
        <w:rPr>
          <w:rFonts w:ascii="Times New Roman" w:hAnsi="Times New Roman" w:eastAsia="Times New Roman"/>
          <w:b w:val="0"/>
          <w:i w:val="0"/>
          <w:sz w:val="24"/>
        </w:rPr>
        <w:t>6.1. Bàn giao nhà và thiết bị đúng hạn; bảo đảm quyền sử dụng độc lập, hợp pháp cho Bên B.</w:t>
      </w:r>
    </w:p>
    <w:p>
      <w:pPr>
        <w:keepNext w:val="0"/>
        <w:widowControl/>
        <w:spacing w:before="0" w:after="80" w:line="276" w:lineRule="auto"/>
        <w:ind w:left="0" w:firstLine="0"/>
        <w:jc w:val="both"/>
      </w:pPr>
      <w:r>
        <w:rPr>
          <w:rFonts w:ascii="Times New Roman" w:hAnsi="Times New Roman" w:eastAsia="Times New Roman"/>
          <w:b w:val="0"/>
          <w:i w:val="0"/>
          <w:sz w:val="24"/>
        </w:rPr>
        <w:t>6.2. Cung cấp tài khoản ngân hàng chính xác để nhận thanh toán; kiểm tra và xác nhận kịp thời khi nhận được tiền.</w:t>
      </w:r>
    </w:p>
    <w:p>
      <w:pPr>
        <w:keepNext w:val="0"/>
        <w:widowControl/>
        <w:spacing w:before="0" w:after="80" w:line="276" w:lineRule="auto"/>
        <w:ind w:left="0" w:firstLine="0"/>
        <w:jc w:val="both"/>
      </w:pPr>
      <w:r>
        <w:rPr>
          <w:rFonts w:ascii="Times New Roman" w:hAnsi="Times New Roman" w:eastAsia="Times New Roman"/>
          <w:b w:val="0"/>
          <w:i w:val="0"/>
          <w:sz w:val="24"/>
        </w:rPr>
        <w:t>6.3. Hướng dẫn thủ tục đăng ký tạm trú theo Luật Cư trú; bảo trì kết cấu căn nhà theo thỏa thuận.</w:t>
      </w:r>
    </w:p>
    <w:p>
      <w:pPr>
        <w:keepNext/>
        <w:widowControl/>
        <w:spacing w:before="160" w:after="80" w:line="276" w:lineRule="auto"/>
        <w:ind w:left="0" w:firstLine="0"/>
        <w:jc w:val="left"/>
      </w:pPr>
      <w:r>
        <w:rPr>
          <w:rFonts w:ascii="Times New Roman" w:hAnsi="Times New Roman" w:eastAsia="Times New Roman"/>
          <w:b/>
          <w:i w:val="0"/>
          <w:sz w:val="26"/>
        </w:rPr>
        <w:t>ĐIỀU 7. QUYỀN VÀ NGHĨA VỤ CỦA BÊN B</w:t>
      </w:r>
    </w:p>
    <w:p>
      <w:pPr>
        <w:keepNext w:val="0"/>
        <w:widowControl/>
        <w:spacing w:before="0" w:after="80" w:line="276" w:lineRule="auto"/>
        <w:ind w:left="0" w:firstLine="0"/>
        <w:jc w:val="both"/>
      </w:pPr>
      <w:r>
        <w:rPr>
          <w:rFonts w:ascii="Times New Roman" w:hAnsi="Times New Roman" w:eastAsia="Times New Roman"/>
          <w:b w:val="0"/>
          <w:i w:val="0"/>
          <w:sz w:val="24"/>
        </w:rPr>
        <w:t>7.1. Sử dụng đúng số lượng người cư trú ({{tenant.occupantCount}} người), đúng số lượng phương tiện đăng ký ({{tenant.motorbikeCount}} xe máy, {{tenant.carCount}} ô tô).</w:t>
      </w:r>
    </w:p>
    <w:p>
      <w:pPr>
        <w:keepNext w:val="0"/>
        <w:widowControl/>
        <w:spacing w:before="0" w:after="80" w:line="276" w:lineRule="auto"/>
        <w:ind w:left="0" w:firstLine="0"/>
        <w:jc w:val="both"/>
      </w:pPr>
      <w:r>
        <w:rPr>
          <w:rFonts w:ascii="Times New Roman" w:hAnsi="Times New Roman" w:eastAsia="Times New Roman"/>
          <w:b w:val="0"/>
          <w:i w:val="0"/>
          <w:sz w:val="24"/>
        </w:rPr>
        <w:t>7.2. Chấp hành tuyệt đối các quy định an toàn PCCC theo Luật PCCC 2024, an ninh trật tự địa phương.</w:t>
      </w:r>
    </w:p>
    <w:p>
      <w:pPr>
        <w:keepNext w:val="0"/>
        <w:widowControl/>
        <w:spacing w:before="0" w:after="80" w:line="276" w:lineRule="auto"/>
        <w:ind w:left="0" w:firstLine="0"/>
        <w:jc w:val="both"/>
      </w:pPr>
      <w:r>
        <w:rPr>
          <w:rFonts w:ascii="Times New Roman" w:hAnsi="Times New Roman" w:eastAsia="Times New Roman"/>
          <w:b w:val="0"/>
          <w:i w:val="0"/>
          <w:sz w:val="24"/>
        </w:rPr>
        <w:t>7.3. Chuyển khoản tiền thuê và chi phí đầy đủ, đúng hạn vào tài khoản ngân hàng của Bên A.</w:t>
      </w:r>
    </w:p>
    <w:p>
      <w:pPr>
        <w:keepNext/>
        <w:widowControl/>
        <w:spacing w:before="160" w:after="80" w:line="276" w:lineRule="auto"/>
        <w:ind w:left="0" w:firstLine="0"/>
        <w:jc w:val="left"/>
      </w:pPr>
      <w:r>
        <w:rPr>
          <w:rFonts w:ascii="Times New Roman" w:hAnsi="Times New Roman" w:eastAsia="Times New Roman"/>
          <w:b/>
          <w:i w:val="0"/>
          <w:sz w:val="26"/>
        </w:rPr>
        <w:t>ĐIỀU 8. ĐIỀU KHOẢN ĐẶC THÙ VỀ THÚ CƯNG VÀ NỘI QUY</w:t>
      </w:r>
    </w:p>
    <w:p>
      <w:pPr>
        <w:keepNext w:val="0"/>
        <w:widowControl/>
        <w:spacing w:before="0" w:after="80" w:line="276" w:lineRule="auto"/>
        <w:ind w:left="0" w:firstLine="0"/>
        <w:jc w:val="both"/>
      </w:pPr>
      <w:r>
        <w:rPr>
          <w:rFonts w:ascii="Times New Roman" w:hAnsi="Times New Roman" w:eastAsia="Times New Roman"/>
          <w:b w:val="0"/>
          <w:i w:val="0"/>
          <w:sz w:val="24"/>
        </w:rPr>
        <w:t>8.1. Quy định về nuôi thú cưng (nếu được phép theo Bảng tiện ích): Bên B cam kết giữ vệ sinh, đảm bảo an toàn, không gây tiếng ồn ảnh hưởng xung quanh và bồi thường 100% nếu gây thiệt hại.</w:t>
      </w:r>
    </w:p>
    <w:p>
      <w:pPr>
        <w:keepNext/>
        <w:widowControl/>
        <w:spacing w:before="160" w:after="80" w:line="276" w:lineRule="auto"/>
        <w:ind w:left="0" w:firstLine="0"/>
        <w:jc w:val="left"/>
      </w:pPr>
      <w:r>
        <w:rPr>
          <w:rFonts w:ascii="Times New Roman" w:hAnsi="Times New Roman" w:eastAsia="Times New Roman"/>
          <w:b/>
          <w:i w:val="0"/>
          <w:sz w:val="26"/>
        </w:rPr>
        <w:t>ĐIỀU 9. CHẤM DỨT HỢP ĐỒNG VÀ GIẢI QUYẾT TRANH CHẤP</w:t>
      </w:r>
    </w:p>
    <w:p>
      <w:pPr>
        <w:keepNext w:val="0"/>
        <w:widowControl/>
        <w:spacing w:before="0" w:after="80" w:line="276" w:lineRule="auto"/>
        <w:ind w:left="0" w:firstLine="0"/>
        <w:jc w:val="both"/>
      </w:pPr>
      <w:r>
        <w:rPr>
          <w:rFonts w:ascii="Times New Roman" w:hAnsi="Times New Roman" w:eastAsia="Times New Roman"/>
          <w:b w:val="0"/>
          <w:i w:val="0"/>
          <w:sz w:val="24"/>
        </w:rPr>
        <w:t>9.1. Bên muốn chấm dứt hợp đồng thực hiện thông báo trước theo thỏa thuận; Bên B hoàn trả nhà, chìa khóa và tài sản bàn giao; số cọc còn phải hoàn được quyết toán và chuyển khoản trực tiếp theo Hợp đồng.</w:t>
      </w:r>
    </w:p>
    <w:p>
      <w:pPr>
        <w:keepNext w:val="0"/>
        <w:widowControl/>
        <w:spacing w:before="0" w:after="80" w:line="276" w:lineRule="auto"/>
        <w:ind w:left="0" w:firstLine="0"/>
        <w:jc w:val="both"/>
      </w:pPr>
      <w:r>
        <w:rPr>
          <w:rFonts w:ascii="Times New Roman" w:hAnsi="Times New Roman" w:eastAsia="Times New Roman"/>
          <w:b w:val="0"/>
          <w:i w:val="0"/>
          <w:sz w:val="24"/>
        </w:rPr>
        <w:t>9.2. Nếu hóa đơn quá hạn, phí chậm thanh toán (nếu có) chỉ tính theo mức và cách tính đã ghi trong điều khoản được điền; không ghi số cố định khác và được ghi riêng trên hóa đơn quá hạn. Khi Bên B khai báo đã chuyển khoản, việc cập nhật phí của khoản đó tạm dừng để đối soát. Từ 00:00 ngày quá hạn thứ 5 theo giờ Việt Nam, chủ nhà có thể cho chuyển công nợ và phí phạt đã chốt sang kỳ tiếp theo nếu còn kỳ; phí của khoản chuyển dừng tăng và khoản cũ chỉ được cộng một lần, hoặc đề nghị hai bên chấm dứt sớm. Nếu Bên B đồng ý chấm dứt sớm, Bên A xác nhận đã thực tế nhận lại nhà, chìa khóa và tài sản rồi mới hoàn tất. Nếu Bên B từ chối, hợp đồng vẫn hiệu lực; Bên A có thể rút đề nghị hoặc xử lý theo đúng điều khoản đã ký sau khi thông báo và thực tế nhận lại nhà, chìa khóa, tài sản. Chỉ sau khi hoàn tất bàn giao mới mở lại tin đăng hoặc cập nhật trạng thái hợp đồng/cọc. Công nợ chưa thanh toán vẫn được theo dõi riêng; HomeSpace không tự thu tiền, giữ tiền hoặc cưỡng chế thu hồi nhà.</w:t>
      </w:r>
    </w:p>
    <w:p>
      <w:pPr>
        <w:keepNext w:val="0"/>
        <w:widowControl/>
        <w:spacing w:before="0" w:after="80" w:line="276" w:lineRule="auto"/>
        <w:ind w:left="0" w:firstLine="0"/>
        <w:jc w:val="both"/>
      </w:pPr>
      <w:r>
        <w:rPr>
          <w:rFonts w:ascii="Times New Roman" w:hAnsi="Times New Roman" w:eastAsia="Times New Roman"/>
          <w:b w:val="0"/>
          <w:i w:val="0"/>
          <w:sz w:val="24"/>
        </w:rPr>
        <w:t>9.3. Toàn văn điều khoản quá hạn, phí chậm trả và phương án chấm dứt đã được backend chốt: {{contract.specialTerms}}</w:t>
      </w:r>
    </w:p>
    <w:p>
      <w:pPr>
        <w:keepNext w:val="0"/>
        <w:widowControl/>
        <w:spacing w:before="0" w:after="80" w:line="276" w:lineRule="auto"/>
        <w:ind w:left="0" w:firstLine="0"/>
        <w:jc w:val="both"/>
      </w:pPr>
      <w:r>
        <w:rPr>
          <w:rFonts w:ascii="Times New Roman" w:hAnsi="Times New Roman" w:eastAsia="Times New Roman"/>
          <w:b w:val="0"/>
          <w:i w:val="0"/>
          <w:sz w:val="24"/>
        </w:rPr>
        <w:t>9.4. Trường hợp bất khả kháng; tranh chấp được ưu tiên giải quyết thông qua thương lượng, trường hợp không đạt thỏa thuận thì giải quyết tại Tòa án có thẩm quyền.</w:t>
      </w:r>
    </w:p>
    <w:p>
      <w:pPr>
        <w:keepNext/>
        <w:widowControl/>
        <w:spacing w:before="160" w:after="80" w:line="276" w:lineRule="auto"/>
        <w:ind w:left="0" w:firstLine="0"/>
        <w:jc w:val="left"/>
      </w:pPr>
      <w:r>
        <w:rPr>
          <w:rFonts w:ascii="Times New Roman" w:hAnsi="Times New Roman" w:eastAsia="Times New Roman"/>
          <w:b/>
          <w:i w:val="0"/>
          <w:sz w:val="26"/>
        </w:rPr>
        <w:t>ĐIỀU 10. GIAO KẾT ĐIỆN TỬ VÀ HIỆU LỰC</w:t>
      </w:r>
    </w:p>
    <w:p>
      <w:pPr>
        <w:keepNext w:val="0"/>
        <w:widowControl/>
        <w:spacing w:before="0" w:after="80" w:line="276" w:lineRule="auto"/>
        <w:ind w:left="0" w:firstLine="0"/>
        <w:jc w:val="both"/>
      </w:pPr>
      <w:r>
        <w:rPr>
          <w:rFonts w:ascii="Times New Roman" w:hAnsi="Times New Roman" w:eastAsia="Times New Roman"/>
          <w:b w:val="0"/>
          <w:i w:val="0"/>
          <w:sz w:val="24"/>
        </w:rPr>
        <w:t>10.1. Hợp đồng được giao kết điện tử/xác nhận thông qua nền tảng HomeSpace phù hợp Luật Giao dịch điện tử.</w:t>
      </w:r>
    </w:p>
    <w:p>
      <w:pPr>
        <w:keepNext w:val="0"/>
        <w:widowControl/>
        <w:spacing w:before="0" w:after="80" w:line="276" w:lineRule="auto"/>
        <w:ind w:left="0" w:firstLine="0"/>
        <w:jc w:val="both"/>
      </w:pPr>
      <w:r>
        <w:rPr>
          <w:rFonts w:ascii="Times New Roman" w:hAnsi="Times New Roman" w:eastAsia="Times New Roman"/>
          <w:b w:val="0"/>
          <w:i w:val="0"/>
          <w:sz w:val="24"/>
        </w:rPr>
        <w:t>10.2. Phiên bản schema: {{contract.schemaVersion}}, Số hiệu bản sửa đổi: {{contract.revisionNumber}}.</w:t>
      </w:r>
    </w:p>
    <w:p>
      <w:pPr>
        <w:keepNext w:val="0"/>
        <w:widowControl/>
        <w:spacing w:before="0" w:after="80" w:line="276" w:lineRule="auto"/>
        <w:ind w:left="0" w:firstLine="0"/>
        <w:jc w:val="both"/>
      </w:pPr>
      <w:r>
        <w:rPr>
          <w:rFonts w:ascii="Times New Roman" w:hAnsi="Times New Roman" w:eastAsia="Times New Roman"/>
          <w:b w:val="0"/>
          <w:i w:val="0"/>
          <w:sz w:val="24"/>
        </w:rPr>
        <w:t>10.3. Hợp đồng có hiệu lực kể từ thời điểm hai bên hoàn tất xác nhận/ký điện tử.</w:t>
      </w:r>
    </w:p>
    <w:sectPr w:rsidR="00FC693F" w:rsidRPr="0006063C" w:rsidSect="00034616">
      <w:headerReference w:type="default" r:id="rId9"/>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Times New Roman" w:hAnsi="Times New Roman" w:eastAsia="Times New Roman"/>
        <w:b w:val="0"/>
        <w:i w:val="0"/>
        <w:color w:val="A0A0A0"/>
        <w:sz w:val="17"/>
      </w:rPr>
      <w:t>HomeSpace | Mẫu hợp đồng điện tử | Nhà nguyên căn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