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 w:line="276" w:lineRule="auto"/>
        <w:ind w:left="0" w:firstLine="0"/>
        <w:jc w:val="center"/>
      </w:pPr>
      <w:r>
        <w:rPr>
          <w:rFonts w:ascii="Times New Roman" w:hAnsi="Times New Roman" w:eastAsia="Times New Roman"/>
          <w:b/>
          <w:i w:val="0"/>
          <w:sz w:val="25"/>
        </w:rPr>
        <w:t>CỘNG HÒA XÃ HỘI CHỦ NGHĨA VIỆT NAM</w:t>
      </w:r>
    </w:p>
    <w:p>
      <w:pPr>
        <w:keepNext w:val="0"/>
        <w:widowControl/>
        <w:spacing w:before="0" w:after="240" w:line="276" w:lineRule="auto"/>
        <w:ind w:left="0" w:firstLine="0"/>
        <w:jc w:val="center"/>
      </w:pPr>
      <w:r>
        <w:rPr>
          <w:rFonts w:ascii="Times New Roman" w:hAnsi="Times New Roman" w:eastAsia="Times New Roman"/>
          <w:b/>
          <w:i w:val="0"/>
          <w:sz w:val="25"/>
        </w:rPr>
        <w:t>Độc lập - Tự do - Hạnh phúc</w:t>
      </w:r>
    </w:p>
    <w:p>
      <w:pPr>
        <w:keepNext w:val="0"/>
        <w:widowControl/>
        <w:spacing w:before="0" w:after="60" w:line="276" w:lineRule="auto"/>
        <w:ind w:left="0" w:firstLine="0"/>
        <w:jc w:val="center"/>
      </w:pPr>
      <w:r>
        <w:rPr>
          <w:rFonts w:ascii="Times New Roman" w:hAnsi="Times New Roman" w:eastAsia="Times New Roman"/>
          <w:b/>
          <w:i w:val="0"/>
          <w:sz w:val="32"/>
        </w:rPr>
        <w:t>HỢP ĐỒNG THUÊ CĂN HỘ CHUNG CƯ</w:t>
      </w:r>
    </w:p>
    <w:p>
      <w:pPr>
        <w:keepNext w:val="0"/>
        <w:widowControl/>
        <w:spacing w:before="0" w:after="160" w:line="276" w:lineRule="auto"/>
        <w:ind w:left="0" w:firstLine="0"/>
        <w:jc w:val="center"/>
      </w:pPr>
      <w:r>
        <w:rPr>
          <w:rFonts w:ascii="Times New Roman" w:hAnsi="Times New Roman" w:eastAsia="Times New Roman"/>
          <w:b w:val="0"/>
          <w:i w:val="0"/>
          <w:sz w:val="23"/>
        </w:rPr>
        <w:t>Số: {{contract.number}} - Ngày ký: {{contract.signingDate}} tại {{contract.signingCity}}.</w:t>
      </w:r>
    </w:p>
    <w:p>
      <w:pPr>
        <w:keepNext/>
        <w:widowControl/>
        <w:spacing w:before="160" w:after="80" w:line="276" w:lineRule="auto"/>
        <w:ind w:left="0" w:firstLine="0"/>
        <w:jc w:val="left"/>
      </w:pPr>
      <w:r>
        <w:rPr>
          <w:rFonts w:ascii="Times New Roman" w:hAnsi="Times New Roman" w:eastAsia="Times New Roman"/>
          <w:b/>
          <w:i w:val="0"/>
          <w:sz w:val="26"/>
        </w:rPr>
        <w:t>CĂN CỨ PHÁP LÝ</w:t>
      </w:r>
    </w:p>
    <w:p>
      <w:pPr>
        <w:keepNext w:val="0"/>
        <w:widowControl/>
        <w:spacing w:before="0" w:after="60" w:line="276" w:lineRule="auto"/>
        <w:ind w:left="227" w:hanging="170"/>
        <w:jc w:val="both"/>
      </w:pPr>
      <w:r>
        <w:rPr>
          <w:rFonts w:ascii="Times New Roman" w:hAnsi="Times New Roman" w:eastAsia="Times New Roman"/>
          <w:b w:val="0"/>
          <w:i w:val="0"/>
          <w:sz w:val="24"/>
        </w:rPr>
        <w:t>• Bộ luật Dân sự số 91/2015/QH13;</w:t>
      </w:r>
    </w:p>
    <w:p>
      <w:pPr>
        <w:keepNext w:val="0"/>
        <w:widowControl/>
        <w:spacing w:before="0" w:after="60" w:line="276" w:lineRule="auto"/>
        <w:ind w:left="227" w:hanging="170"/>
        <w:jc w:val="both"/>
      </w:pPr>
      <w:r>
        <w:rPr>
          <w:rFonts w:ascii="Times New Roman" w:hAnsi="Times New Roman" w:eastAsia="Times New Roman"/>
          <w:b w:val="0"/>
          <w:i w:val="0"/>
          <w:sz w:val="24"/>
        </w:rPr>
        <w:t>• Luật Nhà ở số 27/2023/QH15 và quy chế quản lý, sử dụng nhà chung cư hiện hành;</w:t>
      </w:r>
    </w:p>
    <w:p>
      <w:pPr>
        <w:keepNext w:val="0"/>
        <w:widowControl/>
        <w:spacing w:before="0" w:after="60" w:line="276" w:lineRule="auto"/>
        <w:ind w:left="227" w:hanging="170"/>
        <w:jc w:val="both"/>
      </w:pPr>
      <w:r>
        <w:rPr>
          <w:rFonts w:ascii="Times New Roman" w:hAnsi="Times New Roman" w:eastAsia="Times New Roman"/>
          <w:b w:val="0"/>
          <w:i w:val="0"/>
          <w:sz w:val="24"/>
        </w:rPr>
        <w:t>• Luật Giao dịch điện tử số 20/2023/QH15;</w:t>
      </w:r>
    </w:p>
    <w:p>
      <w:pPr>
        <w:keepNext w:val="0"/>
        <w:widowControl/>
        <w:spacing w:before="0" w:after="60" w:line="276" w:lineRule="auto"/>
        <w:ind w:left="227" w:hanging="170"/>
        <w:jc w:val="both"/>
      </w:pPr>
      <w:r>
        <w:rPr>
          <w:rFonts w:ascii="Times New Roman" w:hAnsi="Times New Roman" w:eastAsia="Times New Roman"/>
          <w:b w:val="0"/>
          <w:i w:val="0"/>
          <w:sz w:val="24"/>
        </w:rPr>
        <w:t>• Luật Cư trú số 68/2020/QH14;</w:t>
      </w:r>
    </w:p>
    <w:p>
      <w:pPr>
        <w:keepNext w:val="0"/>
        <w:widowControl/>
        <w:spacing w:before="0" w:after="60" w:line="276" w:lineRule="auto"/>
        <w:ind w:left="227" w:hanging="170"/>
        <w:jc w:val="both"/>
      </w:pPr>
      <w:r>
        <w:rPr>
          <w:rFonts w:ascii="Times New Roman" w:hAnsi="Times New Roman" w:eastAsia="Times New Roman"/>
          <w:b w:val="0"/>
          <w:i w:val="0"/>
          <w:sz w:val="24"/>
        </w:rPr>
        <w:t>• Luật Phòng cháy, chữa cháy và cứu nạn, cứu hộ số 55/2024/QH15;</w:t>
      </w:r>
    </w:p>
    <w:p>
      <w:pPr>
        <w:keepNext w:val="0"/>
        <w:widowControl/>
        <w:spacing w:before="0" w:after="60" w:line="276" w:lineRule="auto"/>
        <w:ind w:left="227" w:hanging="170"/>
        <w:jc w:val="both"/>
      </w:pPr>
      <w:r>
        <w:rPr>
          <w:rFonts w:ascii="Times New Roman" w:hAnsi="Times New Roman" w:eastAsia="Times New Roman"/>
          <w:b w:val="0"/>
          <w:i w:val="0"/>
          <w:sz w:val="24"/>
        </w:rPr>
        <w:t>• Luật Kinh doanh bất động sản số 29/2023/QH15 (trong phạm vi áp dụng).</w:t>
      </w:r>
    </w:p>
    <w:p>
      <w:pPr>
        <w:keepNext/>
        <w:widowControl/>
        <w:spacing w:before="160" w:after="80" w:line="276" w:lineRule="auto"/>
        <w:ind w:left="0" w:firstLine="0"/>
        <w:jc w:val="left"/>
      </w:pPr>
      <w:r>
        <w:rPr>
          <w:rFonts w:ascii="Times New Roman" w:hAnsi="Times New Roman" w:eastAsia="Times New Roman"/>
          <w:b/>
          <w:i w:val="0"/>
          <w:sz w:val="26"/>
        </w:rPr>
        <w:t>THÔNG TIN CÁC BÊN</w:t>
      </w:r>
    </w:p>
    <w:p>
      <w:pPr>
        <w:keepNext w:val="0"/>
        <w:widowControl/>
        <w:spacing w:before="0" w:after="40" w:line="276" w:lineRule="auto"/>
        <w:ind w:left="0" w:firstLine="0"/>
        <w:jc w:val="left"/>
      </w:pPr>
      <w:r>
        <w:rPr>
          <w:rFonts w:ascii="Times New Roman" w:hAnsi="Times New Roman" w:eastAsia="Times New Roman"/>
          <w:b/>
          <w:i w:val="0"/>
          <w:sz w:val="24"/>
        </w:rPr>
        <w:t xml:space="preserve">BÊN CHO THUÊ (BÊN A): </w:t>
      </w:r>
      <w:r>
        <w:rPr>
          <w:rFonts w:ascii="Times New Roman" w:hAnsi="Times New Roman" w:eastAsia="Times New Roman"/>
          <w:b w:val="0"/>
          <w:i w:val="0"/>
          <w:sz w:val="24"/>
        </w:rPr>
        <w:t>{{landlord.fullName}}</w:t>
      </w:r>
    </w:p>
    <w:p>
      <w:pPr>
        <w:keepNext w:val="0"/>
        <w:widowControl/>
        <w:spacing w:before="0" w:after="80" w:line="276" w:lineRule="auto"/>
        <w:ind w:left="0" w:firstLine="0"/>
        <w:jc w:val="left"/>
      </w:pPr>
      <w:r>
        <w:rPr>
          <w:rFonts w:ascii="Times New Roman" w:hAnsi="Times New Roman" w:eastAsia="Times New Roman"/>
          <w:b w:val="0"/>
          <w:i w:val="0"/>
          <w:sz w:val="24"/>
        </w:rPr>
        <w:t>CCCD/Hộ chiếu: {{landlord.idNumber}}; Thường trú: {{landlord.permanentAddress}}.</w:t>
      </w:r>
    </w:p>
    <w:p>
      <w:pPr>
        <w:keepNext w:val="0"/>
        <w:widowControl/>
        <w:spacing w:before="0" w:after="80" w:line="276" w:lineRule="auto"/>
        <w:ind w:left="0" w:firstLine="0"/>
        <w:jc w:val="left"/>
      </w:pPr>
      <w:r>
        <w:rPr>
          <w:rFonts w:ascii="Times New Roman" w:hAnsi="Times New Roman" w:eastAsia="Times New Roman"/>
          <w:b w:val="0"/>
          <w:i w:val="0"/>
          <w:sz w:val="24"/>
        </w:rPr>
        <w:t>Điện thoại: {{landlord.phone}}; Email: {{landlord.email}}.</w:t>
      </w:r>
    </w:p>
    <w:p>
      <w:pPr>
        <w:keepNext w:val="0"/>
        <w:widowControl/>
        <w:spacing w:before="0" w:after="80" w:line="276" w:lineRule="auto"/>
        <w:ind w:left="0" w:firstLine="0"/>
        <w:jc w:val="left"/>
      </w:pPr>
      <w:r>
        <w:rPr>
          <w:rFonts w:ascii="Times New Roman" w:hAnsi="Times New Roman" w:eastAsia="Times New Roman"/>
          <w:b w:val="0"/>
          <w:i w:val="0"/>
          <w:sz w:val="24"/>
        </w:rPr>
        <w:t>Tài khoản nhận thanh toán: Chủ tài khoản: {{landlord.bankAccountHolder}} - Số tài khoản: {{landlord.bankAccountNumber}} - Ngân hàng: {{landlord.bankName}}.</w:t>
      </w:r>
    </w:p>
    <w:p>
      <w:pPr>
        <w:keepNext w:val="0"/>
        <w:widowControl/>
        <w:spacing w:before="60" w:after="40" w:line="276" w:lineRule="auto"/>
        <w:ind w:left="0" w:firstLine="0"/>
        <w:jc w:val="left"/>
      </w:pPr>
      <w:r>
        <w:rPr>
          <w:rFonts w:ascii="Times New Roman" w:hAnsi="Times New Roman" w:eastAsia="Times New Roman"/>
          <w:b/>
          <w:i w:val="0"/>
          <w:sz w:val="24"/>
        </w:rPr>
        <w:t xml:space="preserve">BÊN THUÊ (BÊN B): </w:t>
      </w:r>
      <w:r>
        <w:rPr>
          <w:rFonts w:ascii="Times New Roman" w:hAnsi="Times New Roman" w:eastAsia="Times New Roman"/>
          <w:b w:val="0"/>
          <w:i w:val="0"/>
          <w:sz w:val="24"/>
        </w:rPr>
        <w:t>{{tenant.fullName}}</w:t>
      </w:r>
    </w:p>
    <w:p>
      <w:pPr>
        <w:keepNext w:val="0"/>
        <w:widowControl/>
        <w:spacing w:before="0" w:after="80" w:line="276" w:lineRule="auto"/>
        <w:ind w:left="0" w:firstLine="0"/>
        <w:jc w:val="left"/>
      </w:pPr>
      <w:r>
        <w:rPr>
          <w:rFonts w:ascii="Times New Roman" w:hAnsi="Times New Roman" w:eastAsia="Times New Roman"/>
          <w:b w:val="0"/>
          <w:i w:val="0"/>
          <w:sz w:val="24"/>
        </w:rPr>
        <w:t>CCCD/Hộ chiếu: {{tenant.idNumber}}; Thường trú: {{tenant.permanentAddress}}.</w:t>
      </w:r>
    </w:p>
    <w:p>
      <w:pPr>
        <w:keepNext w:val="0"/>
        <w:widowControl/>
        <w:spacing w:before="0" w:after="80" w:line="276" w:lineRule="auto"/>
        <w:ind w:left="0" w:firstLine="0"/>
        <w:jc w:val="left"/>
      </w:pPr>
      <w:r>
        <w:rPr>
          <w:rFonts w:ascii="Times New Roman" w:hAnsi="Times New Roman" w:eastAsia="Times New Roman"/>
          <w:b w:val="0"/>
          <w:i w:val="0"/>
          <w:sz w:val="24"/>
        </w:rPr>
        <w:t>Điện thoại: {{tenant.phone}}; Email: {{tenant.email}}.</w:t>
      </w:r>
    </w:p>
    <w:p>
      <w:pPr>
        <w:keepNext w:val="0"/>
        <w:widowControl/>
        <w:spacing w:before="0" w:after="80" w:line="276" w:lineRule="auto"/>
        <w:ind w:left="0" w:firstLine="0"/>
        <w:jc w:val="left"/>
      </w:pPr>
      <w:r>
        <w:rPr>
          <w:rFonts w:ascii="Times New Roman" w:hAnsi="Times New Roman" w:eastAsia="Times New Roman"/>
          <w:b w:val="0"/>
          <w:i w:val="0"/>
          <w:sz w:val="24"/>
        </w:rPr>
        <w:t>Số người cư trú: {{tenant.occupantCount}}; Xe máy đăng ký: {{tenant.motorbikeCount}}; Ô tô đăng ký: {{tenant.carCount}}.</w:t>
      </w:r>
    </w:p>
    <w:p>
      <w:pPr>
        <w:keepNext w:val="0"/>
        <w:widowControl/>
        <w:spacing w:before="0" w:after="80" w:line="276" w:lineRule="auto"/>
        <w:ind w:left="0" w:firstLine="0"/>
        <w:jc w:val="left"/>
      </w:pPr>
      <w:r>
        <w:rPr>
          <w:rFonts w:ascii="Times New Roman" w:hAnsi="Times New Roman" w:eastAsia="Times New Roman"/>
          <w:b w:val="0"/>
          <w:i w:val="0"/>
          <w:sz w:val="24"/>
        </w:rPr>
        <w:t>Tài khoản nhận hoàn trả: Chủ tài khoản: {{tenant.bankAccountHolder}} - Số tài khoản: {{tenant.bankAccountNumber}} - Ngân hàng: {{tenant.bankName}}.</w:t>
      </w:r>
    </w:p>
    <w:p>
      <w:pPr>
        <w:keepNext/>
        <w:widowControl/>
        <w:spacing w:before="160" w:after="80" w:line="276" w:lineRule="auto"/>
        <w:ind w:left="0" w:firstLine="0"/>
        <w:jc w:val="left"/>
      </w:pPr>
      <w:r>
        <w:rPr>
          <w:rFonts w:ascii="Times New Roman" w:hAnsi="Times New Roman" w:eastAsia="Times New Roman"/>
          <w:b/>
          <w:i w:val="0"/>
          <w:sz w:val="26"/>
        </w:rPr>
        <w:t>ĐIỀU 1. ĐỐI TƯỢNG VÀ ĐẶC ĐIỂM CĂN HỘ CHO THUÊ</w:t>
      </w:r>
    </w:p>
    <w:p>
      <w:pPr>
        <w:keepNext w:val="0"/>
        <w:widowControl/>
        <w:spacing w:before="0" w:after="80" w:line="276" w:lineRule="auto"/>
        <w:ind w:left="0" w:firstLine="0"/>
        <w:jc w:val="both"/>
      </w:pPr>
      <w:r>
        <w:rPr>
          <w:rFonts w:ascii="Times New Roman" w:hAnsi="Times New Roman" w:eastAsia="Times New Roman"/>
          <w:b w:val="0"/>
          <w:i w:val="0"/>
          <w:sz w:val="24"/>
        </w:rPr>
        <w:t>1.1. Bên A cho Bên B thuê căn hộ: {{property.unitNumber}}, tọa lạc tại tầng {{property.floor}}, thuộc địa chỉ: {{property.fullAddress}}.</w:t>
      </w:r>
    </w:p>
    <w:p>
      <w:pPr>
        <w:keepNext w:val="0"/>
        <w:widowControl/>
        <w:spacing w:before="0" w:after="80" w:line="276" w:lineRule="auto"/>
        <w:ind w:left="0" w:firstLine="0"/>
        <w:jc w:val="both"/>
      </w:pPr>
      <w:r>
        <w:rPr>
          <w:rFonts w:ascii="Times New Roman" w:hAnsi="Times New Roman" w:eastAsia="Times New Roman"/>
          <w:b w:val="0"/>
          <w:i w:val="0"/>
          <w:sz w:val="24"/>
        </w:rPr>
        <w:t>1.2. Diện tích căn hộ: {{property.areaText}}; Loại tài sản: {{property.propertyType}}; Phạm vi thuê: {{property.rentalScope}}; Mã tin đăng: {{property.listingCode}}.</w:t>
      </w:r>
    </w:p>
    <w:p>
      <w:pPr>
        <w:keepNext w:val="0"/>
        <w:widowControl/>
        <w:spacing w:before="0" w:after="80" w:line="276" w:lineRule="auto"/>
        <w:ind w:left="0" w:firstLine="0"/>
        <w:jc w:val="both"/>
      </w:pPr>
      <w:r>
        <w:rPr>
          <w:rFonts w:ascii="Times New Roman" w:hAnsi="Times New Roman" w:eastAsia="Times New Roman"/>
          <w:b w:val="0"/>
          <w:i w:val="0"/>
          <w:sz w:val="24"/>
        </w:rPr>
        <w:t>1.3. Số người tối đa cho phép: {{property.maxOccupants}}; Số xe tối đa cho phép: {{property.maxVehicles}}.</w:t>
      </w:r>
    </w:p>
    <w:p>
      <w:pPr>
        <w:keepNext/>
        <w:widowControl/>
        <w:spacing w:before="0" w:after="80" w:line="276" w:lineRule="auto"/>
        <w:ind w:left="0" w:firstLine="0"/>
        <w:jc w:val="both"/>
      </w:pPr>
      <w:r>
        <w:rPr>
          <w:rFonts w:ascii="Times New Roman" w:hAnsi="Times New Roman" w:eastAsia="Times New Roman"/>
          <w:b w:val="0"/>
          <w:i w:val="0"/>
          <w:sz w:val="24"/>
        </w:rPr>
        <w:t>1.4. Bảng thông số chi tiết của căn hộ:</w:t>
      </w:r>
    </w:p>
    <w:p>
      <w:pPr>
        <w:keepNext w:val="0"/>
        <w:widowControl/>
        <w:spacing w:before="20" w:after="100" w:line="276" w:lineRule="auto"/>
        <w:ind w:left="0" w:firstLine="0"/>
        <w:jc w:val="left"/>
      </w:pPr>
      <w:r>
        <w:rPr>
          <w:rFonts w:ascii="Times New Roman" w:hAnsi="Times New Roman" w:eastAsia="Times New Roman"/>
          <w:b w:val="0"/>
          <w:i w:val="0"/>
          <w:sz w:val="24"/>
        </w:rPr>
        <w:t>{{#propertyFeaturesTable}}</w:t>
      </w:r>
    </w:p>
    <w:p>
      <w:pPr>
        <w:keepNext w:val="0"/>
        <w:widowControl/>
        <w:spacing w:before="0" w:after="80" w:line="276" w:lineRule="auto"/>
        <w:ind w:left="0" w:firstLine="0"/>
        <w:jc w:val="both"/>
      </w:pPr>
      <w:r>
        <w:rPr>
          <w:rFonts w:ascii="Times New Roman" w:hAnsi="Times New Roman" w:eastAsia="Times New Roman"/>
          <w:b w:val="0"/>
          <w:i w:val="0"/>
          <w:sz w:val="24"/>
        </w:rPr>
        <w:t>1.5. Mục đích sử dụng: Dùng để ở và sinh hoạt hợp pháp của hộ gia đình/cá nhân cư trú.</w:t>
      </w:r>
    </w:p>
    <w:p>
      <w:pPr>
        <w:keepNext/>
        <w:widowControl/>
        <w:spacing w:before="160" w:after="80" w:line="276" w:lineRule="auto"/>
        <w:ind w:left="0" w:firstLine="0"/>
        <w:jc w:val="left"/>
      </w:pPr>
      <w:r>
        <w:rPr>
          <w:rFonts w:ascii="Times New Roman" w:hAnsi="Times New Roman" w:eastAsia="Times New Roman"/>
          <w:b/>
          <w:i w:val="0"/>
          <w:sz w:val="26"/>
        </w:rPr>
        <w:t>ĐIỀU 2. THỜI HẠN THUÊ VÀ BÀN GIAO CĂN HỘ</w:t>
      </w:r>
    </w:p>
    <w:p>
      <w:pPr>
        <w:keepNext w:val="0"/>
        <w:widowControl/>
        <w:spacing w:before="0" w:after="80" w:line="276" w:lineRule="auto"/>
        <w:ind w:left="0" w:firstLine="0"/>
        <w:jc w:val="both"/>
      </w:pPr>
      <w:r>
        <w:rPr>
          <w:rFonts w:ascii="Times New Roman" w:hAnsi="Times New Roman" w:eastAsia="Times New Roman"/>
          <w:b w:val="0"/>
          <w:i w:val="0"/>
          <w:sz w:val="24"/>
        </w:rPr>
        <w:t>2.1. Thời hạn thuê: {{lease.durationText}} ({{lease.durationMonths}} tháng), từ ngày {{lease.startDateText}} đến ngày {{lease.endDateText}}.</w:t>
      </w:r>
    </w:p>
    <w:p>
      <w:pPr>
        <w:keepNext w:val="0"/>
        <w:widowControl/>
        <w:spacing w:before="0" w:after="80" w:line="276" w:lineRule="auto"/>
        <w:ind w:left="0" w:firstLine="0"/>
        <w:jc w:val="both"/>
      </w:pPr>
      <w:r>
        <w:rPr>
          <w:rFonts w:ascii="Times New Roman" w:hAnsi="Times New Roman" w:eastAsia="Times New Roman"/>
          <w:b w:val="0"/>
          <w:i w:val="0"/>
          <w:sz w:val="24"/>
        </w:rPr>
        <w:t>2.2. Ngày bàn giao: {{lease.handoverDateText}}.</w:t>
      </w:r>
    </w:p>
    <w:p>
      <w:pPr>
        <w:keepNext w:val="0"/>
        <w:widowControl/>
        <w:spacing w:before="0" w:after="80" w:line="276" w:lineRule="auto"/>
        <w:ind w:left="0" w:firstLine="0"/>
        <w:jc w:val="both"/>
      </w:pPr>
      <w:r>
        <w:rPr>
          <w:rFonts w:ascii="Times New Roman" w:hAnsi="Times New Roman" w:eastAsia="Times New Roman"/>
          <w:b w:val="0"/>
          <w:i w:val="0"/>
          <w:sz w:val="24"/>
        </w:rPr>
        <w:t>2.3. Chỉ số điện ban đầu: {{meters.electricityInitial}}; nước ban đầu: {{meters.waterInitial}} (hoặc lập tại Biên bản bàn giao khi nhận bàn giao căn hộ).</w:t>
      </w:r>
    </w:p>
    <w:p>
      <w:pPr>
        <w:keepNext/>
        <w:widowControl/>
        <w:spacing w:before="160" w:after="80" w:line="276" w:lineRule="auto"/>
        <w:ind w:left="0" w:firstLine="0"/>
        <w:jc w:val="left"/>
      </w:pPr>
      <w:r>
        <w:rPr>
          <w:rFonts w:ascii="Times New Roman" w:hAnsi="Times New Roman" w:eastAsia="Times New Roman"/>
          <w:b/>
          <w:i w:val="0"/>
          <w:sz w:val="26"/>
        </w:rPr>
        <w:t>ĐIỀU 3. GIÁ THUÊ, TIỀN CỌC VÀ CHUYỂN KHOẢN TRỰC TIẾP</w:t>
      </w:r>
    </w:p>
    <w:p>
      <w:pPr>
        <w:keepNext w:val="0"/>
        <w:widowControl/>
        <w:spacing w:before="0" w:after="80" w:line="276" w:lineRule="auto"/>
        <w:ind w:left="0" w:firstLine="0"/>
        <w:jc w:val="both"/>
      </w:pPr>
      <w:r>
        <w:rPr>
          <w:rFonts w:ascii="Times New Roman" w:hAnsi="Times New Roman" w:eastAsia="Times New Roman"/>
          <w:b w:val="0"/>
          <w:i w:val="0"/>
          <w:sz w:val="24"/>
        </w:rPr>
        <w:t>3.1. Giá thuê căn hộ: {{rent.amountNumber}} (Bằng chữ: {{rent.amountWords}}).</w:t>
      </w:r>
    </w:p>
    <w:p>
      <w:pPr>
        <w:keepNext w:val="0"/>
        <w:widowControl/>
        <w:spacing w:before="0" w:after="80" w:line="276" w:lineRule="auto"/>
        <w:ind w:left="0" w:firstLine="0"/>
        <w:jc w:val="both"/>
      </w:pPr>
      <w:r>
        <w:rPr>
          <w:rFonts w:ascii="Times New Roman" w:hAnsi="Times New Roman" w:eastAsia="Times New Roman"/>
          <w:b w:val="0"/>
          <w:i w:val="0"/>
          <w:sz w:val="24"/>
        </w:rPr>
        <w:t>3.2. Chu kỳ thanh toán: {{rent.paymentCycle}}; Hạn thanh toán định kỳ: {{rent.paymentDueDay}}.</w:t>
      </w:r>
    </w:p>
    <w:p>
      <w:pPr>
        <w:keepNext w:val="0"/>
        <w:widowControl/>
        <w:spacing w:before="0" w:after="80" w:line="276" w:lineRule="auto"/>
        <w:ind w:left="0" w:firstLine="0"/>
        <w:jc w:val="both"/>
      </w:pPr>
      <w:r>
        <w:rPr>
          <w:rFonts w:ascii="Times New Roman" w:hAnsi="Times New Roman" w:eastAsia="Times New Roman"/>
          <w:b w:val="0"/>
          <w:i w:val="0"/>
          <w:sz w:val="24"/>
        </w:rPr>
        <w:t>3.3. Phương thức thanh toán: {{rent.paymentMethod}}.</w:t>
      </w:r>
    </w:p>
    <w:p>
      <w:pPr>
        <w:keepNext w:val="0"/>
        <w:widowControl/>
        <w:spacing w:before="0" w:after="80" w:line="276" w:lineRule="auto"/>
        <w:ind w:left="0" w:firstLine="0"/>
        <w:jc w:val="both"/>
      </w:pPr>
      <w:r>
        <w:rPr>
          <w:rFonts w:ascii="Times New Roman" w:hAnsi="Times New Roman" w:eastAsia="Times New Roman"/>
          <w:b w:val="0"/>
          <w:i w:val="0"/>
          <w:sz w:val="24"/>
        </w:rPr>
        <w:t>3.4. Tiền đặt cọc: {{deposit.amountNumber}} (Bằng chữ: {{deposit.amountWords}}).</w:t>
      </w:r>
    </w:p>
    <w:p>
      <w:pPr>
        <w:keepNext w:val="0"/>
        <w:widowControl/>
        <w:spacing w:before="0" w:after="80" w:line="276" w:lineRule="auto"/>
        <w:ind w:left="0" w:firstLine="0"/>
        <w:jc w:val="both"/>
      </w:pPr>
      <w:r>
        <w:rPr>
          <w:rFonts w:ascii="Times New Roman" w:hAnsi="Times New Roman" w:eastAsia="Times New Roman"/>
          <w:b w:val="0"/>
          <w:i w:val="0"/>
          <w:sz w:val="24"/>
        </w:rPr>
        <w:t>3.5. Điều kiện hoàn cọc: {{deposit.description}}.</w:t>
      </w:r>
    </w:p>
    <w:p>
      <w:pPr>
        <w:keepNext w:val="0"/>
        <w:widowControl/>
        <w:spacing w:before="0" w:after="80" w:line="276" w:lineRule="auto"/>
        <w:ind w:left="0" w:firstLine="0"/>
        <w:jc w:val="both"/>
      </w:pPr>
      <w:r>
        <w:rPr>
          <w:rFonts w:ascii="Times New Roman" w:hAnsi="Times New Roman" w:eastAsia="Times New Roman"/>
          <w:b w:val="0"/>
          <w:i w:val="0"/>
          <w:sz w:val="24"/>
        </w:rPr>
        <w:t>3.6. Khoản ban đầu gồm thuê kỳ đầu và cọc; không thu lại tiền thuê kỳ đầu ở hóa đơn quyết toán kỳ đầu. Hóa đơn sau thu phí quản lý/gửi xe/điện/nước thực dùng của kỳ vừa qua và tiền thuê kỳ sau nếu còn thời hạn; kỳ cuối không thu thêm tiền thuê ngoài hợp đồng. Hạn theo {{rent.paymentDueDay}} và hóa đơn, không theo ngày 05 cố định.</w:t>
      </w:r>
    </w:p>
    <w:p>
      <w:pPr>
        <w:keepNext/>
        <w:widowControl/>
        <w:spacing w:before="0" w:after="80" w:line="276" w:lineRule="auto"/>
        <w:ind w:left="0" w:firstLine="0"/>
        <w:jc w:val="both"/>
      </w:pPr>
      <w:r>
        <w:rPr>
          <w:rFonts w:ascii="Times New Roman" w:hAnsi="Times New Roman" w:eastAsia="Times New Roman"/>
          <w:b w:val="0"/>
          <w:i w:val="0"/>
          <w:sz w:val="24"/>
        </w:rPr>
        <w:t>3.7. Quy định chi tiết về chuyển khoản trực tiếp và vai trò HomeSpace:</w:t>
      </w:r>
    </w:p>
    <w:p>
      <w:pPr>
        <w:keepNext w:val="0"/>
        <w:widowControl/>
        <w:spacing w:before="0" w:after="60" w:line="276" w:lineRule="auto"/>
        <w:ind w:left="227" w:hanging="170"/>
        <w:jc w:val="both"/>
      </w:pPr>
      <w:r>
        <w:rPr>
          <w:rFonts w:ascii="Times New Roman" w:hAnsi="Times New Roman" w:eastAsia="Times New Roman"/>
          <w:b w:val="0"/>
          <w:i w:val="0"/>
          <w:sz w:val="24"/>
        </w:rPr>
        <w:t>+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keepNext w:val="0"/>
        <w:widowControl/>
        <w:spacing w:before="0" w:after="60" w:line="276" w:lineRule="auto"/>
        <w:ind w:left="227" w:hanging="170"/>
        <w:jc w:val="both"/>
      </w:pPr>
      <w:r>
        <w:rPr>
          <w:rFonts w:ascii="Times New Roman" w:hAnsi="Times New Roman" w:eastAsia="Times New Roman"/>
          <w:b w:val="0"/>
          <w:i w:val="0"/>
          <w:sz w:val="24"/>
        </w:rPr>
        <w:t>+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keepNext w:val="0"/>
        <w:widowControl/>
        <w:spacing w:before="0" w:after="60" w:line="276" w:lineRule="auto"/>
        <w:ind w:left="227" w:hanging="170"/>
        <w:jc w:val="both"/>
      </w:pPr>
      <w:r>
        <w:rPr>
          <w:rFonts w:ascii="Times New Roman" w:hAnsi="Times New Roman" w:eastAsia="Times New Roman"/>
          <w:b w:val="0"/>
          <w:i w:val="0"/>
          <w:sz w:val="24"/>
        </w:rPr>
        <w:t>+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keepNext w:val="0"/>
        <w:widowControl/>
        <w:spacing w:before="0" w:after="60" w:line="276" w:lineRule="auto"/>
        <w:ind w:left="227" w:hanging="170"/>
        <w:jc w:val="both"/>
      </w:pPr>
      <w:r>
        <w:rPr>
          <w:rFonts w:ascii="Times New Roman" w:hAnsi="Times New Roman" w:eastAsia="Times New Roman"/>
          <w:b w:val="0"/>
          <w:i w:val="0"/>
          <w:sz w:val="24"/>
        </w:rPr>
        <w:t>+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keepNext w:val="0"/>
        <w:widowControl/>
        <w:spacing w:before="0" w:after="60" w:line="276" w:lineRule="auto"/>
        <w:ind w:left="227" w:hanging="170"/>
        <w:jc w:val="both"/>
      </w:pPr>
      <w:r>
        <w:rPr>
          <w:rFonts w:ascii="Times New Roman" w:hAnsi="Times New Roman" w:eastAsia="Times New Roman"/>
          <w:b w:val="0"/>
          <w:i w:val="0"/>
          <w:sz w:val="24"/>
        </w:rPr>
        <w:t>+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keepNext w:val="0"/>
        <w:widowControl/>
        <w:spacing w:before="0" w:after="60" w:line="276" w:lineRule="auto"/>
        <w:ind w:left="227" w:hanging="170"/>
        <w:jc w:val="both"/>
      </w:pPr>
      <w:r>
        <w:rPr>
          <w:rFonts w:ascii="Times New Roman" w:hAnsi="Times New Roman" w:eastAsia="Times New Roman"/>
          <w:b w:val="0"/>
          <w:i w:val="0"/>
          <w:sz w:val="24"/>
        </w:rPr>
        <w:t>+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keepNext w:val="0"/>
        <w:widowControl/>
        <w:spacing w:before="0" w:after="60" w:line="276" w:lineRule="auto"/>
        <w:ind w:left="227" w:hanging="170"/>
        <w:jc w:val="both"/>
      </w:pPr>
      <w:r>
        <w:rPr>
          <w:rFonts w:ascii="Times New Roman" w:hAnsi="Times New Roman" w:eastAsia="Times New Roman"/>
          <w:b w:val="0"/>
          <w:i w:val="0"/>
          <w:sz w:val="24"/>
        </w:rPr>
        <w:t>+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keepNext/>
        <w:widowControl/>
        <w:spacing w:before="0" w:after="80" w:line="276" w:lineRule="auto"/>
        <w:ind w:left="0" w:firstLine="0"/>
        <w:jc w:val="both"/>
      </w:pPr>
      <w:r>
        <w:rPr>
          <w:rFonts w:ascii="Times New Roman" w:hAnsi="Times New Roman" w:eastAsia="Times New Roman"/>
          <w:b w:val="0"/>
          <w:i w:val="0"/>
          <w:sz w:val="24"/>
        </w:rPr>
        <w:t>3.8. Bảng ghi nhận thanh toán ban đầu đã được hai bên xác nhận:</w:t>
      </w:r>
    </w:p>
    <w:p>
      <w:pPr>
        <w:keepNext w:val="0"/>
        <w:widowControl/>
        <w:spacing w:before="20" w:after="100" w:line="276" w:lineRule="auto"/>
        <w:ind w:left="0" w:firstLine="0"/>
        <w:jc w:val="left"/>
      </w:pPr>
      <w:r>
        <w:rPr>
          <w:rFonts w:ascii="Times New Roman" w:hAnsi="Times New Roman" w:eastAsia="Times New Roman"/>
          <w:b w:val="0"/>
          <w:i w:val="0"/>
          <w:sz w:val="24"/>
        </w:rPr>
        <w:t>{{#initialPaymentTable}}</w:t>
      </w:r>
    </w:p>
    <w:p>
      <w:pPr>
        <w:keepNext w:val="0"/>
        <w:widowControl/>
        <w:spacing w:before="0" w:after="80" w:line="276" w:lineRule="auto"/>
        <w:ind w:left="0" w:firstLine="0"/>
        <w:jc w:val="both"/>
      </w:pPr>
      <w:r>
        <w:rPr>
          <w:rFonts w:ascii="Times New Roman" w:hAnsi="Times New Roman" w:eastAsia="Times New Roman"/>
          <w:b w:val="0"/>
          <w:i w:val="0"/>
          <w:sz w:val="24"/>
        </w:rPr>
        <w:t>3.9. Mã nội dung chuyển khoản: {{payment.initial.transferReference}}; Mã tham chiếu giao dịch ngân hàng: {{payment.initial.bankTransactionReference}}; Bên B khai báo chuyển: {{payment.initial.payerReportedAt}}; Bên A xác nhận nhận: {{payment.initial.payeeConfirmedAt}}; Hoàn tất xác nhận hai chiều: {{payment.initial.confirmedAt}}; Trạng thái xác nhận: {{payment.initial.status}}; Tổng số tiền ban đầu: {{payment.initial.totalAmount}}; Thời điểm hoàn tất (tương thích V2): {{payment.initial.paidAt}}; Mã giao dịch đối chiếu (tương thích V2): {{payment.initial.transactionCode}}.</w:t>
      </w:r>
    </w:p>
    <w:p>
      <w:pPr>
        <w:keepNext/>
        <w:widowControl/>
        <w:spacing w:before="160" w:after="80" w:line="276" w:lineRule="auto"/>
        <w:ind w:left="0" w:firstLine="0"/>
        <w:jc w:val="left"/>
      </w:pPr>
      <w:r>
        <w:rPr>
          <w:rFonts w:ascii="Times New Roman" w:hAnsi="Times New Roman" w:eastAsia="Times New Roman"/>
          <w:b/>
          <w:i w:val="0"/>
          <w:sz w:val="26"/>
        </w:rPr>
        <w:t>ĐIỀU 4. PHÍ QUẢN LÝ, GỬI XE, ĐIỆN NƯỚC VÀ DỊCH VỤ CHUNG CƯ</w:t>
      </w:r>
    </w:p>
    <w:p>
      <w:pPr>
        <w:keepNext/>
        <w:widowControl/>
        <w:spacing w:before="0" w:after="80" w:line="276" w:lineRule="auto"/>
        <w:ind w:left="0" w:firstLine="0"/>
        <w:jc w:val="both"/>
      </w:pPr>
      <w:r>
        <w:rPr>
          <w:rFonts w:ascii="Times New Roman" w:hAnsi="Times New Roman" w:eastAsia="Times New Roman"/>
          <w:b w:val="0"/>
          <w:i w:val="0"/>
          <w:sz w:val="24"/>
        </w:rPr>
        <w:t>4.1. Bảng phí quản lý tòa nhà, gửi xe máy/ô tô và các chi phí sinh hoạt:</w:t>
      </w:r>
    </w:p>
    <w:p>
      <w:pPr>
        <w:keepNext w:val="0"/>
        <w:widowControl/>
        <w:spacing w:before="20" w:after="100" w:line="276" w:lineRule="auto"/>
        <w:ind w:left="0" w:firstLine="0"/>
        <w:jc w:val="left"/>
      </w:pPr>
      <w:r>
        <w:rPr>
          <w:rFonts w:ascii="Times New Roman" w:hAnsi="Times New Roman" w:eastAsia="Times New Roman"/>
          <w:b w:val="0"/>
          <w:i w:val="0"/>
          <w:sz w:val="24"/>
        </w:rPr>
        <w:t>{{#chargesTable}}</w:t>
      </w:r>
    </w:p>
    <w:p>
      <w:pPr>
        <w:keepNext/>
        <w:widowControl/>
        <w:spacing w:before="0" w:after="80" w:line="276" w:lineRule="auto"/>
        <w:ind w:left="0" w:firstLine="0"/>
        <w:jc w:val="both"/>
      </w:pPr>
      <w:r>
        <w:rPr>
          <w:rFonts w:ascii="Times New Roman" w:hAnsi="Times New Roman" w:eastAsia="Times New Roman"/>
          <w:b w:val="0"/>
          <w:i w:val="0"/>
          <w:sz w:val="24"/>
        </w:rPr>
        <w:t>4.2. Bảng tiện ích chung cư và quyền sử dụng dịch vụ:</w:t>
      </w:r>
    </w:p>
    <w:p>
      <w:pPr>
        <w:keepNext w:val="0"/>
        <w:widowControl/>
        <w:spacing w:before="20" w:after="100" w:line="276" w:lineRule="auto"/>
        <w:ind w:left="0" w:firstLine="0"/>
        <w:jc w:val="left"/>
      </w:pPr>
      <w:r>
        <w:rPr>
          <w:rFonts w:ascii="Times New Roman" w:hAnsi="Times New Roman" w:eastAsia="Times New Roman"/>
          <w:b w:val="0"/>
          <w:i w:val="0"/>
          <w:sz w:val="24"/>
        </w:rPr>
        <w:t>{{#amenitiesTable}}</w:t>
      </w:r>
    </w:p>
    <w:p>
      <w:pPr>
        <w:keepNext w:val="0"/>
        <w:widowControl/>
        <w:spacing w:before="0" w:after="80" w:line="276" w:lineRule="auto"/>
        <w:ind w:left="0" w:firstLine="0"/>
        <w:jc w:val="both"/>
      </w:pPr>
      <w:r>
        <w:rPr>
          <w:rFonts w:ascii="Times New Roman" w:hAnsi="Times New Roman" w:eastAsia="Times New Roman"/>
          <w:b w:val="0"/>
          <w:i w:val="0"/>
          <w:sz w:val="24"/>
        </w:rPr>
        <w:t>4.3. Đối với tiện ích dùng chung (hồ bơi, phòng gym, thang máy nếu có), Bên B được quyền sử dụng theo nội quy, khung giờ và tình trạng vận hành của Ban Quản lý tòa nhà, không cấu thành cam kết vận hành liên tục tuyệt đối.</w:t>
      </w:r>
    </w:p>
    <w:p>
      <w:pPr>
        <w:keepNext/>
        <w:widowControl/>
        <w:spacing w:before="160" w:after="80" w:line="276" w:lineRule="auto"/>
        <w:ind w:left="0" w:firstLine="0"/>
        <w:jc w:val="left"/>
      </w:pPr>
      <w:r>
        <w:rPr>
          <w:rFonts w:ascii="Times New Roman" w:hAnsi="Times New Roman" w:eastAsia="Times New Roman"/>
          <w:b/>
          <w:i w:val="0"/>
          <w:sz w:val="26"/>
        </w:rPr>
        <w:t>ĐIỀU 5. DANH MỤC TRANG THIẾT BỊ, NỘI THẤT BÀN GIAO</w:t>
      </w:r>
    </w:p>
    <w:p>
      <w:pPr>
        <w:keepNext/>
        <w:widowControl/>
        <w:spacing w:before="0" w:after="80" w:line="276" w:lineRule="auto"/>
        <w:ind w:left="0" w:firstLine="0"/>
        <w:jc w:val="both"/>
      </w:pPr>
      <w:r>
        <w:rPr>
          <w:rFonts w:ascii="Times New Roman" w:hAnsi="Times New Roman" w:eastAsia="Times New Roman"/>
          <w:b w:val="0"/>
          <w:i w:val="0"/>
          <w:sz w:val="24"/>
        </w:rPr>
        <w:t>5.1. Chi tiết danh mục nội thất, máy móc gắn liền căn hộ:</w:t>
      </w:r>
    </w:p>
    <w:p>
      <w:pPr>
        <w:keepNext w:val="0"/>
        <w:widowControl/>
        <w:spacing w:before="20" w:after="100" w:line="276" w:lineRule="auto"/>
        <w:ind w:left="0" w:firstLine="0"/>
        <w:jc w:val="left"/>
      </w:pPr>
      <w:r>
        <w:rPr>
          <w:rFonts w:ascii="Times New Roman" w:hAnsi="Times New Roman" w:eastAsia="Times New Roman"/>
          <w:b w:val="0"/>
          <w:i w:val="0"/>
          <w:sz w:val="24"/>
        </w:rPr>
        <w:t>{{#equipmentTable}}</w:t>
      </w:r>
    </w:p>
    <w:p>
      <w:pPr>
        <w:keepNext w:val="0"/>
        <w:widowControl/>
        <w:spacing w:before="0" w:after="80" w:line="276" w:lineRule="auto"/>
        <w:ind w:left="0" w:firstLine="0"/>
        <w:jc w:val="both"/>
      </w:pPr>
      <w:r>
        <w:rPr>
          <w:rFonts w:ascii="Times New Roman" w:hAnsi="Times New Roman" w:eastAsia="Times New Roman"/>
          <w:b w:val="0"/>
          <w:i w:val="0"/>
          <w:sz w:val="24"/>
        </w:rPr>
        <w:t>5.2. Bên B có trách nhiệm giữ gìn nội thất, không tự ý can thiệp hệ thống phòng cháy tự động (đầu phun sprinkler, đầu báo khói).</w:t>
      </w:r>
    </w:p>
    <w:p>
      <w:pPr>
        <w:keepNext/>
        <w:widowControl/>
        <w:spacing w:before="160" w:after="80" w:line="276" w:lineRule="auto"/>
        <w:ind w:left="0" w:firstLine="0"/>
        <w:jc w:val="left"/>
      </w:pPr>
      <w:r>
        <w:rPr>
          <w:rFonts w:ascii="Times New Roman" w:hAnsi="Times New Roman" w:eastAsia="Times New Roman"/>
          <w:b/>
          <w:i w:val="0"/>
          <w:sz w:val="26"/>
        </w:rPr>
        <w:t>ĐIỀU 6. QUYỀN VÀ NGHĨA VỤ CỦA BÊN A</w:t>
      </w:r>
    </w:p>
    <w:p>
      <w:pPr>
        <w:keepNext w:val="0"/>
        <w:widowControl/>
        <w:spacing w:before="0" w:after="80" w:line="276" w:lineRule="auto"/>
        <w:ind w:left="0" w:firstLine="0"/>
        <w:jc w:val="both"/>
      </w:pPr>
      <w:r>
        <w:rPr>
          <w:rFonts w:ascii="Times New Roman" w:hAnsi="Times New Roman" w:eastAsia="Times New Roman"/>
          <w:b w:val="0"/>
          <w:i w:val="0"/>
          <w:sz w:val="24"/>
        </w:rPr>
        <w:t>6.1. Bàn giao căn hộ, thẻ thang máy, chìa khóa/mật mã cửa đúng thỏa thuận.</w:t>
      </w:r>
    </w:p>
    <w:p>
      <w:pPr>
        <w:keepNext w:val="0"/>
        <w:widowControl/>
        <w:spacing w:before="0" w:after="80" w:line="276" w:lineRule="auto"/>
        <w:ind w:left="0" w:firstLine="0"/>
        <w:jc w:val="both"/>
      </w:pPr>
      <w:r>
        <w:rPr>
          <w:rFonts w:ascii="Times New Roman" w:hAnsi="Times New Roman" w:eastAsia="Times New Roman"/>
          <w:b w:val="0"/>
          <w:i w:val="0"/>
          <w:sz w:val="24"/>
        </w:rPr>
        <w:t>6.2. Cung cấp tài khoản ngân hàng thụ hưởng chính xác; xác nhận kịp thời khi nhận được tiền chuyển khoản.</w:t>
      </w:r>
    </w:p>
    <w:p>
      <w:pPr>
        <w:keepNext w:val="0"/>
        <w:widowControl/>
        <w:spacing w:before="0" w:after="80" w:line="276" w:lineRule="auto"/>
        <w:ind w:left="0" w:firstLine="0"/>
        <w:jc w:val="both"/>
      </w:pPr>
      <w:r>
        <w:rPr>
          <w:rFonts w:ascii="Times New Roman" w:hAnsi="Times New Roman" w:eastAsia="Times New Roman"/>
          <w:b w:val="0"/>
          <w:i w:val="0"/>
          <w:sz w:val="24"/>
        </w:rPr>
        <w:t>6.3. Hỗ trợ đăng ký định mức điện nước và thủ tục tạm trú cho Bên B với Ban Quản lý và Công an địa phương.</w:t>
      </w:r>
    </w:p>
    <w:p>
      <w:pPr>
        <w:keepNext/>
        <w:widowControl/>
        <w:spacing w:before="160" w:after="80" w:line="276" w:lineRule="auto"/>
        <w:ind w:left="0" w:firstLine="0"/>
        <w:jc w:val="left"/>
      </w:pPr>
      <w:r>
        <w:rPr>
          <w:rFonts w:ascii="Times New Roman" w:hAnsi="Times New Roman" w:eastAsia="Times New Roman"/>
          <w:b/>
          <w:i w:val="0"/>
          <w:sz w:val="26"/>
        </w:rPr>
        <w:t>ĐIỀU 7. QUYỀN VÀ NGHĨA VỤ CỦA BÊN B</w:t>
      </w:r>
    </w:p>
    <w:p>
      <w:pPr>
        <w:keepNext w:val="0"/>
        <w:widowControl/>
        <w:spacing w:before="0" w:after="80" w:line="276" w:lineRule="auto"/>
        <w:ind w:left="0" w:firstLine="0"/>
        <w:jc w:val="both"/>
      </w:pPr>
      <w:r>
        <w:rPr>
          <w:rFonts w:ascii="Times New Roman" w:hAnsi="Times New Roman" w:eastAsia="Times New Roman"/>
          <w:b w:val="0"/>
          <w:i w:val="0"/>
          <w:sz w:val="24"/>
        </w:rPr>
        <w:t>7.1. Chấp hành nghiêm chỉnh Nội quy tòa nhà chung cư, quy chế cư dân, quy định gửi xe.</w:t>
      </w:r>
    </w:p>
    <w:p>
      <w:pPr>
        <w:keepNext w:val="0"/>
        <w:widowControl/>
        <w:spacing w:before="0" w:after="80" w:line="276" w:lineRule="auto"/>
        <w:ind w:left="0" w:firstLine="0"/>
        <w:jc w:val="both"/>
      </w:pPr>
      <w:r>
        <w:rPr>
          <w:rFonts w:ascii="Times New Roman" w:hAnsi="Times New Roman" w:eastAsia="Times New Roman"/>
          <w:b w:val="0"/>
          <w:i w:val="0"/>
          <w:sz w:val="24"/>
        </w:rPr>
        <w:t>7.2. Cư trú đúng số lượng: {{tenant.occupantCount}} người; gửi xe đúng số lượng: {{tenant.motorbikeCount}} xe máy, {{tenant.carCount}} ô tô.</w:t>
      </w:r>
    </w:p>
    <w:p>
      <w:pPr>
        <w:keepNext w:val="0"/>
        <w:widowControl/>
        <w:spacing w:before="0" w:after="80" w:line="276" w:lineRule="auto"/>
        <w:ind w:left="0" w:firstLine="0"/>
        <w:jc w:val="both"/>
      </w:pPr>
      <w:r>
        <w:rPr>
          <w:rFonts w:ascii="Times New Roman" w:hAnsi="Times New Roman" w:eastAsia="Times New Roman"/>
          <w:b w:val="0"/>
          <w:i w:val="0"/>
          <w:sz w:val="24"/>
        </w:rPr>
        <w:t>7.3. Chuyển khoản tiền thuê và các chi phí đúng hạn vào tài khoản ngân hàng của Bên A.</w:t>
      </w:r>
    </w:p>
    <w:p>
      <w:pPr>
        <w:keepNext/>
        <w:widowControl/>
        <w:spacing w:before="160" w:after="80" w:line="276" w:lineRule="auto"/>
        <w:ind w:left="0" w:firstLine="0"/>
        <w:jc w:val="left"/>
      </w:pPr>
      <w:r>
        <w:rPr>
          <w:rFonts w:ascii="Times New Roman" w:hAnsi="Times New Roman" w:eastAsia="Times New Roman"/>
          <w:b/>
          <w:i w:val="0"/>
          <w:sz w:val="26"/>
        </w:rPr>
        <w:t>ĐIỀU 8. ĐIỀU KHOẢN VỀ VẬT NUÔI VÀ NỘI QUY</w:t>
      </w:r>
    </w:p>
    <w:p>
      <w:pPr>
        <w:keepNext w:val="0"/>
        <w:widowControl/>
        <w:spacing w:before="0" w:after="80" w:line="276" w:lineRule="auto"/>
        <w:ind w:left="0" w:firstLine="0"/>
        <w:jc w:val="both"/>
      </w:pPr>
      <w:r>
        <w:rPr>
          <w:rFonts w:ascii="Times New Roman" w:hAnsi="Times New Roman" w:eastAsia="Times New Roman"/>
          <w:b w:val="0"/>
          <w:i w:val="0"/>
          <w:sz w:val="24"/>
        </w:rPr>
        <w:t>8.1. Quy định vật nuôi: Chỉ được nuôi thú cưng nếu Nội quy chung cư và Bảng tiện ích cho phép; Bên B chịu hoàn toàn trách nhiệm về vệ sinh, tiếng ồn, an toàn và bồi thường thiệt hại.</w:t>
      </w:r>
    </w:p>
    <w:p>
      <w:pPr>
        <w:keepNext/>
        <w:widowControl/>
        <w:spacing w:before="160" w:after="80" w:line="276" w:lineRule="auto"/>
        <w:ind w:left="0" w:firstLine="0"/>
        <w:jc w:val="left"/>
      </w:pPr>
      <w:r>
        <w:rPr>
          <w:rFonts w:ascii="Times New Roman" w:hAnsi="Times New Roman" w:eastAsia="Times New Roman"/>
          <w:b/>
          <w:i w:val="0"/>
          <w:sz w:val="26"/>
        </w:rPr>
        <w:t>ĐIỀU 9. CHẤM DỨT HỢP ĐỒNG VÀ XỬ LÝ VI PHẠM</w:t>
      </w:r>
    </w:p>
    <w:p>
      <w:pPr>
        <w:keepNext w:val="0"/>
        <w:widowControl/>
        <w:spacing w:before="0" w:after="80" w:line="276" w:lineRule="auto"/>
        <w:ind w:left="0" w:firstLine="0"/>
        <w:jc w:val="both"/>
      </w:pPr>
      <w:r>
        <w:rPr>
          <w:rFonts w:ascii="Times New Roman" w:hAnsi="Times New Roman" w:eastAsia="Times New Roman"/>
          <w:b w:val="0"/>
          <w:i w:val="0"/>
          <w:sz w:val="24"/>
        </w:rPr>
        <w:t>9.1. Khi kết thúc hợp đồng, các bên thực hiện thông báo theo thỏa thuận; Bên B bàn giao lại thẻ cư dân, chìa khóa, hiện trạng căn hộ và tài sản; số cọc còn phải hoàn được quyết toán và chuyển khoản trực tiếp.</w:t>
      </w:r>
    </w:p>
    <w:p>
      <w:pPr>
        <w:keepNext w:val="0"/>
        <w:widowControl/>
        <w:spacing w:before="0" w:after="80" w:line="276" w:lineRule="auto"/>
        <w:ind w:left="0" w:firstLine="0"/>
        <w:jc w:val="both"/>
      </w:pPr>
      <w:r>
        <w:rPr>
          <w:rFonts w:ascii="Times New Roman" w:hAnsi="Times New Roman" w:eastAsia="Times New Roman"/>
          <w:b w:val="0"/>
          <w:i w:val="0"/>
          <w:sz w:val="24"/>
        </w:rPr>
        <w:t>9.2. Phí chậm trả theo điều khoản đã ký và hiển thị riêng trên hóa đơn; không tự đặt mức tiền. Từ 00:00 ngày quá hạn thứ 5 theo giờ Việt Nam, chủ nhà có thể cho chuyển công nợ và phí phạt đã chốt sang kỳ tiếp theo nếu còn kỳ, hoặc đề nghị hai bên chấm dứt sớm. Nếu người thuê từ chối, hợp đồng vẫn hiệu lực và chủ nhà có thể rút đề nghị; nhánh chấm dứt theo điều khoản đã ký chỉ hoàn tất khi đã thông báo và thực tế nhận lại căn hộ, thẻ/chìa khóa, tài sản. Chỉ sau bàn giao mới cập nhật trạng thái hợp đồng, cọc và tin đăng; HomeSpace không tự chiếm hữu hay cưỡng chế căn hộ.</w:t>
      </w:r>
    </w:p>
    <w:p>
      <w:pPr>
        <w:keepNext w:val="0"/>
        <w:widowControl/>
        <w:spacing w:before="0" w:after="80" w:line="276" w:lineRule="auto"/>
        <w:ind w:left="0" w:firstLine="0"/>
        <w:jc w:val="both"/>
      </w:pPr>
      <w:r>
        <w:rPr>
          <w:rFonts w:ascii="Times New Roman" w:hAnsi="Times New Roman" w:eastAsia="Times New Roman"/>
          <w:b w:val="0"/>
          <w:i w:val="0"/>
          <w:sz w:val="24"/>
        </w:rPr>
        <w:t>9.3. Toàn văn điều khoản quá hạn, phí chậm trả và phương án chấm dứt đã được backend chốt: {{contract.specialTerms}}</w:t>
      </w:r>
    </w:p>
    <w:p>
      <w:pPr>
        <w:keepNext/>
        <w:widowControl/>
        <w:spacing w:before="160" w:after="80" w:line="276" w:lineRule="auto"/>
        <w:ind w:left="0" w:firstLine="0"/>
        <w:jc w:val="left"/>
      </w:pPr>
      <w:r>
        <w:rPr>
          <w:rFonts w:ascii="Times New Roman" w:hAnsi="Times New Roman" w:eastAsia="Times New Roman"/>
          <w:b/>
          <w:i w:val="0"/>
          <w:sz w:val="26"/>
        </w:rPr>
        <w:t>ĐIỀU 10. GIAO KẾT ĐIỆN TỬ VÀ HIỆU LỰC</w:t>
      </w:r>
    </w:p>
    <w:p>
      <w:pPr>
        <w:keepNext w:val="0"/>
        <w:widowControl/>
        <w:spacing w:before="0" w:after="80" w:line="276" w:lineRule="auto"/>
        <w:ind w:left="0" w:firstLine="0"/>
        <w:jc w:val="both"/>
      </w:pPr>
      <w:r>
        <w:rPr>
          <w:rFonts w:ascii="Times New Roman" w:hAnsi="Times New Roman" w:eastAsia="Times New Roman"/>
          <w:b w:val="0"/>
          <w:i w:val="0"/>
          <w:sz w:val="24"/>
        </w:rPr>
        <w:t>10.1. Hợp đồng được giao kết điện tử qua nền tảng HomeSpace theo Luật Giao dịch điện tử.</w:t>
      </w:r>
    </w:p>
    <w:p>
      <w:pPr>
        <w:keepNext w:val="0"/>
        <w:widowControl/>
        <w:spacing w:before="0" w:after="80" w:line="276" w:lineRule="auto"/>
        <w:ind w:left="0" w:firstLine="0"/>
        <w:jc w:val="both"/>
      </w:pPr>
      <w:r>
        <w:rPr>
          <w:rFonts w:ascii="Times New Roman" w:hAnsi="Times New Roman" w:eastAsia="Times New Roman"/>
          <w:b w:val="0"/>
          <w:i w:val="0"/>
          <w:sz w:val="24"/>
        </w:rPr>
        <w:t>10.2. Phiên bản schema: {{contract.schemaVersion}}, Số hiệu bản sửa đổi: {{contract.revisionNumber}}.</w:t>
      </w:r>
    </w:p>
    <w:p>
      <w:pPr>
        <w:keepNext w:val="0"/>
        <w:widowControl/>
        <w:spacing w:before="0" w:after="80" w:line="276" w:lineRule="auto"/>
        <w:ind w:left="0" w:firstLine="0"/>
        <w:jc w:val="both"/>
      </w:pPr>
      <w:r>
        <w:rPr>
          <w:rFonts w:ascii="Times New Roman" w:hAnsi="Times New Roman" w:eastAsia="Times New Roman"/>
          <w:b w:val="0"/>
          <w:i w:val="0"/>
          <w:sz w:val="24"/>
        </w:rPr>
        <w:t>10.3. Hợp đồng có hiệu lực sau khi hai bên hoàn tất xác nhận điện tử.</w:t>
      </w:r>
    </w:p>
    <w:sectPr w:rsidR="00FC693F" w:rsidRPr="0006063C" w:rsidSect="00034616">
      <w:headerReference w:type="default" r:id="rId9"/>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Times New Roman" w:hAnsi="Times New Roman" w:eastAsia="Times New Roman"/>
        <w:b w:val="0"/>
        <w:i w:val="0"/>
        <w:color w:val="A0A0A0"/>
        <w:sz w:val="17"/>
      </w:rPr>
      <w:t>HomeSpace | Mẫu hợp đồng điện tử | Căn hộ chung cư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