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C4E972" w14:textId="77777777" w:rsidR="001E0795" w:rsidRPr="00F27222" w:rsidRDefault="00000000" w:rsidP="001462C6">
      <w:pPr>
        <w:spacing w:after="40" w:line="360" w:lineRule="auto"/>
        <w:jc w:val="center"/>
        <w:rPr>
          <w:rFonts w:ascii="Times New Roman" w:hAnsi="Times New Roman" w:cs="Times New Roman"/>
          <w:sz w:val="32"/>
          <w:szCs w:val="32"/>
        </w:rPr>
      </w:pPr>
      <w:r>
        <w:rPr>
          <w:rFonts w:ascii="Times New Roman" w:eastAsia="Calibri" w:hAnsi="Times New Roman" w:cs="Times New Roman"/>
          <w:b/>
          <w:bCs/>
          <w:color w:val="1F3864"/>
          <w:sz w:val="32"/>
          <w:szCs w:val="32"/>
        </w:rPr>
        <w:t>Integrating resilience from individual to community</w:t>
      </w:r>
    </w:p>
    <w:p w14:paraId="0F3C7370" w14:textId="77777777" w:rsidR="00925561" w:rsidRPr="00F27222" w:rsidRDefault="00000000" w:rsidP="001462C6">
      <w:pPr>
        <w:spacing w:after="40" w:line="360" w:lineRule="auto"/>
        <w:jc w:val="center"/>
        <w:rPr>
          <w:rFonts w:ascii="Times New Roman" w:hAnsi="Times New Roman" w:cs="Times New Roman"/>
        </w:rPr>
      </w:pPr>
      <w:r>
        <w:rPr>
          <w:rFonts w:ascii="Times New Roman" w:eastAsia="Calibri" w:hAnsi="Times New Roman" w:cs="Times New Roman"/>
          <w:color w:val="555555"/>
          <w:sz w:val="19"/>
          <w:szCs w:val="19"/>
        </w:rPr>
        <w:t>Hung-wei Lin, October 2026</w:t>
      </w:r>
    </w:p>
    <w:p w14:paraId="1D254BEF" w14:textId="77777777" w:rsidR="00925561" w:rsidRPr="00565F44" w:rsidRDefault="00000000" w:rsidP="001462C6">
      <w:pPr>
        <w:pStyle w:val="Heading1"/>
        <w:spacing w:before="240" w:after="110" w:line="360" w:lineRule="auto"/>
        <w:rPr>
          <w:rFonts w:ascii="Times New Roman" w:hAnsi="Times New Roman" w:cs="Times New Roman"/>
          <w:sz w:val="24"/>
          <w:szCs w:val="24"/>
          <w:lang w:eastAsia="zh-TW"/>
        </w:rPr>
      </w:pPr>
      <w:r w:rsidRPr="00565F44">
        <w:rPr>
          <w:rFonts w:ascii="Times New Roman" w:eastAsia="Calibri" w:hAnsi="Times New Roman" w:cs="Times New Roman"/>
          <w:b/>
          <w:bCs/>
          <w:color w:val="1F3864"/>
          <w:sz w:val="24"/>
          <w:szCs w:val="24"/>
        </w:rPr>
        <w:t xml:space="preserve">1 </w:t>
      </w:r>
      <w:r w:rsidRPr="00565F44">
        <w:rPr>
          <w:rFonts w:ascii="Times New Roman" w:eastAsia="Calibri" w:hAnsi="Times New Roman" w:cs="Times New Roman"/>
          <w:b/>
          <w:bCs/>
          <w:color w:val="1F3864"/>
          <w:sz w:val="24"/>
          <w:szCs w:val="24"/>
          <w:lang w:eastAsia="zh-TW"/>
        </w:rPr>
        <w:t>Q</w:t>
      </w:r>
      <w:r w:rsidRPr="00565F44">
        <w:rPr>
          <w:rFonts w:ascii="Times New Roman" w:eastAsia="Calibri" w:hAnsi="Times New Roman" w:cs="Times New Roman"/>
          <w:b/>
          <w:bCs/>
          <w:color w:val="1F3864"/>
          <w:sz w:val="24"/>
          <w:szCs w:val="24"/>
        </w:rPr>
        <w:t>uestion</w:t>
      </w:r>
      <w:r w:rsidRPr="00565F44">
        <w:rPr>
          <w:rFonts w:ascii="Times New Roman" w:eastAsia="Calibri" w:hAnsi="Times New Roman" w:cs="Times New Roman" w:hint="eastAsia"/>
          <w:b/>
          <w:bCs/>
          <w:color w:val="1F3864"/>
          <w:sz w:val="24"/>
          <w:szCs w:val="24"/>
          <w:lang w:eastAsia="zh-TW"/>
        </w:rPr>
        <w:t xml:space="preserve"> &amp; Plan</w:t>
      </w:r>
    </w:p>
    <w:p w14:paraId="3ADEC4CD" w14:textId="77777777" w:rsidR="0074258F" w:rsidRPr="00F27222" w:rsidRDefault="0074258F" w:rsidP="000871F4">
      <w:pPr>
        <w:pStyle w:val="Bibliography"/>
        <w:spacing w:after="240" w:line="360" w:lineRule="auto"/>
        <w:ind w:left="0" w:firstLine="0"/>
        <w:jc w:val="both"/>
        <w:rPr>
          <w:rFonts w:ascii="Times New Roman" w:eastAsia="Calibri" w:hAnsi="Times New Roman" w:cs="Times New Roman"/>
        </w:rPr>
      </w:pPr>
      <w:bookmarkStart w:id="0" w:name="_Hlk240979866"/>
      <w:bookmarkEnd w:id="0"/>
      <w:r>
        <w:rPr>
          <w:rFonts w:ascii="Times New Roman" w:hAnsi="Times New Roman" w:cs="Times New Roman"/>
        </w:rPr>
        <w:t>Resilience is a property that can be quantified at more than one level of biological organisation, and the metrics obtained at each level need not agree (Figueiredo et al., 2026; Segrestin &amp; Lepš, 2022). A disturbance may lower the vital rates of individual plants while leaving population growth rate largely unaffected (Hilde et al., 2020), or suppress individual populations while total community cover remains stable (Loreau &amp; De Mazancourt, 2013; Zhao et al., 2022). In Chapter 1 of my doctoral thesis, I systematically review how ecologists have quantified resilience and the research contexts in which these quantifications are embedded (Lin, et al., 2026a). These contexts include the level of biological organisation at which resilience is measured, the state variable used to quantify it, and the type of disturbance considered. Chapter 2 examines the relationship between life-history traits and population-level resilience, specifically how these traits predict the contribution of transient dynamics to fluctuations in population growth rate under stochastic environments (Lin, et al., 2026b). Here, in Chapter 3, I plan to measure resilience at all three levels (i.e., individual, population, and community) within a single system, from the same data, using a single model, and examine the key drivers of community resilience.</w:t>
      </w:r>
    </w:p>
    <w:p w14:paraId="0F30B010" w14:textId="77777777" w:rsidR="00FE11AF" w:rsidRPr="00F27222" w:rsidRDefault="00000000" w:rsidP="003C7C0B">
      <w:pPr>
        <w:spacing w:before="240" w:after="110" w:line="360" w:lineRule="auto"/>
        <w:jc w:val="both"/>
        <w:rPr>
          <w:rFonts w:ascii="Times New Roman" w:eastAsia="Calibri" w:hAnsi="Times New Roman" w:cs="Times New Roman"/>
          <w:i/>
          <w:iCs/>
          <w:lang w:eastAsia="zh-TW"/>
        </w:rPr>
      </w:pPr>
      <w:r>
        <w:rPr>
          <w:rFonts w:ascii="Times New Roman" w:eastAsia="Calibri" w:hAnsi="Times New Roman" w:cs="Times New Roman"/>
          <w:b/>
          <w:bCs/>
        </w:rPr>
        <w:t xml:space="preserve">Q1.  </w:t>
      </w:r>
      <w:r>
        <w:rPr>
          <w:rFonts w:ascii="Times New Roman" w:eastAsia="Calibri" w:hAnsi="Times New Roman" w:cs="Times New Roman"/>
          <w:b/>
          <w:bCs/>
          <w:i/>
          <w:iCs/>
        </w:rPr>
        <w:t>When factors at every level of biological organisation are considered together, which of them governs how strongly an individual</w:t>
      </w:r>
      <w:r>
        <w:rPr>
          <w:rFonts w:ascii="Times New Roman" w:eastAsia="Calibri" w:hAnsi="Times New Roman" w:cs="Times New Roman" w:hint="eastAsia"/>
          <w:b/>
          <w:bCs/>
          <w:i/>
          <w:iCs/>
          <w:lang w:eastAsia="zh-TW"/>
        </w:rPr>
        <w:t>,</w:t>
      </w:r>
      <w:r>
        <w:rPr>
          <w:rFonts w:ascii="Times New Roman" w:eastAsia="Calibri" w:hAnsi="Times New Roman" w:cs="Times New Roman"/>
          <w:b/>
          <w:bCs/>
          <w:i/>
          <w:iCs/>
        </w:rPr>
        <w:t xml:space="preserve"> a population, and the whole community respond to environmental change?</w:t>
      </w:r>
      <w:r>
        <w:rPr>
          <w:rFonts w:ascii="Times New Roman" w:eastAsia="Calibri" w:hAnsi="Times New Roman" w:cs="Times New Roman"/>
          <w:i/>
          <w:iCs/>
        </w:rPr>
        <w:t xml:space="preserve"> </w:t>
      </w:r>
    </w:p>
    <w:p w14:paraId="59DF0325" w14:textId="77777777" w:rsidR="00CB4A39" w:rsidRPr="00E0090F" w:rsidRDefault="00C20C0E" w:rsidP="003E711E">
      <w:pPr>
        <w:spacing w:line="360" w:lineRule="auto"/>
        <w:jc w:val="both"/>
        <w:rPr>
          <w:rFonts w:ascii="Times New Roman" w:eastAsia="Calibri" w:hAnsi="Times New Roman" w:cs="Times New Roman"/>
          <w:lang w:val="en-US" w:eastAsia="zh-TW"/>
        </w:rPr>
      </w:pPr>
      <w:r>
        <w:rPr>
          <w:rFonts w:ascii="Times New Roman" w:eastAsia="Calibri" w:hAnsi="Times New Roman" w:cs="Times New Roman"/>
        </w:rPr>
        <w:t>The candidate factors are the individual's own size, the life-history traits of its population, and the crowding from conspecific and heterospecific neighbours, reflecting the strength of intraspecific and interspecific interactions (Adler et al., 2010; Chu &amp; Adler, 2015). The environmental change of interest is interannual climate variation; local conditions of each quadrat, such as grazing intensity, enter as covariates, with quadrat-level random effects absorbing local variation that these covariates do not capture.</w:t>
      </w:r>
    </w:p>
    <w:p w14:paraId="5B887828" w14:textId="77777777" w:rsidR="00E0009B" w:rsidRDefault="00CB4A39" w:rsidP="001462C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lang w:eastAsia="zh-TW"/>
        </w:rPr>
        <w:t>To answer this question, I will use the above factors to jointly fit a multilevel Bayesian model for the vital rates of individual plants (Part A) and to run counterfactual simulations of population and community dynamics (Part B), respectively. I detail both approaches (i.e., Part A and Part B) in the following sections.</w:t>
      </w:r>
    </w:p>
    <w:p w14:paraId="1D768EF2" w14:textId="77777777" w:rsidR="00EA7BE1" w:rsidRPr="00F27222" w:rsidRDefault="00000000" w:rsidP="003C7C0B">
      <w:pPr>
        <w:spacing w:before="240" w:after="110" w:line="360" w:lineRule="auto"/>
        <w:jc w:val="both"/>
        <w:rPr>
          <w:rFonts w:ascii="Times New Roman" w:eastAsia="Calibri" w:hAnsi="Times New Roman" w:cs="Times New Roman"/>
          <w:i/>
          <w:iCs/>
          <w:lang w:eastAsia="zh-TW"/>
        </w:rPr>
      </w:pPr>
      <w:r>
        <w:rPr>
          <w:rFonts w:ascii="Times New Roman" w:eastAsia="Calibri" w:hAnsi="Times New Roman" w:cs="Times New Roman"/>
          <w:b/>
          <w:bCs/>
        </w:rPr>
        <w:t xml:space="preserve">Q2.  </w:t>
      </w:r>
      <w:r>
        <w:rPr>
          <w:rFonts w:ascii="Times New Roman" w:eastAsia="Calibri" w:hAnsi="Times New Roman" w:cs="Times New Roman"/>
          <w:b/>
          <w:bCs/>
          <w:i/>
          <w:iCs/>
        </w:rPr>
        <w:t xml:space="preserve">Does the strength of conspecific and heterospecific </w:t>
      </w:r>
      <w:r>
        <w:rPr>
          <w:rFonts w:ascii="Times New Roman" w:eastAsia="Calibri" w:hAnsi="Times New Roman" w:cs="Times New Roman" w:hint="eastAsia"/>
          <w:b/>
          <w:bCs/>
          <w:i/>
          <w:iCs/>
          <w:lang w:eastAsia="zh-TW"/>
        </w:rPr>
        <w:t>interaction</w:t>
      </w:r>
      <w:r>
        <w:rPr>
          <w:rFonts w:ascii="Times New Roman" w:eastAsia="Calibri" w:hAnsi="Times New Roman" w:cs="Times New Roman"/>
          <w:b/>
          <w:bCs/>
          <w:i/>
          <w:iCs/>
        </w:rPr>
        <w:t xml:space="preserve">s shift with environmental conditions, and does that shift enhance the resilience of the community? </w:t>
      </w:r>
    </w:p>
    <w:p w14:paraId="6856896B" w14:textId="3B53609C" w:rsidR="001C6311" w:rsidRDefault="001C6311" w:rsidP="001C6311">
      <w:pPr>
        <w:spacing w:line="360" w:lineRule="auto"/>
        <w:jc w:val="both"/>
        <w:rPr>
          <w:rFonts w:ascii="Times New Roman" w:eastAsia="Calibri" w:hAnsi="Times New Roman" w:cs="Times New Roman"/>
          <w:lang w:eastAsia="zh-TW"/>
        </w:rPr>
      </w:pPr>
      <w:r>
        <w:rPr>
          <w:rFonts w:ascii="Times New Roman" w:eastAsia="Calibri" w:hAnsi="Times New Roman" w:cs="Times New Roman" w:hint="eastAsia"/>
          <w:lang w:eastAsia="zh-TW"/>
        </w:rPr>
        <w:t>These t</w:t>
      </w:r>
      <w:r>
        <w:rPr>
          <w:rFonts w:ascii="Times New Roman" w:eastAsia="Calibri" w:hAnsi="Times New Roman" w:cs="Times New Roman"/>
          <w:lang w:eastAsia="zh-TW"/>
        </w:rPr>
        <w:t>wo types of interactions provide important links between individuals and populations, and between populations and communities, respectively</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{"citationID":"vcZeeqOT","properties":{"unsorted":false,"formattedCitation":"(Bolnick et al., 2011)","plainCitation":"(Bolnick et al., 2011)","noteIndex":0},"citationItems":[{"id":5666,"uris":["http://zotero.org/users/11779132/items/NZL5ZF33"],"itemData":{"id":5666,"type":"article-journal","citation-key":"bolnickWhyIntraspecificTrait2011","container-title":"Trends in ecology &amp; evolution","issue":"4","note":"ISBN: 0169-5347","page":"183-192","publisher":"Elsevier","title":"Why intraspecific trait variation matters in community ecology","volume":"26","author":[{"family":"Bolnick","given":"Daniel I."},{"family":"Amarasekare","given":"Priyanga"},{"family":"Araújo","given":"Márcio S."},{"family":"Bürger","given":"Reinhard"},{"family":"Levine","given":"Jonathan M."},{"family":"Novak","given":"Mark"},{"family":"Rudolf","given":"Volker HW"},{"family":"Schreiber","given":"Sebastian J."},{"family":"Urban","given":"Mark C."},{"family":"Vasseur","given":"David A."}],"issued":{"date-parts":[["2011"]]}}}],"schema":"https://github.com/citation-style-language/schema/raw/master/csl-citation.json"}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(Bolnick et al., 2011)</w:t>
      </w:r>
      <w:r>
        <w:rPr>
          <w:rFonts w:ascii="Times New Roman" w:eastAsia="Calibri" w:hAnsi="Times New Roman" w:cs="Times New Roman"/>
          <w:lang w:eastAsia="zh-TW"/>
        </w:rPr>
        <w:fldChar w:fldCharType="end"/>
      </w:r>
      <w:r>
        <w:rPr>
          <w:rFonts w:ascii="Times New Roman" w:eastAsia="Calibri" w:hAnsi="Times New Roman" w:cs="Times New Roman"/>
          <w:lang w:eastAsia="zh-TW"/>
        </w:rPr>
        <w:t xml:space="preserve">. However, the effects of temporal variation in these interactions on </w:t>
      </w:r>
      <w:r w:rsidR="001B4F2C">
        <w:rPr>
          <w:rFonts w:ascii="Times New Roman" w:eastAsia="Calibri" w:hAnsi="Times New Roman" w:cs="Times New Roman" w:hint="eastAsia"/>
          <w:lang w:eastAsia="zh-TW"/>
        </w:rPr>
        <w:t xml:space="preserve">the </w:t>
      </w:r>
      <w:r>
        <w:rPr>
          <w:rFonts w:ascii="Times New Roman" w:eastAsia="Calibri" w:hAnsi="Times New Roman" w:cs="Times New Roman"/>
          <w:lang w:eastAsia="zh-TW"/>
        </w:rPr>
        <w:t xml:space="preserve">resilience </w:t>
      </w:r>
      <w:r w:rsidR="001B4F2C">
        <w:rPr>
          <w:rFonts w:ascii="Times New Roman" w:eastAsia="Calibri" w:hAnsi="Times New Roman" w:cs="Times New Roman" w:hint="eastAsia"/>
          <w:lang w:eastAsia="zh-TW"/>
        </w:rPr>
        <w:t xml:space="preserve">of community </w:t>
      </w:r>
      <w:r>
        <w:rPr>
          <w:rFonts w:ascii="Times New Roman" w:eastAsia="Calibri" w:hAnsi="Times New Roman" w:cs="Times New Roman"/>
          <w:lang w:eastAsia="zh-TW"/>
        </w:rPr>
        <w:t>remain poorly understood</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{"citationID":"moqZsRhv","properties":{"unsorted":false,"formattedCitation":"(Calleja-Solanas et al., 2025)","plainCitation":"(Calleja-Solanas et al., 2025)","noteIndex":0},"citationItems":[{"id":5665,"uris":["http://zotero.org/users/11779132/items/UQWJVNFH"],"itemData":{"id":5665,"type":"article-journal","citation-key":"calleja-solanasTimevaryingInteractionsDrive2025","container-title":"bioRxiv","note":"ISBN: 2692-8205","page":"2025.11. 28.690940","publisher":"Cold Spring Harbor Laboratory","title":"Time-varying interactions drive species coexistence via rainfall variation","author":[{"family":"Calleja-Solanas","given":"Violeta"},{"family":"Bartomeus","given":"Ignasi"},{"family":"Godoy","given":"Oscar"}],"issued":{"date-parts":[["2025"]]}}}],"schema":"https://github.com/citation-style-language/schema/raw/master/csl-citation.json"}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(Calleja-Solanas et al., 2025)</w:t>
      </w:r>
      <w:r>
        <w:rPr>
          <w:rFonts w:ascii="Times New Roman" w:eastAsia="Calibri" w:hAnsi="Times New Roman" w:cs="Times New Roman"/>
          <w:lang w:eastAsia="zh-TW"/>
        </w:rPr>
        <w:fldChar w:fldCharType="end"/>
      </w:r>
      <w:r>
        <w:rPr>
          <w:rFonts w:ascii="Times New Roman" w:eastAsia="Calibri" w:hAnsi="Times New Roman" w:cs="Times New Roman"/>
          <w:lang w:eastAsia="zh-TW"/>
        </w:rPr>
        <w:t xml:space="preserve">. </w:t>
      </w:r>
    </w:p>
    <w:p w14:paraId="5AE2ADDA" w14:textId="77777777" w:rsidR="006646E5" w:rsidRDefault="001C6311" w:rsidP="001462C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lang w:eastAsia="zh-TW"/>
        </w:rPr>
        <w:t>I will examine the extent to which the interaction effects vary with environmental conditions using the model (Part A). Then, I will control the variations of interactions in counterfactual simulations to quantify the contribution of time-varying interactions to community-level resilience (Part B). Further details follow in the next sections.</w:t>
      </w:r>
    </w:p>
    <w:p w14:paraId="4534782F" w14:textId="77777777" w:rsidR="006646E5" w:rsidRDefault="006646E5">
      <w:pPr>
        <w:rPr>
          <w:rFonts w:ascii="Times New Roman" w:eastAsia="Calibri" w:hAnsi="Times New Roman" w:cs="Times New Roman"/>
          <w:lang w:eastAsia="zh-TW"/>
        </w:rPr>
      </w:pPr>
      <w:r>
        <w:rPr>
          <w:rFonts w:ascii="Times New Roman" w:eastAsia="Calibri" w:hAnsi="Times New Roman" w:cs="Times New Roman"/>
          <w:lang w:eastAsia="zh-TW"/>
        </w:rPr>
        <w:br w:type="page"/>
      </w:r>
    </w:p>
    <w:p w14:paraId="011462C9" w14:textId="77777777" w:rsidR="00925561" w:rsidRPr="00565F44" w:rsidRDefault="005D5AEC" w:rsidP="001742B7">
      <w:pPr>
        <w:spacing w:after="240"/>
        <w:rPr>
          <w:rFonts w:ascii="Times New Roman" w:eastAsia="Calibri" w:hAnsi="Times New Roman" w:cs="Times New Roman"/>
          <w:sz w:val="24"/>
          <w:szCs w:val="24"/>
          <w:lang w:eastAsia="zh-TW"/>
        </w:rPr>
      </w:pPr>
      <w:r w:rsidRPr="00565F44">
        <w:rPr>
          <w:rFonts w:ascii="Times New Roman" w:eastAsia="Calibri" w:hAnsi="Times New Roman" w:cs="Times New Roman" w:hint="eastAsia"/>
          <w:b/>
          <w:bCs/>
          <w:color w:val="1F3864"/>
          <w:sz w:val="24"/>
          <w:szCs w:val="24"/>
          <w:lang w:eastAsia="zh-TW"/>
        </w:rPr>
        <w:lastRenderedPageBreak/>
        <w:t>2</w:t>
      </w:r>
      <w:r w:rsidRPr="00565F44">
        <w:rPr>
          <w:rFonts w:ascii="Times New Roman" w:eastAsia="Calibri" w:hAnsi="Times New Roman" w:cs="Times New Roman"/>
          <w:b/>
          <w:bCs/>
          <w:color w:val="1F3864"/>
          <w:sz w:val="24"/>
          <w:szCs w:val="24"/>
        </w:rPr>
        <w:t xml:space="preserve"> </w:t>
      </w:r>
      <w:r w:rsidRPr="00565F44">
        <w:rPr>
          <w:rFonts w:ascii="Times New Roman" w:eastAsia="Calibri" w:hAnsi="Times New Roman" w:cs="Times New Roman" w:hint="eastAsia"/>
          <w:b/>
          <w:bCs/>
          <w:color w:val="1F3864"/>
          <w:sz w:val="24"/>
          <w:szCs w:val="24"/>
          <w:lang w:eastAsia="zh-TW"/>
        </w:rPr>
        <w:t>Part A: A m</w:t>
      </w:r>
      <w:r w:rsidRPr="00565F44">
        <w:rPr>
          <w:rFonts w:ascii="Times New Roman" w:eastAsia="Calibri" w:hAnsi="Times New Roman" w:cs="Times New Roman"/>
          <w:b/>
          <w:bCs/>
          <w:color w:val="1F3864"/>
          <w:sz w:val="24"/>
          <w:szCs w:val="24"/>
          <w:lang w:eastAsia="zh-TW"/>
        </w:rPr>
        <w:t>ultilevel Bayesian model</w:t>
      </w:r>
    </w:p>
    <w:p w14:paraId="70CAB5A5" w14:textId="33B63B84" w:rsidR="000366DB" w:rsidRDefault="00000000">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rPr>
        <w:t>To quantify how factors at each level of organisation shape individual responses to environmental change, I will jointly fit a multilevel Bayesian model to three vital rates: (1) survival and (2) growth of each plant, and (3) recruitment of new plants in each quadrat. The data come from chart quadrats, permanent 1-m² plots in which every perennial plant was mapped each year: sagebrush steppe at Dubois, Idaho (1923–1957; Zachmann et al., 2010), with prairies at Miles City, Montana (1932–1945; Anderson et al., 2011) and Hays, Kansas (1932–1972; Adler et al., 2007) as replicate systems. I will fit the same model to each site separately and treat agreement among sites as a test of generality. Plants are followed from year to year by their mapped positions (Lauenroth &amp; Adler, 2008). Fitting the vital rates jointly lets each plant's random effects covary across vital rates (Cam et al., 2002) and yields one posterior from which every derived quantity inherits its uncertainty.</w:t>
      </w:r>
    </w:p>
    <w:p w14:paraId="58D04ED3" w14:textId="6817B6BF"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The model groups its predictors into four blocks: one for each level of organisation, and one for the interactions between plants (Fig. 1). (1) Individual: a plant's size and the grazing intensity of its quadrat, the latter included to control for grazing treatments rather than as a focal driver, with random effects of quadrat nested within quadrat group. (2) Population (each species at a site forms one population): a life-history trait partly explains how species differ in their responses, while additional species-level variation remains free of the trait. (3) Community: annual climate (water-year precipitation), shared by all plants at the site, with year random effects absorbing the variation that climate leaves unexplained. (4) Interactions: crowding by conspecifics, heterospecific grasses and heterospecific shrubs, each summed over neighbours weighted by their size and distance through a single kernel estimated from the data (Teller et al., 2016); the life-history trait also partly explains species differences in crowding effects.</w:t>
      </w:r>
    </w:p>
    <w:p w14:paraId="4A6CE130" w14:textId="0EA2CF96" w:rsidR="006300C4" w:rsidRDefault="00000000" w:rsidP="00565F44">
      <w:pPr>
        <w:spacing w:line="360" w:lineRule="auto"/>
        <w:jc w:val="both"/>
        <w:rPr>
          <w:rFonts w:ascii="Times New Roman" w:hAnsi="Times New Roman" w:cs="Times New Roman"/>
          <w:lang w:eastAsia="zh-TW"/>
        </w:rPr>
      </w:pPr>
      <w:r>
        <w:rPr>
          <w:rFonts w:ascii="Times New Roman" w:eastAsia="Calibri" w:hAnsi="Times New Roman" w:cs="Times New Roman"/>
        </w:rPr>
        <w:t>Q1 concerns how strongly each level responds to environmental change, so the quantities of interest are the interactions between climate and the other factors. Each block has its own climate modulator (Fig. 1): δ</w:t>
      </w:r>
      <w:r>
        <w:rPr>
          <w:rFonts w:ascii="Times New Roman" w:eastAsia="Calibri" w:hAnsi="Times New Roman" w:cs="Times New Roman"/>
          <w:vertAlign w:val="subscript"/>
        </w:rPr>
        <w:t>size</w:t>
      </w:r>
      <w:r>
        <w:rPr>
          <w:rFonts w:ascii="Times New Roman" w:eastAsia="Calibri" w:hAnsi="Times New Roman" w:cs="Times New Roman"/>
        </w:rPr>
        <w:t xml:space="preserve"> for plant size, d1</w:t>
      </w:r>
      <w:r>
        <w:rPr>
          <w:rFonts w:ascii="Times New Roman" w:eastAsia="Calibri" w:hAnsi="Times New Roman" w:cs="Times New Roman"/>
          <w:vertAlign w:val="subscript"/>
        </w:rPr>
        <w:t>climate</w:t>
      </w:r>
      <w:r>
        <w:rPr>
          <w:rFonts w:ascii="Times New Roman" w:eastAsia="Calibri" w:hAnsi="Times New Roman" w:cs="Times New Roman"/>
        </w:rPr>
        <w:t xml:space="preserve"> for the life-history trait, and δ</w:t>
      </w:r>
      <w:r>
        <w:rPr>
          <w:rFonts w:ascii="Times New Roman" w:eastAsia="Calibri" w:hAnsi="Times New Roman" w:cs="Times New Roman"/>
          <w:vertAlign w:val="subscript"/>
        </w:rPr>
        <w:t>x</w:t>
      </w:r>
      <w:r>
        <w:rPr>
          <w:rFonts w:ascii="Times New Roman" w:eastAsia="Calibri" w:hAnsi="Times New Roman" w:cs="Times New Roman"/>
        </w:rPr>
        <w:t xml:space="preserve"> for each type of crowding (x = intra, grass, shrub).</w:t>
      </w:r>
    </w:p>
    <w:p w14:paraId="4587E326" w14:textId="092207E4" w:rsidR="00871C09" w:rsidRDefault="00871C09" w:rsidP="007C3AE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rPr>
        <w:t>The same model answers the first half of Q2. The interaction strength a plant experiences in a given year combines the species baseline β</w:t>
      </w:r>
      <w:r>
        <w:rPr>
          <w:rFonts w:ascii="Times New Roman" w:eastAsia="Calibri" w:hAnsi="Times New Roman" w:cs="Times New Roman"/>
          <w:vertAlign w:val="subscript"/>
        </w:rPr>
        <w:t>x</w:t>
      </w:r>
      <w:r>
        <w:rPr>
          <w:rFonts w:ascii="Times New Roman" w:eastAsia="Calibri" w:hAnsi="Times New Roman" w:cs="Times New Roman"/>
        </w:rPr>
        <w:t xml:space="preserve"> with modulation by plant size (θ</w:t>
      </w:r>
      <w:r>
        <w:rPr>
          <w:rFonts w:ascii="Times New Roman" w:eastAsia="Calibri" w:hAnsi="Times New Roman" w:cs="Times New Roman"/>
          <w:vertAlign w:val="subscript"/>
        </w:rPr>
        <w:t>x</w:t>
      </w:r>
      <w:r>
        <w:rPr>
          <w:rFonts w:ascii="Times New Roman" w:eastAsia="Calibri" w:hAnsi="Times New Roman" w:cs="Times New Roman"/>
        </w:rPr>
        <w:t>), local environment (ω</w:t>
      </w:r>
      <w:r>
        <w:rPr>
          <w:rFonts w:ascii="Times New Roman" w:eastAsia="Calibri" w:hAnsi="Times New Roman" w:cs="Times New Roman"/>
          <w:vertAlign w:val="subscript"/>
        </w:rPr>
        <w:t>x</w:t>
      </w:r>
      <w:r>
        <w:rPr>
          <w:rFonts w:ascii="Times New Roman" w:eastAsia="Calibri" w:hAnsi="Times New Roman" w:cs="Times New Roman"/>
        </w:rPr>
        <w:t>), climate (δ</w:t>
      </w:r>
      <w:r>
        <w:rPr>
          <w:rFonts w:ascii="Times New Roman" w:eastAsia="Calibri" w:hAnsi="Times New Roman" w:cs="Times New Roman"/>
          <w:vertAlign w:val="subscript"/>
        </w:rPr>
        <w:t>x</w:t>
      </w:r>
      <w:r>
        <w:rPr>
          <w:rFonts w:ascii="Times New Roman" w:eastAsia="Calibri" w:hAnsi="Times New Roman" w:cs="Times New Roman"/>
        </w:rPr>
        <w:t>) and year. The posterior of δ</w:t>
      </w:r>
      <w:r>
        <w:rPr>
          <w:rFonts w:ascii="Times New Roman" w:eastAsia="Calibri" w:hAnsi="Times New Roman" w:cs="Times New Roman"/>
          <w:vertAlign w:val="subscript"/>
        </w:rPr>
        <w:t>x</w:t>
      </w:r>
      <w:r>
        <w:rPr>
          <w:rFonts w:ascii="Times New Roman" w:eastAsia="Calibri" w:hAnsi="Times New Roman" w:cs="Times New Roman"/>
        </w:rPr>
        <w:t xml:space="preserve"> shows whether, and in which direction, climate shifts each type of interaction.</w:t>
      </w:r>
    </w:p>
    <w:p w14:paraId="408B92B4" w14:textId="412B43BA" w:rsidR="00871C09" w:rsidRDefault="007C3AE6" w:rsidP="00F71860">
      <w:pPr>
        <w:spacing w:after="110" w:line="360" w:lineRule="auto"/>
        <w:jc w:val="both"/>
        <w:rPr>
          <w:rFonts w:ascii="Times New Roman" w:eastAsia="Calibri" w:hAnsi="Times New Roman" w:cs="Times New Roman"/>
          <w:lang w:eastAsia="zh-TW"/>
        </w:rPr>
      </w:pPr>
      <w:r w:rsidRPr="007C3AE6">
        <w:rPr>
          <w:rFonts w:ascii="Times New Roman" w:eastAsia="Calibri" w:hAnsi="Times New Roman" w:cs="Times New Roman"/>
          <w:lang w:eastAsia="zh-TW"/>
        </w:rPr>
        <w:t>To scale up to populations and the community, I will combine the fitted survival and growth with recruitment, which depends on the cover of each species in the previous year (Chu &amp; Adler, 2015), into an integral projection model (IPM) for each species. Each IPM projects the size distribution, and hence the cover, of its population from one year to the next. From the IPMs, I will decompose the response of the population growth rate (λ) to climate into its direct effect (β</w:t>
      </w:r>
      <w:r w:rsidRPr="007C3AE6">
        <w:rPr>
          <w:rFonts w:ascii="Times New Roman" w:eastAsia="Calibri" w:hAnsi="Times New Roman" w:cs="Times New Roman"/>
          <w:vertAlign w:val="subscript"/>
          <w:lang w:eastAsia="zh-TW"/>
        </w:rPr>
        <w:t>climate</w:t>
      </w:r>
      <w:r w:rsidRPr="007C3AE6">
        <w:rPr>
          <w:rFonts w:ascii="Times New Roman" w:eastAsia="Calibri" w:hAnsi="Times New Roman" w:cs="Times New Roman"/>
          <w:lang w:eastAsia="zh-TW"/>
        </w:rPr>
        <w:t>) and its modulation of other effects (δ</w:t>
      </w:r>
      <w:r w:rsidRPr="007C3AE6">
        <w:rPr>
          <w:rFonts w:ascii="Times New Roman" w:eastAsia="Calibri" w:hAnsi="Times New Roman" w:cs="Times New Roman"/>
          <w:vertAlign w:val="subscript"/>
          <w:lang w:eastAsia="zh-TW"/>
        </w:rPr>
        <w:t>size</w:t>
      </w:r>
      <w:r w:rsidRPr="007C3AE6">
        <w:rPr>
          <w:rFonts w:ascii="Times New Roman" w:eastAsia="Calibri" w:hAnsi="Times New Roman" w:cs="Times New Roman"/>
          <w:lang w:eastAsia="zh-TW"/>
        </w:rPr>
        <w:t xml:space="preserve"> and δ</w:t>
      </w:r>
      <w:r w:rsidRPr="007C3AE6">
        <w:rPr>
          <w:rFonts w:ascii="Times New Roman" w:eastAsia="Calibri" w:hAnsi="Times New Roman" w:cs="Times New Roman"/>
          <w:vertAlign w:val="subscript"/>
          <w:lang w:eastAsia="zh-TW"/>
        </w:rPr>
        <w:t>x</w:t>
      </w:r>
      <w:r w:rsidRPr="007C3AE6">
        <w:rPr>
          <w:rFonts w:ascii="Times New Roman" w:eastAsia="Calibri" w:hAnsi="Times New Roman" w:cs="Times New Roman"/>
          <w:lang w:eastAsia="zh-TW"/>
        </w:rPr>
        <w:t>); weighting these contributions by cover extends the decomposition to community cover. The counterfactual simulations in Part B then test the same question directly.</w:t>
      </w:r>
    </w:p>
    <w:p w14:paraId="75B09ECF" w14:textId="77777777" w:rsidR="00E35774" w:rsidRPr="006E4E4F" w:rsidRDefault="00E35774" w:rsidP="00E35774">
      <w:pPr>
        <w:spacing w:before="110" w:line="360" w:lineRule="auto"/>
        <w:jc w:val="center"/>
        <w:rPr>
          <w:rFonts w:ascii="Times New Roman" w:hAnsi="Times New Roman" w:cs="Times New Roman"/>
          <w:lang w:eastAsia="zh-TW"/>
        </w:rPr>
      </w:pPr>
      <w:r>
        <w:rPr>
          <w:rFonts w:ascii="Times New Roman" w:hAnsi="Times New Roman" w:cs="Times New Roman"/>
          <w:noProof/>
          <w:lang w:eastAsia="zh-TW"/>
        </w:rPr>
        <w:lastRenderedPageBreak/>
        <w:drawing>
          <wp:inline distT="0" distB="0" distL="0" distR="0" wp14:anchorId="302D2B8C" wp14:editId="60272EB4">
            <wp:extent cx="6384277" cy="5513695"/>
            <wp:effectExtent l="0" t="0" r="4445" b="0"/>
            <wp:docPr id="6011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5649" name="Picture 6011456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76411" cy="5679629"/>
                    </a:xfrm>
                    <a:prstGeom prst="rect">
                      <a:avLst/>
                    </a:prstGeom>
                  </pic:spPr>
                </pic:pic>
              </a:graphicData>
            </a:graphic>
          </wp:inline>
        </w:drawing>
      </w:r>
    </w:p>
    <w:p w14:paraId="13C964D0" w14:textId="77777777" w:rsidR="00E35774" w:rsidRDefault="00E35774" w:rsidP="00E35774">
      <w:pPr>
        <w:keepLines/>
        <w:spacing w:after="240"/>
        <w:jc w:val="center"/>
        <w:rPr>
          <w:rFonts w:ascii="Times New Roman" w:eastAsia="Calibri" w:hAnsi="Times New Roman" w:cs="Times New Roman"/>
          <w:sz w:val="20"/>
          <w:szCs w:val="20"/>
          <w:lang w:eastAsia="zh-TW"/>
        </w:rPr>
      </w:pPr>
      <w:r>
        <w:rPr>
          <w:rFonts w:ascii="Times New Roman" w:eastAsia="Calibri" w:hAnsi="Times New Roman" w:cs="Times New Roman"/>
          <w:b/>
          <w:bCs/>
          <w:sz w:val="20"/>
          <w:szCs w:val="20"/>
        </w:rPr>
        <w:t xml:space="preserve">Figure 1. </w:t>
      </w:r>
      <w:r>
        <w:rPr>
          <w:rFonts w:ascii="Times New Roman" w:eastAsia="Calibri" w:hAnsi="Times New Roman" w:cs="Times New Roman"/>
          <w:sz w:val="20"/>
          <w:szCs w:val="20"/>
        </w:rPr>
        <w:t>Structure of the multilevel vital-rate model (Part A).</w:t>
      </w:r>
    </w:p>
    <w:p w14:paraId="5C103AE7" w14:textId="77777777" w:rsidR="00E35774" w:rsidRPr="00F71860" w:rsidRDefault="00E35774" w:rsidP="00F71860">
      <w:pPr>
        <w:spacing w:after="110" w:line="360" w:lineRule="auto"/>
        <w:jc w:val="both"/>
        <w:rPr>
          <w:rFonts w:ascii="Times New Roman" w:eastAsia="Calibri" w:hAnsi="Times New Roman" w:cs="Times New Roman" w:hint="eastAsia"/>
          <w:lang w:eastAsia="zh-TW"/>
        </w:rPr>
      </w:pPr>
    </w:p>
    <w:p w14:paraId="1FF048D7" w14:textId="77777777" w:rsidR="00E35774" w:rsidRDefault="00E35774">
      <w:pPr>
        <w:rPr>
          <w:rFonts w:ascii="Times New Roman" w:eastAsia="Calibri" w:hAnsi="Times New Roman" w:cs="Times New Roman"/>
          <w:b/>
          <w:bCs/>
          <w:color w:val="1F3864"/>
          <w:sz w:val="26"/>
          <w:szCs w:val="26"/>
          <w:lang w:eastAsia="zh-TW"/>
        </w:rPr>
      </w:pPr>
      <w:r>
        <w:rPr>
          <w:rFonts w:ascii="Times New Roman" w:eastAsia="Calibri" w:hAnsi="Times New Roman" w:cs="Times New Roman"/>
          <w:b/>
          <w:bCs/>
          <w:color w:val="1F3864"/>
          <w:sz w:val="26"/>
          <w:szCs w:val="26"/>
          <w:lang w:eastAsia="zh-TW"/>
        </w:rPr>
        <w:br w:type="page"/>
      </w:r>
    </w:p>
    <w:p w14:paraId="209BFA8B" w14:textId="71C4A4B9" w:rsidR="005D5AEC" w:rsidRDefault="005D5AEC" w:rsidP="00F71860">
      <w:pPr>
        <w:spacing w:before="240" w:after="240"/>
        <w:rPr>
          <w:rFonts w:ascii="Times New Roman" w:eastAsia="Calibri" w:hAnsi="Times New Roman" w:cs="Times New Roman"/>
          <w:b/>
          <w:bCs/>
          <w:color w:val="1F3864"/>
          <w:sz w:val="26"/>
          <w:szCs w:val="26"/>
          <w:lang w:eastAsia="zh-TW"/>
        </w:rPr>
      </w:pPr>
      <w:r>
        <w:rPr>
          <w:rFonts w:ascii="Times New Roman" w:eastAsia="Calibri" w:hAnsi="Times New Roman" w:cs="Times New Roman" w:hint="eastAsia"/>
          <w:b/>
          <w:bCs/>
          <w:color w:val="1F3864"/>
          <w:sz w:val="26"/>
          <w:szCs w:val="26"/>
          <w:lang w:eastAsia="zh-TW"/>
        </w:rPr>
        <w:lastRenderedPageBreak/>
        <w:t>3</w:t>
      </w:r>
      <w:r>
        <w:rPr>
          <w:rFonts w:ascii="Times New Roman" w:eastAsia="Calibri" w:hAnsi="Times New Roman" w:cs="Times New Roman"/>
          <w:b/>
          <w:bCs/>
          <w:color w:val="1F3864"/>
          <w:sz w:val="26"/>
          <w:szCs w:val="26"/>
        </w:rPr>
        <w:t xml:space="preserve"> </w:t>
      </w:r>
      <w:r>
        <w:rPr>
          <w:rFonts w:ascii="Times New Roman" w:eastAsia="Calibri" w:hAnsi="Times New Roman" w:cs="Times New Roman" w:hint="eastAsia"/>
          <w:b/>
          <w:bCs/>
          <w:color w:val="1F3864"/>
          <w:sz w:val="26"/>
          <w:szCs w:val="26"/>
          <w:lang w:eastAsia="zh-TW"/>
        </w:rPr>
        <w:t xml:space="preserve">Part B: </w:t>
      </w:r>
      <w:r w:rsidRPr="00965132">
        <w:rPr>
          <w:rFonts w:ascii="Times New Roman" w:eastAsia="Calibri" w:hAnsi="Times New Roman" w:cs="Times New Roman" w:hint="eastAsia"/>
          <w:b/>
          <w:bCs/>
          <w:color w:val="1F3864"/>
          <w:sz w:val="24"/>
          <w:szCs w:val="24"/>
          <w:lang w:eastAsia="zh-TW"/>
        </w:rPr>
        <w:t>C</w:t>
      </w:r>
      <w:r w:rsidRPr="00965132">
        <w:rPr>
          <w:rFonts w:ascii="Times New Roman" w:eastAsia="Calibri" w:hAnsi="Times New Roman" w:cs="Times New Roman"/>
          <w:b/>
          <w:bCs/>
          <w:color w:val="1F3864"/>
          <w:sz w:val="24"/>
          <w:szCs w:val="24"/>
          <w:lang w:eastAsia="zh-TW"/>
        </w:rPr>
        <w:t>ounterfactual</w:t>
      </w:r>
      <w:r>
        <w:rPr>
          <w:rFonts w:ascii="Times New Roman" w:eastAsia="Calibri" w:hAnsi="Times New Roman" w:cs="Times New Roman"/>
          <w:b/>
          <w:bCs/>
          <w:color w:val="1F3864"/>
          <w:sz w:val="26"/>
          <w:szCs w:val="26"/>
          <w:lang w:eastAsia="zh-TW"/>
        </w:rPr>
        <w:t xml:space="preserve"> simulations</w:t>
      </w:r>
    </w:p>
    <w:p w14:paraId="1AE76823" w14:textId="04EF28A7"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To quantify the contribution of each factor to community resilience directly, I will run counterfactual simulations from the posterior of Part A (Fig. 2). Each simulation projects every population forward with its IPM under a given sequence of climate years and records total community cover, as the state variable. Community cover is the summed cover of all species mapped with a size; species mapped only as points (mostly forbs) enter the simulations as neighbours held at their observed abundance, a provisional choice until their share of cover is resolved. Because the future positions of plants are unknown, the crowding that each population experiences will be recomputed every year from the simulated cover of conspecific and heterospecific populations, as a mean-field approximation of the observed neighbourhoods (Adler et al., 2010; Chu et al., 2016). I will calibrate this approximation against the crowding observed in census years before running the simulations.</w:t>
      </w:r>
    </w:p>
    <w:p w14:paraId="3A92BEB0" w14:textId="77777777" w:rsidR="006300C4" w:rsidRDefault="00000000">
      <w:pPr>
        <w:keepNext/>
        <w:spacing w:before="110"/>
        <w:jc w:val="center"/>
      </w:pPr>
      <w:r>
        <w:rPr>
          <w:noProof/>
        </w:rPr>
        <w:drawing>
          <wp:inline distT="0" distB="0" distL="0" distR="0" wp14:anchorId="1F1C9778" wp14:editId="26EB8EA4">
            <wp:extent cx="6188710" cy="3110727"/>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7"/>
                    <a:stretch>
                      <a:fillRect/>
                    </a:stretch>
                  </pic:blipFill>
                  <pic:spPr>
                    <a:xfrm>
                      <a:off x="0" y="0"/>
                      <a:ext cx="6188710" cy="3110727"/>
                    </a:xfrm>
                    <a:prstGeom prst="rect">
                      <a:avLst/>
                    </a:prstGeom>
                  </pic:spPr>
                </pic:pic>
              </a:graphicData>
            </a:graphic>
          </wp:inline>
        </w:drawing>
      </w:r>
    </w:p>
    <w:p w14:paraId="2AAA33B7"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2. </w:t>
      </w:r>
      <w:r>
        <w:rPr>
          <w:rFonts w:ascii="Times New Roman" w:eastAsia="Calibri" w:hAnsi="Times New Roman" w:cs="Times New Roman"/>
          <w:sz w:val="20"/>
          <w:szCs w:val="20"/>
        </w:rPr>
        <w:t>Counterfactual simulation workflow and scenario design.</w:t>
      </w:r>
    </w:p>
    <w:p w14:paraId="5E8EBBC9" w14:textId="039291F2" w:rsidR="006300C4" w:rsidRDefault="00000000">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rPr>
        <w:t>From each simulated trajectory, I will compute three resilience metrics (Fig. 3; Lin et al., 2026a): (1) temporal stability, the mean of total cover divided by its standard deviation; (2) resistance, one minus the relative drop in cover in dry years; and (3) recovery rate, the inverse of the number of years needed to return to baseline. The same metrics computed from the cover of each population provide their population-level counterparts.</w:t>
      </w:r>
    </w:p>
    <w:p w14:paraId="1F5D3AA6" w14:textId="482E7E3B" w:rsidR="00D739A9" w:rsidRDefault="00D739A9">
      <w:pPr>
        <w:spacing w:after="110" w:line="360" w:lineRule="auto"/>
        <w:jc w:val="both"/>
        <w:rPr>
          <w:rFonts w:ascii="Times New Roman" w:hAnsi="Times New Roman" w:cs="Times New Roman"/>
          <w:lang w:eastAsia="zh-TW"/>
        </w:rPr>
      </w:pPr>
      <w:r>
        <w:rPr>
          <w:rFonts w:ascii="Times New Roman" w:eastAsia="Calibri" w:hAnsi="Times New Roman" w:cs="Times New Roman"/>
        </w:rPr>
        <w:t>To test whether climate-driven shifts in interaction strength enhance community resilience (Q2), I will compare the full model with three frozen scenarios, in which the interspecific modulators (δ</w:t>
      </w:r>
      <w:r>
        <w:rPr>
          <w:rFonts w:ascii="Times New Roman" w:eastAsia="Calibri" w:hAnsi="Times New Roman" w:cs="Times New Roman"/>
          <w:vertAlign w:val="subscript"/>
        </w:rPr>
        <w:t>grass</w:t>
      </w:r>
      <w:r>
        <w:rPr>
          <w:rFonts w:ascii="Times New Roman" w:eastAsia="Calibri" w:hAnsi="Times New Roman" w:cs="Times New Roman"/>
        </w:rPr>
        <w:t xml:space="preserve"> and δ</w:t>
      </w:r>
      <w:r>
        <w:rPr>
          <w:rFonts w:ascii="Times New Roman" w:eastAsia="Calibri" w:hAnsi="Times New Roman" w:cs="Times New Roman"/>
          <w:vertAlign w:val="subscript"/>
        </w:rPr>
        <w:t>shrub</w:t>
      </w:r>
      <w:r>
        <w:rPr>
          <w:rFonts w:ascii="Times New Roman" w:eastAsia="Calibri" w:hAnsi="Times New Roman" w:cs="Times New Roman"/>
        </w:rPr>
        <w:t>), the intraspecific modulator (δ</w:t>
      </w:r>
      <w:r>
        <w:rPr>
          <w:rFonts w:ascii="Times New Roman" w:eastAsia="Calibri" w:hAnsi="Times New Roman" w:cs="Times New Roman"/>
          <w:vertAlign w:val="subscript"/>
        </w:rPr>
        <w:t>intra</w:t>
      </w:r>
      <w:r>
        <w:rPr>
          <w:rFonts w:ascii="Times New Roman" w:eastAsia="Calibri" w:hAnsi="Times New Roman" w:cs="Times New Roman"/>
        </w:rPr>
        <w:t>), or all three are set to zero (Fig. 2). Because climate is centred, a frozen interaction is held at its mean-climate strength rather than removed, so the scenarios differ only in whether interaction strength responds to climate. The difference in each resilience metric between the full and a frozen scenario quantifies the contribution of that climate response to community resilience. I expect freezing to lower temporal stability and resistance, and to slow recovery (Fig. 4). Each scenario will be run under four climate sequences: the observed sequence, random reordering of the observed years, sequences that cluster the driest years, and a constant mean climate (Fig. 2).</w:t>
      </w:r>
    </w:p>
    <w:p w14:paraId="24C6F2BA" w14:textId="77777777" w:rsidR="006300C4" w:rsidRDefault="00000000">
      <w:pPr>
        <w:keepNext/>
        <w:spacing w:before="110"/>
        <w:jc w:val="center"/>
      </w:pPr>
      <w:r>
        <w:rPr>
          <w:noProof/>
        </w:rPr>
        <w:lastRenderedPageBreak/>
        <w:drawing>
          <wp:inline distT="0" distB="0" distL="0" distR="0" wp14:anchorId="35CBFE53" wp14:editId="6DE87A56">
            <wp:extent cx="6188710" cy="2650257"/>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2002"/>
                    <pic:cNvPicPr/>
                  </pic:nvPicPr>
                  <pic:blipFill>
                    <a:blip r:embed="rId8"/>
                    <a:stretch>
                      <a:fillRect/>
                    </a:stretch>
                  </pic:blipFill>
                  <pic:spPr>
                    <a:xfrm>
                      <a:off x="0" y="0"/>
                      <a:ext cx="6188710" cy="2650257"/>
                    </a:xfrm>
                    <a:prstGeom prst="rect">
                      <a:avLst/>
                    </a:prstGeom>
                  </pic:spPr>
                </pic:pic>
              </a:graphicData>
            </a:graphic>
          </wp:inline>
        </w:drawing>
      </w:r>
    </w:p>
    <w:p w14:paraId="7F5A81D7"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3. </w:t>
      </w:r>
      <w:r>
        <w:rPr>
          <w:rFonts w:ascii="Times New Roman" w:eastAsia="Calibri" w:hAnsi="Times New Roman" w:cs="Times New Roman"/>
          <w:sz w:val="20"/>
          <w:szCs w:val="20"/>
        </w:rPr>
        <w:t>Hypothetical community trajectories under full and frozen interactions.</w:t>
      </w:r>
    </w:p>
    <w:p w14:paraId="713A111C" w14:textId="77777777" w:rsidR="006300C4" w:rsidRDefault="00000000">
      <w:pPr>
        <w:keepNext/>
        <w:spacing w:before="110"/>
        <w:jc w:val="center"/>
      </w:pPr>
      <w:r>
        <w:rPr>
          <w:noProof/>
        </w:rPr>
        <w:drawing>
          <wp:inline distT="0" distB="0" distL="0" distR="0" wp14:anchorId="0AAA1A53" wp14:editId="3AC096FA">
            <wp:extent cx="6188710" cy="2080621"/>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9"/>
                    <a:stretch>
                      <a:fillRect/>
                    </a:stretch>
                  </pic:blipFill>
                  <pic:spPr>
                    <a:xfrm>
                      <a:off x="0" y="0"/>
                      <a:ext cx="6188710" cy="2080621"/>
                    </a:xfrm>
                    <a:prstGeom prst="rect">
                      <a:avLst/>
                    </a:prstGeom>
                  </pic:spPr>
                </pic:pic>
              </a:graphicData>
            </a:graphic>
          </wp:inline>
        </w:drawing>
      </w:r>
    </w:p>
    <w:p w14:paraId="5BAF4333"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4. </w:t>
      </w:r>
      <w:r>
        <w:rPr>
          <w:rFonts w:ascii="Times New Roman" w:eastAsia="Calibri" w:hAnsi="Times New Roman" w:cs="Times New Roman"/>
          <w:sz w:val="20"/>
          <w:szCs w:val="20"/>
        </w:rPr>
        <w:t>Hypothetical resilience metrics across scenarios.</w:t>
      </w:r>
    </w:p>
    <w:p w14:paraId="5659EC7A" w14:textId="0EC8010C" w:rsidR="005A3D11" w:rsidRDefault="005A3D11" w:rsidP="005A3D11">
      <w:pPr>
        <w:spacing w:line="360" w:lineRule="auto"/>
        <w:jc w:val="both"/>
        <w:rPr>
          <w:rFonts w:ascii="Times New Roman" w:eastAsia="Calibri" w:hAnsi="Times New Roman" w:cs="Times New Roman"/>
        </w:rPr>
      </w:pPr>
      <w:r>
        <w:rPr>
          <w:rFonts w:ascii="Times New Roman" w:eastAsia="Calibri" w:hAnsi="Times New Roman" w:cs="Times New Roman"/>
        </w:rPr>
        <w:t>The same procedure extends to Q1. Setting δ</w:t>
      </w:r>
      <w:r>
        <w:rPr>
          <w:rFonts w:ascii="Times New Roman" w:eastAsia="Calibri" w:hAnsi="Times New Roman" w:cs="Times New Roman"/>
          <w:vertAlign w:val="subscript"/>
        </w:rPr>
        <w:t>size</w:t>
      </w:r>
      <w:r>
        <w:rPr>
          <w:rFonts w:ascii="Times New Roman" w:eastAsia="Calibri" w:hAnsi="Times New Roman" w:cs="Times New Roman"/>
        </w:rPr>
        <w:t xml:space="preserve"> to zero removes the size dependence of climate responses at the individual level, whereas setting d1</w:t>
      </w:r>
      <w:r>
        <w:rPr>
          <w:rFonts w:ascii="Times New Roman" w:eastAsia="Calibri" w:hAnsi="Times New Roman" w:cs="Times New Roman"/>
          <w:vertAlign w:val="subscript"/>
        </w:rPr>
        <w:t>climate</w:t>
      </w:r>
      <w:r>
        <w:rPr>
          <w:rFonts w:ascii="Times New Roman" w:eastAsia="Calibri" w:hAnsi="Times New Roman" w:cs="Times New Roman"/>
        </w:rPr>
        <w:t xml:space="preserve"> and σ</w:t>
      </w:r>
      <w:r>
        <w:rPr>
          <w:rFonts w:ascii="Times New Roman" w:eastAsia="Calibri" w:hAnsi="Times New Roman" w:cs="Times New Roman"/>
          <w:vertAlign w:val="subscript"/>
        </w:rPr>
        <w:t>climate</w:t>
      </w:r>
      <w:r>
        <w:rPr>
          <w:rFonts w:ascii="Times New Roman" w:eastAsia="Calibri" w:hAnsi="Times New Roman" w:cs="Times New Roman"/>
        </w:rPr>
        <w:t xml:space="preserve"> to zero forces all populations to share one climate response and thereby removes response diversity at the population level. Ranking the loss of community resilience across these scenarios, alongside the interaction scenarios above, will reveal which level governs the response of the whole community, and whether it is the same factor that dominates individual responses in Part A.</w:t>
      </w:r>
    </w:p>
    <w:p w14:paraId="29DCDB30" w14:textId="77777777" w:rsidR="005A3D11" w:rsidRDefault="005A3D11">
      <w:pPr>
        <w:rPr>
          <w:rFonts w:ascii="Times New Roman" w:eastAsia="Calibri" w:hAnsi="Times New Roman" w:cs="Times New Roman"/>
        </w:rPr>
      </w:pPr>
      <w:r>
        <w:rPr>
          <w:rFonts w:ascii="Times New Roman" w:eastAsia="Calibri" w:hAnsi="Times New Roman" w:cs="Times New Roman"/>
        </w:rPr>
        <w:br w:type="page"/>
      </w:r>
    </w:p>
    <w:p w14:paraId="5D27A83B" w14:textId="5828D54E" w:rsidR="008758AE" w:rsidRPr="00965132" w:rsidRDefault="000324CD" w:rsidP="001462C6">
      <w:pPr>
        <w:pStyle w:val="Heading1"/>
        <w:spacing w:before="240" w:after="110" w:line="360" w:lineRule="auto"/>
        <w:rPr>
          <w:rFonts w:ascii="Times New Roman" w:hAnsi="Times New Roman" w:cs="Times New Roman"/>
          <w:sz w:val="24"/>
          <w:szCs w:val="24"/>
          <w:lang w:eastAsia="zh-TW"/>
        </w:rPr>
      </w:pPr>
      <w:r w:rsidRPr="00965132">
        <w:rPr>
          <w:rFonts w:ascii="Times New Roman" w:eastAsia="Calibri" w:hAnsi="Times New Roman" w:cs="Times New Roman" w:hint="eastAsia"/>
          <w:b/>
          <w:bCs/>
          <w:color w:val="1F3864"/>
          <w:sz w:val="24"/>
          <w:szCs w:val="24"/>
          <w:lang w:eastAsia="zh-TW"/>
        </w:rPr>
        <w:lastRenderedPageBreak/>
        <w:t>4 References</w:t>
      </w:r>
    </w:p>
    <w:p w14:paraId="326F1AA5"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Adler, P. B., Ellner, S. P., &amp; Levine, J. M. (2010). Coexistence of perennial plants: An embarrassment of niches. </w:t>
      </w:r>
      <w:r w:rsidRPr="000770FD">
        <w:rPr>
          <w:rFonts w:ascii="Times New Roman" w:hAnsi="Times New Roman" w:cs="Times New Roman"/>
          <w:i/>
        </w:rPr>
        <w:t>Ecology Letters</w:t>
      </w:r>
      <w:r w:rsidRPr="000770FD">
        <w:rPr>
          <w:rFonts w:ascii="Times New Roman" w:hAnsi="Times New Roman" w:cs="Times New Roman"/>
        </w:rPr>
        <w:t xml:space="preserve">, </w:t>
      </w:r>
      <w:r w:rsidRPr="000770FD">
        <w:rPr>
          <w:rFonts w:ascii="Times New Roman" w:hAnsi="Times New Roman" w:cs="Times New Roman"/>
          <w:i/>
        </w:rPr>
        <w:t>13</w:t>
      </w:r>
      <w:r w:rsidRPr="000770FD">
        <w:rPr>
          <w:rFonts w:ascii="Times New Roman" w:hAnsi="Times New Roman" w:cs="Times New Roman"/>
        </w:rPr>
        <w:t>(8), 1019–1029.</w:t>
      </w:r>
    </w:p>
    <w:p w14:paraId="086E6B5D"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Adler, P. B., Tyburczy, W. R., &amp; Lauenroth, W. K. (2007). Long-term mapped quadrats from Kansas prairie: A unique source of demographic information for herbaceous plants. </w:t>
      </w:r>
      <w:r w:rsidRPr="000770FD">
        <w:rPr>
          <w:rFonts w:ascii="Times New Roman" w:hAnsi="Times New Roman" w:cs="Times New Roman"/>
          <w:i/>
        </w:rPr>
        <w:t>Ecology</w:t>
      </w:r>
      <w:r w:rsidRPr="000770FD">
        <w:rPr>
          <w:rFonts w:ascii="Times New Roman" w:hAnsi="Times New Roman" w:cs="Times New Roman"/>
        </w:rPr>
        <w:t xml:space="preserve">, </w:t>
      </w:r>
      <w:r w:rsidRPr="000770FD">
        <w:rPr>
          <w:rFonts w:ascii="Times New Roman" w:hAnsi="Times New Roman" w:cs="Times New Roman"/>
          <w:i/>
        </w:rPr>
        <w:t>88</w:t>
      </w:r>
      <w:r w:rsidRPr="000770FD">
        <w:rPr>
          <w:rFonts w:ascii="Times New Roman" w:hAnsi="Times New Roman" w:cs="Times New Roman"/>
        </w:rPr>
        <w:t>, 2673.</w:t>
      </w:r>
    </w:p>
    <w:p w14:paraId="0F198663"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Anderson, J., Vermeire, L., &amp; Adler, P. B. (2011). Fourteen years of mapped, permanent quadrats in a northern mixed prairie, USA. </w:t>
      </w:r>
      <w:r w:rsidRPr="000770FD">
        <w:rPr>
          <w:rFonts w:ascii="Times New Roman" w:hAnsi="Times New Roman" w:cs="Times New Roman"/>
          <w:i/>
        </w:rPr>
        <w:t>Ecology</w:t>
      </w:r>
      <w:r w:rsidRPr="000770FD">
        <w:rPr>
          <w:rFonts w:ascii="Times New Roman" w:hAnsi="Times New Roman" w:cs="Times New Roman"/>
        </w:rPr>
        <w:t xml:space="preserve">, </w:t>
      </w:r>
      <w:r w:rsidRPr="000770FD">
        <w:rPr>
          <w:rFonts w:ascii="Times New Roman" w:hAnsi="Times New Roman" w:cs="Times New Roman"/>
          <w:i/>
        </w:rPr>
        <w:t>92</w:t>
      </w:r>
      <w:r w:rsidRPr="000770FD">
        <w:rPr>
          <w:rFonts w:ascii="Times New Roman" w:hAnsi="Times New Roman" w:cs="Times New Roman"/>
        </w:rPr>
        <w:t>(8), 1703.</w:t>
      </w:r>
    </w:p>
    <w:p w14:paraId="61452EE6"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Bolnick, D. I., Amarasekare, P., Araújo, M. S., Bürger, R., Levine, J. M., Novak, M., Rudolf, V. H., Schreiber, S. J., Urban, M. C., &amp; Vasseur, D. A. (2011). Why intraspecific trait variation matters in community ecology. </w:t>
      </w:r>
      <w:r w:rsidRPr="000770FD">
        <w:rPr>
          <w:rFonts w:ascii="Times New Roman" w:hAnsi="Times New Roman" w:cs="Times New Roman"/>
          <w:i/>
          <w:iCs/>
        </w:rPr>
        <w:t>Trends in Ecology &amp; Evolution</w:t>
      </w:r>
      <w:r w:rsidRPr="000770FD">
        <w:rPr>
          <w:rFonts w:ascii="Times New Roman" w:hAnsi="Times New Roman" w:cs="Times New Roman"/>
        </w:rPr>
        <w:t xml:space="preserve">, </w:t>
      </w:r>
      <w:r w:rsidRPr="000770FD">
        <w:rPr>
          <w:rFonts w:ascii="Times New Roman" w:hAnsi="Times New Roman" w:cs="Times New Roman"/>
          <w:i/>
          <w:iCs/>
        </w:rPr>
        <w:t>26</w:t>
      </w:r>
      <w:r w:rsidRPr="000770FD">
        <w:rPr>
          <w:rFonts w:ascii="Times New Roman" w:hAnsi="Times New Roman" w:cs="Times New Roman"/>
        </w:rPr>
        <w:t>(4), 183–192.</w:t>
      </w:r>
    </w:p>
    <w:p w14:paraId="6B5E0088"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Calleja-Solanas, V., Bartomeus, I., &amp; Godoy, O. (2025). Time-varying interactions drive species coexistence via rainfall variation. </w:t>
      </w:r>
      <w:r w:rsidRPr="000770FD">
        <w:rPr>
          <w:rFonts w:ascii="Times New Roman" w:hAnsi="Times New Roman" w:cs="Times New Roman"/>
          <w:i/>
          <w:iCs/>
        </w:rPr>
        <w:t>bioRxiv</w:t>
      </w:r>
      <w:r w:rsidRPr="000770FD">
        <w:rPr>
          <w:rFonts w:ascii="Times New Roman" w:hAnsi="Times New Roman" w:cs="Times New Roman"/>
        </w:rPr>
        <w:t>, 2025.11. 28.690940.</w:t>
      </w:r>
    </w:p>
    <w:p w14:paraId="10476462"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Cam, E., Link, W. A., Cooch, E. G., Monnat, J.-Y., &amp; Danchin, E. (2002). Individual covariation in life-history traits: Seeing the trees despite the forest. </w:t>
      </w:r>
      <w:r w:rsidRPr="000770FD">
        <w:rPr>
          <w:rFonts w:ascii="Times New Roman" w:hAnsi="Times New Roman" w:cs="Times New Roman"/>
          <w:i/>
          <w:iCs/>
        </w:rPr>
        <w:t>The American Naturalist</w:t>
      </w:r>
      <w:r w:rsidRPr="000770FD">
        <w:rPr>
          <w:rFonts w:ascii="Times New Roman" w:hAnsi="Times New Roman" w:cs="Times New Roman"/>
        </w:rPr>
        <w:t xml:space="preserve">, </w:t>
      </w:r>
      <w:r w:rsidRPr="000770FD">
        <w:rPr>
          <w:rFonts w:ascii="Times New Roman" w:hAnsi="Times New Roman" w:cs="Times New Roman"/>
          <w:i/>
          <w:iCs/>
        </w:rPr>
        <w:t>159</w:t>
      </w:r>
      <w:r w:rsidRPr="000770FD">
        <w:rPr>
          <w:rFonts w:ascii="Times New Roman" w:hAnsi="Times New Roman" w:cs="Times New Roman"/>
        </w:rPr>
        <w:t>(1), 96–105.</w:t>
      </w:r>
    </w:p>
    <w:p w14:paraId="36250A77"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Chu, C., &amp; Adler, P. B. (2015). Large niche differences emerge at the recruitment stage to stabilize grassland coexistence. </w:t>
      </w:r>
      <w:r w:rsidRPr="000770FD">
        <w:rPr>
          <w:rFonts w:ascii="Times New Roman" w:hAnsi="Times New Roman" w:cs="Times New Roman"/>
          <w:i/>
        </w:rPr>
        <w:t>Ecological Monographs</w:t>
      </w:r>
      <w:r w:rsidRPr="000770FD">
        <w:rPr>
          <w:rFonts w:ascii="Times New Roman" w:hAnsi="Times New Roman" w:cs="Times New Roman"/>
        </w:rPr>
        <w:t xml:space="preserve">, </w:t>
      </w:r>
      <w:r w:rsidRPr="000770FD">
        <w:rPr>
          <w:rFonts w:ascii="Times New Roman" w:hAnsi="Times New Roman" w:cs="Times New Roman"/>
          <w:i/>
        </w:rPr>
        <w:t>85</w:t>
      </w:r>
      <w:r w:rsidRPr="000770FD">
        <w:rPr>
          <w:rFonts w:ascii="Times New Roman" w:hAnsi="Times New Roman" w:cs="Times New Roman"/>
        </w:rPr>
        <w:t>(3), 373–392.</w:t>
      </w:r>
    </w:p>
    <w:p w14:paraId="1DE2CA90"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Chu, C., Kleinhesselink, A. R., Havstad, K. M., McClaran, M. P., Peters, D. P., Vermeire, L. T., Wei, H., &amp; Adler, P. B. (2016). Direct effects dominate responses to climate perturbations in grassland plant communities. </w:t>
      </w:r>
      <w:r w:rsidRPr="000770FD">
        <w:rPr>
          <w:rFonts w:ascii="Times New Roman" w:hAnsi="Times New Roman" w:cs="Times New Roman"/>
          <w:i/>
          <w:iCs/>
        </w:rPr>
        <w:t>Nature Communications</w:t>
      </w:r>
      <w:r w:rsidRPr="000770FD">
        <w:rPr>
          <w:rFonts w:ascii="Times New Roman" w:hAnsi="Times New Roman" w:cs="Times New Roman"/>
        </w:rPr>
        <w:t xml:space="preserve">, </w:t>
      </w:r>
      <w:r w:rsidRPr="000770FD">
        <w:rPr>
          <w:rFonts w:ascii="Times New Roman" w:hAnsi="Times New Roman" w:cs="Times New Roman"/>
          <w:i/>
          <w:iCs/>
        </w:rPr>
        <w:t>7</w:t>
      </w:r>
      <w:r w:rsidRPr="000770FD">
        <w:rPr>
          <w:rFonts w:ascii="Times New Roman" w:hAnsi="Times New Roman" w:cs="Times New Roman"/>
        </w:rPr>
        <w:t>(1), 11766.</w:t>
      </w:r>
    </w:p>
    <w:p w14:paraId="2081AA51"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Figueiredo, L., Scherer, C., Kramer‐Schadt, S., Cabral, J. S., Kéfi, S., Van den Brink, P. J., &amp; Radchuk, V. (2026). estar: An R package to measure ecological stability. </w:t>
      </w:r>
      <w:r w:rsidRPr="000770FD">
        <w:rPr>
          <w:rFonts w:ascii="Times New Roman" w:hAnsi="Times New Roman" w:cs="Times New Roman"/>
          <w:i/>
          <w:iCs/>
        </w:rPr>
        <w:t>Methods in Ecology and Evolution</w:t>
      </w:r>
      <w:r w:rsidRPr="000770FD">
        <w:rPr>
          <w:rFonts w:ascii="Times New Roman" w:hAnsi="Times New Roman" w:cs="Times New Roman"/>
        </w:rPr>
        <w:t xml:space="preserve">, </w:t>
      </w:r>
      <w:r w:rsidRPr="000770FD">
        <w:rPr>
          <w:rFonts w:ascii="Times New Roman" w:hAnsi="Times New Roman" w:cs="Times New Roman"/>
          <w:i/>
          <w:iCs/>
        </w:rPr>
        <w:t>17</w:t>
      </w:r>
      <w:r w:rsidRPr="000770FD">
        <w:rPr>
          <w:rFonts w:ascii="Times New Roman" w:hAnsi="Times New Roman" w:cs="Times New Roman"/>
        </w:rPr>
        <w:t>(4), 1090–1100.</w:t>
      </w:r>
    </w:p>
    <w:p w14:paraId="296F9B27"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Hilde, C. H., Gamelon, M., Sæther, B.-E., Gaillard, J.-M., Yoccoz, N. G., &amp; Pélabon, C. (2020). The demographic buffering hypothesis: Evidence and challenges. </w:t>
      </w:r>
      <w:r w:rsidRPr="000770FD">
        <w:rPr>
          <w:rFonts w:ascii="Times New Roman" w:hAnsi="Times New Roman" w:cs="Times New Roman"/>
          <w:i/>
          <w:iCs/>
        </w:rPr>
        <w:t>Trends in Ecology &amp; Evolution</w:t>
      </w:r>
      <w:r w:rsidRPr="000770FD">
        <w:rPr>
          <w:rFonts w:ascii="Times New Roman" w:hAnsi="Times New Roman" w:cs="Times New Roman"/>
        </w:rPr>
        <w:t xml:space="preserve">, </w:t>
      </w:r>
      <w:r w:rsidRPr="000770FD">
        <w:rPr>
          <w:rFonts w:ascii="Times New Roman" w:hAnsi="Times New Roman" w:cs="Times New Roman"/>
          <w:i/>
          <w:iCs/>
        </w:rPr>
        <w:t>35</w:t>
      </w:r>
      <w:r w:rsidRPr="000770FD">
        <w:rPr>
          <w:rFonts w:ascii="Times New Roman" w:hAnsi="Times New Roman" w:cs="Times New Roman"/>
        </w:rPr>
        <w:t>(6), 523–538.</w:t>
      </w:r>
    </w:p>
    <w:p w14:paraId="460F5A10"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Lauenroth, W. K., &amp; Adler, P. B. (2008). Demography of perennial grassland plants: Survival, life expectancy and life span. </w:t>
      </w:r>
      <w:r w:rsidRPr="000770FD">
        <w:rPr>
          <w:rFonts w:ascii="Times New Roman" w:hAnsi="Times New Roman" w:cs="Times New Roman"/>
          <w:i/>
        </w:rPr>
        <w:t>Journal of Ecology</w:t>
      </w:r>
      <w:r w:rsidRPr="000770FD">
        <w:rPr>
          <w:rFonts w:ascii="Times New Roman" w:hAnsi="Times New Roman" w:cs="Times New Roman"/>
        </w:rPr>
        <w:t xml:space="preserve">, </w:t>
      </w:r>
      <w:r w:rsidRPr="000770FD">
        <w:rPr>
          <w:rFonts w:ascii="Times New Roman" w:hAnsi="Times New Roman" w:cs="Times New Roman"/>
          <w:i/>
        </w:rPr>
        <w:t>96</w:t>
      </w:r>
      <w:r w:rsidRPr="000770FD">
        <w:rPr>
          <w:rFonts w:ascii="Times New Roman" w:hAnsi="Times New Roman" w:cs="Times New Roman"/>
        </w:rPr>
        <w:t>(5), 1023–1032.</w:t>
      </w:r>
    </w:p>
    <w:p w14:paraId="399FE3B6"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Lin, H., Hernandez, C., Jaggi, H., ZUO, W., Tuljapurkar, S. D., &amp; Salguero-Gomez, R. (2026). Life history traits predict the contribution of transient dynamics to variation in population growth. </w:t>
      </w:r>
      <w:r w:rsidRPr="000770FD">
        <w:rPr>
          <w:rFonts w:ascii="Times New Roman" w:hAnsi="Times New Roman" w:cs="Times New Roman"/>
          <w:i/>
          <w:iCs/>
        </w:rPr>
        <w:t>bioRxiv</w:t>
      </w:r>
      <w:r w:rsidRPr="000770FD">
        <w:rPr>
          <w:rFonts w:ascii="Times New Roman" w:hAnsi="Times New Roman" w:cs="Times New Roman"/>
        </w:rPr>
        <w:t>, 2026.08. 28.747639.</w:t>
      </w:r>
    </w:p>
    <w:p w14:paraId="45EF8DF7"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Lin, H., Moorthy, S. M. K., Hector, A., &amp; Salguero-Gómez, R. (2026). Still Lost in Definitions: How ‘Resilience’ Is Used in Ecology. </w:t>
      </w:r>
      <w:r w:rsidRPr="000770FD">
        <w:rPr>
          <w:rFonts w:ascii="Times New Roman" w:hAnsi="Times New Roman" w:cs="Times New Roman"/>
          <w:i/>
          <w:iCs/>
        </w:rPr>
        <w:t>bioRxiv</w:t>
      </w:r>
      <w:r w:rsidRPr="000770FD">
        <w:rPr>
          <w:rFonts w:ascii="Times New Roman" w:hAnsi="Times New Roman" w:cs="Times New Roman"/>
        </w:rPr>
        <w:t>, 2026.06. 03.729936.</w:t>
      </w:r>
    </w:p>
    <w:p w14:paraId="12261633"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Loreau, M., &amp; De Mazancourt, C. (2013). Biodiversity and ecosystem stability: A synthesis of underlying mechanisms. </w:t>
      </w:r>
      <w:r w:rsidRPr="000770FD">
        <w:rPr>
          <w:rFonts w:ascii="Times New Roman" w:hAnsi="Times New Roman" w:cs="Times New Roman"/>
          <w:i/>
          <w:iCs/>
        </w:rPr>
        <w:t>Ecology Letters</w:t>
      </w:r>
      <w:r w:rsidRPr="000770FD">
        <w:rPr>
          <w:rFonts w:ascii="Times New Roman" w:hAnsi="Times New Roman" w:cs="Times New Roman"/>
        </w:rPr>
        <w:t xml:space="preserve">, </w:t>
      </w:r>
      <w:r w:rsidRPr="000770FD">
        <w:rPr>
          <w:rFonts w:ascii="Times New Roman" w:hAnsi="Times New Roman" w:cs="Times New Roman"/>
          <w:i/>
          <w:iCs/>
        </w:rPr>
        <w:t>16</w:t>
      </w:r>
      <w:r w:rsidRPr="000770FD">
        <w:rPr>
          <w:rFonts w:ascii="Times New Roman" w:hAnsi="Times New Roman" w:cs="Times New Roman"/>
        </w:rPr>
        <w:t>, 106–115.</w:t>
      </w:r>
    </w:p>
    <w:p w14:paraId="3DF3FE0E"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Segrestin, J., &amp; Lepš, J. (2022). Towards a better ecological understanding of metacommunity stability: A multiscale framework to disentangle population variability and synchrony effects. </w:t>
      </w:r>
      <w:r w:rsidRPr="000770FD">
        <w:rPr>
          <w:rFonts w:ascii="Times New Roman" w:hAnsi="Times New Roman" w:cs="Times New Roman"/>
          <w:i/>
          <w:iCs/>
        </w:rPr>
        <w:t>Journal of Ecology</w:t>
      </w:r>
      <w:r w:rsidRPr="000770FD">
        <w:rPr>
          <w:rFonts w:ascii="Times New Roman" w:hAnsi="Times New Roman" w:cs="Times New Roman"/>
        </w:rPr>
        <w:t xml:space="preserve">, </w:t>
      </w:r>
      <w:r w:rsidRPr="000770FD">
        <w:rPr>
          <w:rFonts w:ascii="Times New Roman" w:hAnsi="Times New Roman" w:cs="Times New Roman"/>
          <w:i/>
          <w:iCs/>
        </w:rPr>
        <w:t>110</w:t>
      </w:r>
      <w:r w:rsidRPr="000770FD">
        <w:rPr>
          <w:rFonts w:ascii="Times New Roman" w:hAnsi="Times New Roman" w:cs="Times New Roman"/>
        </w:rPr>
        <w:t>(7), 1632–1645.</w:t>
      </w:r>
    </w:p>
    <w:p w14:paraId="55FEE1B1"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Teller, B. J., Adler, P. B., Edwards, C. B., Hooker, G., &amp; Ellner, S. P. (2016). Linking demography with drivers: Climate and competition. </w:t>
      </w:r>
      <w:r w:rsidRPr="000770FD">
        <w:rPr>
          <w:rFonts w:ascii="Times New Roman" w:hAnsi="Times New Roman" w:cs="Times New Roman"/>
          <w:i/>
        </w:rPr>
        <w:t>Methods in Ecology and Evolution</w:t>
      </w:r>
      <w:r w:rsidRPr="000770FD">
        <w:rPr>
          <w:rFonts w:ascii="Times New Roman" w:hAnsi="Times New Roman" w:cs="Times New Roman"/>
        </w:rPr>
        <w:t xml:space="preserve">, </w:t>
      </w:r>
      <w:r w:rsidRPr="000770FD">
        <w:rPr>
          <w:rFonts w:ascii="Times New Roman" w:hAnsi="Times New Roman" w:cs="Times New Roman"/>
          <w:i/>
        </w:rPr>
        <w:t>7</w:t>
      </w:r>
      <w:r w:rsidRPr="000770FD">
        <w:rPr>
          <w:rFonts w:ascii="Times New Roman" w:hAnsi="Times New Roman" w:cs="Times New Roman"/>
        </w:rPr>
        <w:t>(2), 171–183.</w:t>
      </w:r>
    </w:p>
    <w:p w14:paraId="2E2520E3"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t xml:space="preserve">Zachmann, L., Moffet, C., &amp; Adler, P. (2010). Mapped quadrats in sagebrush steppe: Long-term data for analyzing demographic rates and plant–plant interactions. </w:t>
      </w:r>
      <w:r w:rsidRPr="000770FD">
        <w:rPr>
          <w:rFonts w:ascii="Times New Roman" w:hAnsi="Times New Roman" w:cs="Times New Roman"/>
          <w:i/>
        </w:rPr>
        <w:t>Ecology</w:t>
      </w:r>
      <w:r w:rsidRPr="000770FD">
        <w:rPr>
          <w:rFonts w:ascii="Times New Roman" w:hAnsi="Times New Roman" w:cs="Times New Roman"/>
        </w:rPr>
        <w:t xml:space="preserve">, </w:t>
      </w:r>
      <w:r w:rsidRPr="000770FD">
        <w:rPr>
          <w:rFonts w:ascii="Times New Roman" w:hAnsi="Times New Roman" w:cs="Times New Roman"/>
          <w:i/>
        </w:rPr>
        <w:t>91</w:t>
      </w:r>
      <w:r w:rsidRPr="000770FD">
        <w:rPr>
          <w:rFonts w:ascii="Times New Roman" w:hAnsi="Times New Roman" w:cs="Times New Roman"/>
        </w:rPr>
        <w:t>(11), 3427.</w:t>
      </w:r>
    </w:p>
    <w:p w14:paraId="54662B70" w14:textId="77777777" w:rsidR="000770FD" w:rsidRPr="000770FD" w:rsidRDefault="000770FD" w:rsidP="00360916">
      <w:pPr>
        <w:pStyle w:val="Bibliography"/>
        <w:spacing w:line="360" w:lineRule="auto"/>
        <w:rPr>
          <w:rFonts w:ascii="Times New Roman" w:hAnsi="Times New Roman" w:cs="Times New Roman"/>
        </w:rPr>
      </w:pPr>
      <w:r w:rsidRPr="000770FD">
        <w:rPr>
          <w:rFonts w:ascii="Times New Roman" w:hAnsi="Times New Roman" w:cs="Times New Roman"/>
        </w:rPr>
        <w:lastRenderedPageBreak/>
        <w:t xml:space="preserve">Zhao, L., Wang, S., Shen, R., Gong, Y., Wang, C., Hong, P., &amp; Reuman, D. C. (2022). Biodiversity stabilizes plant communities through statistical-averaging effects rather than compensatory dynamics. </w:t>
      </w:r>
      <w:r w:rsidRPr="000770FD">
        <w:rPr>
          <w:rFonts w:ascii="Times New Roman" w:hAnsi="Times New Roman" w:cs="Times New Roman"/>
          <w:i/>
          <w:iCs/>
        </w:rPr>
        <w:t>Nature Communications</w:t>
      </w:r>
      <w:r w:rsidRPr="000770FD">
        <w:rPr>
          <w:rFonts w:ascii="Times New Roman" w:hAnsi="Times New Roman" w:cs="Times New Roman"/>
        </w:rPr>
        <w:t xml:space="preserve">, </w:t>
      </w:r>
      <w:r w:rsidRPr="000770FD">
        <w:rPr>
          <w:rFonts w:ascii="Times New Roman" w:hAnsi="Times New Roman" w:cs="Times New Roman"/>
          <w:i/>
          <w:iCs/>
        </w:rPr>
        <w:t>13</w:t>
      </w:r>
      <w:r w:rsidRPr="000770FD">
        <w:rPr>
          <w:rFonts w:ascii="Times New Roman" w:hAnsi="Times New Roman" w:cs="Times New Roman"/>
        </w:rPr>
        <w:t>(1), 7804.</w:t>
      </w:r>
    </w:p>
    <w:p w14:paraId="7F4127EF" w14:textId="6E9D450C" w:rsidR="00925561" w:rsidRPr="00F27222" w:rsidRDefault="00925561" w:rsidP="00360916">
      <w:pPr>
        <w:pStyle w:val="Bibliography"/>
        <w:spacing w:line="360" w:lineRule="auto"/>
        <w:rPr>
          <w:rFonts w:ascii="Times New Roman" w:eastAsia="Calibri" w:hAnsi="Times New Roman" w:cs="Times New Roman"/>
          <w:lang w:eastAsia="zh-TW"/>
        </w:rPr>
      </w:pPr>
    </w:p>
    <w:p w14:paraId="01A60579" w14:textId="77777777" w:rsidR="008758AE" w:rsidRPr="00F27222" w:rsidRDefault="008758AE" w:rsidP="001462C6">
      <w:pPr>
        <w:spacing w:after="110" w:line="360" w:lineRule="auto"/>
        <w:jc w:val="both"/>
        <w:rPr>
          <w:rFonts w:ascii="Times New Roman" w:eastAsia="Calibri" w:hAnsi="Times New Roman" w:cs="Times New Roman"/>
          <w:lang w:eastAsia="zh-TW"/>
        </w:rPr>
      </w:pPr>
    </w:p>
    <w:p w14:paraId="592C99FE" w14:textId="77777777" w:rsidR="008758AE" w:rsidRPr="00F27222" w:rsidRDefault="008758AE" w:rsidP="001462C6">
      <w:pPr>
        <w:spacing w:after="110" w:line="360" w:lineRule="auto"/>
        <w:jc w:val="both"/>
        <w:rPr>
          <w:rFonts w:ascii="Times New Roman" w:hAnsi="Times New Roman" w:cs="Times New Roman"/>
          <w:lang w:eastAsia="zh-TW"/>
        </w:rPr>
      </w:pPr>
    </w:p>
    <w:sectPr w:rsidR="008758AE" w:rsidRPr="00F27222">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E905A8"/>
    <w:multiLevelType w:val="hybridMultilevel"/>
    <w:tmpl w:val="52E23A70"/>
    <w:lvl w:ilvl="0" w:tplc="4612A83A">
      <w:start w:val="1"/>
      <w:numFmt w:val="bullet"/>
      <w:lvlText w:val="●"/>
      <w:lvlJc w:val="left"/>
      <w:pPr>
        <w:ind w:left="720" w:hanging="360"/>
      </w:pPr>
    </w:lvl>
    <w:lvl w:ilvl="1" w:tplc="317CE8D8">
      <w:start w:val="1"/>
      <w:numFmt w:val="bullet"/>
      <w:lvlText w:val="○"/>
      <w:lvlJc w:val="left"/>
      <w:pPr>
        <w:ind w:left="1440" w:hanging="360"/>
      </w:pPr>
    </w:lvl>
    <w:lvl w:ilvl="2" w:tplc="5D02A56C">
      <w:start w:val="1"/>
      <w:numFmt w:val="bullet"/>
      <w:lvlText w:val="■"/>
      <w:lvlJc w:val="left"/>
      <w:pPr>
        <w:ind w:left="2160" w:hanging="360"/>
      </w:pPr>
    </w:lvl>
    <w:lvl w:ilvl="3" w:tplc="AB706948">
      <w:start w:val="1"/>
      <w:numFmt w:val="bullet"/>
      <w:lvlText w:val="●"/>
      <w:lvlJc w:val="left"/>
      <w:pPr>
        <w:ind w:left="2880" w:hanging="360"/>
      </w:pPr>
    </w:lvl>
    <w:lvl w:ilvl="4" w:tplc="86E20540">
      <w:start w:val="1"/>
      <w:numFmt w:val="bullet"/>
      <w:lvlText w:val="○"/>
      <w:lvlJc w:val="left"/>
      <w:pPr>
        <w:ind w:left="3600" w:hanging="360"/>
      </w:pPr>
    </w:lvl>
    <w:lvl w:ilvl="5" w:tplc="C04468A2">
      <w:start w:val="1"/>
      <w:numFmt w:val="bullet"/>
      <w:lvlText w:val="■"/>
      <w:lvlJc w:val="left"/>
      <w:pPr>
        <w:ind w:left="4320" w:hanging="360"/>
      </w:pPr>
    </w:lvl>
    <w:lvl w:ilvl="6" w:tplc="7B861F44">
      <w:start w:val="1"/>
      <w:numFmt w:val="bullet"/>
      <w:lvlText w:val="●"/>
      <w:lvlJc w:val="left"/>
      <w:pPr>
        <w:ind w:left="5040" w:hanging="360"/>
      </w:pPr>
    </w:lvl>
    <w:lvl w:ilvl="7" w:tplc="B88EA892">
      <w:start w:val="1"/>
      <w:numFmt w:val="bullet"/>
      <w:lvlText w:val="●"/>
      <w:lvlJc w:val="left"/>
      <w:pPr>
        <w:ind w:left="5760" w:hanging="360"/>
      </w:pPr>
    </w:lvl>
    <w:lvl w:ilvl="8" w:tplc="845663CE">
      <w:start w:val="1"/>
      <w:numFmt w:val="bullet"/>
      <w:lvlText w:val="●"/>
      <w:lvlJc w:val="left"/>
      <w:pPr>
        <w:ind w:left="6480" w:hanging="360"/>
      </w:pPr>
    </w:lvl>
  </w:abstractNum>
  <w:num w:numId="1" w16cid:durableId="4759228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7"/>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561"/>
    <w:rsid w:val="00003E41"/>
    <w:rsid w:val="000324CD"/>
    <w:rsid w:val="000366DB"/>
    <w:rsid w:val="00036F9D"/>
    <w:rsid w:val="00042803"/>
    <w:rsid w:val="00056BAE"/>
    <w:rsid w:val="000770FD"/>
    <w:rsid w:val="000871F4"/>
    <w:rsid w:val="0009253F"/>
    <w:rsid w:val="000D11A9"/>
    <w:rsid w:val="001003FB"/>
    <w:rsid w:val="00106680"/>
    <w:rsid w:val="001462C6"/>
    <w:rsid w:val="001742B7"/>
    <w:rsid w:val="00182BF4"/>
    <w:rsid w:val="001B4F2C"/>
    <w:rsid w:val="001C1D0E"/>
    <w:rsid w:val="001C6311"/>
    <w:rsid w:val="001E0795"/>
    <w:rsid w:val="001E5456"/>
    <w:rsid w:val="0020560B"/>
    <w:rsid w:val="00207778"/>
    <w:rsid w:val="002200E3"/>
    <w:rsid w:val="00221661"/>
    <w:rsid w:val="002434FC"/>
    <w:rsid w:val="002542ED"/>
    <w:rsid w:val="00257EB4"/>
    <w:rsid w:val="002A35A2"/>
    <w:rsid w:val="002B2FD0"/>
    <w:rsid w:val="002D2850"/>
    <w:rsid w:val="002D6A18"/>
    <w:rsid w:val="002F762D"/>
    <w:rsid w:val="002F79D1"/>
    <w:rsid w:val="00360916"/>
    <w:rsid w:val="00374082"/>
    <w:rsid w:val="003C7C0B"/>
    <w:rsid w:val="003D1375"/>
    <w:rsid w:val="003E711E"/>
    <w:rsid w:val="0040138E"/>
    <w:rsid w:val="004028DC"/>
    <w:rsid w:val="00487D89"/>
    <w:rsid w:val="004A65E8"/>
    <w:rsid w:val="00541B1C"/>
    <w:rsid w:val="00547926"/>
    <w:rsid w:val="00565F44"/>
    <w:rsid w:val="005A3D11"/>
    <w:rsid w:val="005C60B4"/>
    <w:rsid w:val="005D5AEC"/>
    <w:rsid w:val="00613F22"/>
    <w:rsid w:val="0061687A"/>
    <w:rsid w:val="006300C4"/>
    <w:rsid w:val="006646E5"/>
    <w:rsid w:val="00690F75"/>
    <w:rsid w:val="006A4316"/>
    <w:rsid w:val="006C1C56"/>
    <w:rsid w:val="006E4E4F"/>
    <w:rsid w:val="007124C2"/>
    <w:rsid w:val="0071657F"/>
    <w:rsid w:val="00732FA3"/>
    <w:rsid w:val="0074258F"/>
    <w:rsid w:val="00792D79"/>
    <w:rsid w:val="00796CF7"/>
    <w:rsid w:val="007A0603"/>
    <w:rsid w:val="007C3AE6"/>
    <w:rsid w:val="007C6EC2"/>
    <w:rsid w:val="007F7298"/>
    <w:rsid w:val="00810E23"/>
    <w:rsid w:val="00814646"/>
    <w:rsid w:val="00816EF7"/>
    <w:rsid w:val="00817046"/>
    <w:rsid w:val="00871C09"/>
    <w:rsid w:val="008758AE"/>
    <w:rsid w:val="008852EB"/>
    <w:rsid w:val="008A6BD9"/>
    <w:rsid w:val="008C7AC7"/>
    <w:rsid w:val="008E70D3"/>
    <w:rsid w:val="00922A16"/>
    <w:rsid w:val="00925561"/>
    <w:rsid w:val="00952DFA"/>
    <w:rsid w:val="00965132"/>
    <w:rsid w:val="009B1577"/>
    <w:rsid w:val="009C4741"/>
    <w:rsid w:val="00A030B0"/>
    <w:rsid w:val="00A1782C"/>
    <w:rsid w:val="00A50601"/>
    <w:rsid w:val="00A773C1"/>
    <w:rsid w:val="00A848F5"/>
    <w:rsid w:val="00AA5376"/>
    <w:rsid w:val="00AD409B"/>
    <w:rsid w:val="00AE1679"/>
    <w:rsid w:val="00B028EC"/>
    <w:rsid w:val="00B155E2"/>
    <w:rsid w:val="00B30196"/>
    <w:rsid w:val="00B7629A"/>
    <w:rsid w:val="00C025CE"/>
    <w:rsid w:val="00C135DB"/>
    <w:rsid w:val="00C20C0E"/>
    <w:rsid w:val="00C20EF2"/>
    <w:rsid w:val="00C51EC5"/>
    <w:rsid w:val="00C846C1"/>
    <w:rsid w:val="00CB11E4"/>
    <w:rsid w:val="00CB4A39"/>
    <w:rsid w:val="00CB75E1"/>
    <w:rsid w:val="00CF1EA8"/>
    <w:rsid w:val="00D40B66"/>
    <w:rsid w:val="00D739A9"/>
    <w:rsid w:val="00D86EFA"/>
    <w:rsid w:val="00DA5F0B"/>
    <w:rsid w:val="00E0009B"/>
    <w:rsid w:val="00E0090F"/>
    <w:rsid w:val="00E23992"/>
    <w:rsid w:val="00E35774"/>
    <w:rsid w:val="00E37037"/>
    <w:rsid w:val="00E6539C"/>
    <w:rsid w:val="00E671A9"/>
    <w:rsid w:val="00EA7BE1"/>
    <w:rsid w:val="00F2292E"/>
    <w:rsid w:val="00F27222"/>
    <w:rsid w:val="00F323CD"/>
    <w:rsid w:val="00F62471"/>
    <w:rsid w:val="00F71860"/>
    <w:rsid w:val="00F76B4E"/>
    <w:rsid w:val="00F97AFE"/>
    <w:rsid w:val="00FE11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F7C0"/>
  <w15:docId w15:val="{81D82D02-A3B8-AD49-91BD-9D8E8E3C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PMingLiU" w:hAnsi="Calibri" w:cs="Calibri"/>
        <w:sz w:val="21"/>
        <w:szCs w:val="21"/>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90F"/>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A6BD9"/>
  </w:style>
  <w:style w:type="character" w:styleId="CommentReference">
    <w:name w:val="annotation reference"/>
    <w:basedOn w:val="DefaultParagraphFont"/>
    <w:uiPriority w:val="99"/>
    <w:semiHidden/>
    <w:unhideWhenUsed/>
    <w:rsid w:val="008A6BD9"/>
    <w:rPr>
      <w:sz w:val="16"/>
      <w:szCs w:val="16"/>
    </w:rPr>
  </w:style>
  <w:style w:type="paragraph" w:styleId="CommentText">
    <w:name w:val="annotation text"/>
    <w:basedOn w:val="Normal"/>
    <w:link w:val="CommentTextChar"/>
    <w:uiPriority w:val="99"/>
    <w:semiHidden/>
    <w:unhideWhenUsed/>
    <w:rsid w:val="008A6BD9"/>
    <w:rPr>
      <w:sz w:val="20"/>
      <w:szCs w:val="20"/>
    </w:rPr>
  </w:style>
  <w:style w:type="character" w:customStyle="1" w:styleId="CommentTextChar">
    <w:name w:val="Comment Text Char"/>
    <w:basedOn w:val="DefaultParagraphFont"/>
    <w:link w:val="CommentText"/>
    <w:uiPriority w:val="99"/>
    <w:semiHidden/>
    <w:rsid w:val="008A6BD9"/>
    <w:rPr>
      <w:sz w:val="20"/>
      <w:szCs w:val="20"/>
    </w:rPr>
  </w:style>
  <w:style w:type="paragraph" w:styleId="CommentSubject">
    <w:name w:val="annotation subject"/>
    <w:basedOn w:val="CommentText"/>
    <w:next w:val="CommentText"/>
    <w:link w:val="CommentSubjectChar"/>
    <w:uiPriority w:val="99"/>
    <w:semiHidden/>
    <w:unhideWhenUsed/>
    <w:rsid w:val="008A6BD9"/>
    <w:rPr>
      <w:b/>
      <w:bCs/>
    </w:rPr>
  </w:style>
  <w:style w:type="character" w:customStyle="1" w:styleId="CommentSubjectChar">
    <w:name w:val="Comment Subject Char"/>
    <w:basedOn w:val="CommentTextChar"/>
    <w:link w:val="CommentSubject"/>
    <w:uiPriority w:val="99"/>
    <w:semiHidden/>
    <w:rsid w:val="008A6BD9"/>
    <w:rPr>
      <w:b/>
      <w:bCs/>
      <w:sz w:val="20"/>
      <w:szCs w:val="20"/>
    </w:rPr>
  </w:style>
  <w:style w:type="paragraph" w:styleId="Bibliography">
    <w:name w:val="Bibliography"/>
    <w:basedOn w:val="Normal"/>
    <w:next w:val="Normal"/>
    <w:uiPriority w:val="37"/>
    <w:unhideWhenUsed/>
    <w:rsid w:val="00C025CE"/>
    <w:pPr>
      <w:tabs>
        <w:tab w:val="left" w:pos="260"/>
        <w:tab w:val="left" w:pos="380"/>
      </w:tabs>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29983-1116-C346-94A3-24FBC1130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Integrating resilience from individual to community</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resilience from individual to community</dc:title>
  <dc:creator>Hung-wei Lin</dc:creator>
  <cp:lastModifiedBy>Hung-Wei Lin</cp:lastModifiedBy>
  <cp:revision>77</cp:revision>
  <dcterms:created xsi:type="dcterms:W3CDTF">2026-09-22T11:54:00Z</dcterms:created>
  <dcterms:modified xsi:type="dcterms:W3CDTF">2026-10-13T23:04:00Z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zotero-version="10.0.4"&gt;&lt;session id="oRVGsKyv"/&gt;&lt;style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