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AC4E972" w14:textId="77777777" w:rsidR="001E0795" w:rsidRPr="00F27222" w:rsidRDefault="00000000" w:rsidP="001462C6">
      <w:pPr>
        <w:spacing w:after="40" w:line="360" w:lineRule="auto"/>
        <w:jc w:val="center"/>
        <w:rPr>
          <w:rFonts w:ascii="Times New Roman" w:hAnsi="Times New Roman" w:cs="Times New Roman"/>
          <w:sz w:val="32"/>
          <w:szCs w:val="32"/>
        </w:rPr>
      </w:pPr>
      <w:r>
        <w:rPr>
          <w:rFonts w:ascii="Times New Roman" w:eastAsia="Calibri" w:hAnsi="Times New Roman" w:cs="Times New Roman"/>
          <w:b/>
          <w:bCs/>
          <w:color w:val="1F3864"/>
          <w:sz w:val="32"/>
          <w:szCs w:val="32"/>
        </w:rPr>
        <w:t>Integrating resilience from individual to community</w:t>
      </w:r>
    </w:p>
    <w:p w14:paraId="0F3C7370" w14:textId="77777777" w:rsidR="00925561" w:rsidRPr="00F27222" w:rsidRDefault="00000000" w:rsidP="001462C6">
      <w:pPr>
        <w:spacing w:after="40" w:line="360" w:lineRule="auto"/>
        <w:jc w:val="center"/>
        <w:rPr>
          <w:rFonts w:ascii="Times New Roman" w:hAnsi="Times New Roman" w:cs="Times New Roman"/>
        </w:rPr>
      </w:pPr>
      <w:r>
        <w:rPr>
          <w:rFonts w:ascii="Times New Roman" w:eastAsia="Calibri" w:hAnsi="Times New Roman" w:cs="Times New Roman"/>
          <w:color w:val="555555"/>
          <w:sz w:val="19"/>
          <w:szCs w:val="19"/>
        </w:rPr>
        <w:t>Hung-wei Lin</w:t>
      </w:r>
      <w:r>
        <w:rPr>
          <w:rFonts w:ascii="Times New Roman" w:eastAsia="Calibri" w:hAnsi="Times New Roman" w:cs="Times New Roman"/>
          <w:color w:val="555555"/>
          <w:sz w:val="19"/>
          <w:szCs w:val="19"/>
          <w:lang w:eastAsia="zh-TW"/>
        </w:rPr>
        <w:t>,</w:t>
      </w:r>
      <w:r>
        <w:rPr>
          <w:rFonts w:ascii="Times New Roman" w:eastAsia="Calibri" w:hAnsi="Times New Roman" w:cs="Times New Roman"/>
          <w:color w:val="555555"/>
          <w:sz w:val="19"/>
          <w:szCs w:val="19"/>
        </w:rPr>
        <w:t xml:space="preserve"> September 2026</w:t>
      </w:r>
    </w:p>
    <w:p w14:paraId="1D254BEF" w14:textId="77777777" w:rsidR="00925561" w:rsidRPr="00F27222" w:rsidRDefault="00000000" w:rsidP="001462C6">
      <w:pPr>
        <w:pStyle w:val="Heading1"/>
        <w:spacing w:before="240" w:after="110" w:line="360" w:lineRule="auto"/>
        <w:rPr>
          <w:rFonts w:ascii="Times New Roman" w:hAnsi="Times New Roman" w:cs="Times New Roman"/>
          <w:lang w:eastAsia="zh-TW"/>
        </w:rPr>
      </w:pPr>
      <w:r>
        <w:rPr>
          <w:rFonts w:ascii="Times New Roman" w:eastAsia="Calibri" w:hAnsi="Times New Roman" w:cs="Times New Roman"/>
          <w:b/>
          <w:bCs/>
          <w:color w:val="1F3864"/>
          <w:sz w:val="26"/>
          <w:szCs w:val="26"/>
        </w:rPr>
        <w:t xml:space="preserve">1 </w:t>
      </w:r>
      <w:r>
        <w:rPr>
          <w:rFonts w:ascii="Times New Roman" w:eastAsia="Calibri" w:hAnsi="Times New Roman" w:cs="Times New Roman"/>
          <w:b/>
          <w:bCs/>
          <w:color w:val="1F3864"/>
          <w:sz w:val="26"/>
          <w:szCs w:val="26"/>
          <w:lang w:eastAsia="zh-TW"/>
        </w:rPr>
        <w:t>Q</w:t>
      </w:r>
      <w:r>
        <w:rPr>
          <w:rFonts w:ascii="Times New Roman" w:eastAsia="Calibri" w:hAnsi="Times New Roman" w:cs="Times New Roman"/>
          <w:b/>
          <w:bCs/>
          <w:color w:val="1F3864"/>
          <w:sz w:val="26"/>
          <w:szCs w:val="26"/>
        </w:rPr>
        <w:t>uestion</w:t>
      </w:r>
      <w:r>
        <w:rPr>
          <w:rFonts w:ascii="Times New Roman" w:eastAsia="Calibri" w:hAnsi="Times New Roman" w:cs="Times New Roman" w:hint="eastAsia"/>
          <w:b/>
          <w:bCs/>
          <w:color w:val="1F3864"/>
          <w:sz w:val="26"/>
          <w:szCs w:val="26"/>
          <w:lang w:eastAsia="zh-TW"/>
        </w:rPr>
        <w:t xml:space="preserve"> &amp; Plan</w:t>
      </w:r>
    </w:p>
    <w:p w14:paraId="3ADEC4CD" w14:textId="77777777" w:rsidR="0074258F" w:rsidRPr="00F27222" w:rsidRDefault="0074258F" w:rsidP="000871F4">
      <w:pPr>
        <w:pStyle w:val="Bibliography"/>
        <w:spacing w:after="240" w:line="360" w:lineRule="auto"/>
        <w:ind w:left="0" w:firstLine="0"/>
        <w:jc w:val="both"/>
        <w:rPr>
          <w:rFonts w:ascii="Times New Roman" w:eastAsia="Calibri" w:hAnsi="Times New Roman" w:cs="Times New Roman"/>
        </w:rPr>
      </w:pPr>
      <w:r>
        <w:rPr>
          <w:rFonts w:ascii="Times New Roman" w:hAnsi="Times New Roman" w:cs="Times New Roman"/>
        </w:rPr>
        <w:t>Resilience is a property that can be quantified at more than one level of biological organisation, and the metrics</w:t>
      </w:r>
      <w:r>
        <w:rPr>
          <w:rFonts w:ascii="Times New Roman" w:hAnsi="Times New Roman" w:cs="Times New Roman"/>
          <w:lang w:eastAsia="zh-TW"/>
        </w:rPr>
        <w:t xml:space="preserve"> </w:t>
      </w:r>
      <w:r>
        <w:rPr>
          <w:rFonts w:ascii="Times New Roman" w:hAnsi="Times New Roman" w:cs="Times New Roman"/>
        </w:rPr>
        <w:t>obtained at each level need not agree</w:t>
      </w:r>
      <w:r>
        <w:rPr>
          <w:rFonts w:ascii="Times New Roman" w:hAnsi="Times New Roman" w:cs="Times New Roman" w:hint="eastAsia"/>
          <w:lang w:eastAsia="zh-TW"/>
        </w:rPr>
        <w:t xml:space="preserve"> </w:t>
      </w:r>
      <w:r>
        <w:rPr>
          <w:rFonts w:ascii="Times New Roman" w:hAnsi="Times New Roman" w:cs="Times New Roman"/>
          <w:lang w:eastAsia="zh-TW"/>
        </w:rPr>
        <w:fldChar w:fldCharType="begin"/>
      </w:r>
      <w:r>
        <w:rPr>
          <w:rFonts w:ascii="Times New Roman" w:hAnsi="Times New Roman" w:cs="Times New Roman"/>
          <w:lang w:eastAsia="zh-TW"/>
        </w:rPr>
        <w:instrText xml:space="preserve"> ADDIN ZOTERO_ITEM CSL_CITATION {"citationID":"NnhPEpef","properties":{"unsorted":false,"formattedCitation":"(Figueiredo et al., 2026; Segrestin &amp; Lep\\uc0\\u353{}, 2022)","plainCitation":"(Figueiredo et al., 2026; Segrestin &amp; Lepš, 2022)","noteIndex":0},"citationItems":[{"id":5659,"uris":["http://zotero.org/users/11779132/items/CA2IW99A"],"itemData":{"id":5659,"type":"article-journal","citation-key":"figueiredoEstarPackageMeasure2026","container-title":"Methods in Ecology and Evolution","issue":"4","note":"ISBN: 2041-210X","page":"1090-1100","publisher":"Wiley Online Library","title":"estar: An R package to measure ecological stability","volume":"17","author":[{"family":"Figueiredo","given":"Ludmilla"},{"family":"Scherer","given":"Cédric"},{"family":"Kramer‐Schadt","given":"Stephanie"},{"family":"Cabral","given":"Juliano Sarmento"},{"family":"Kéfi","given":"Sonia"},{"family":"Van den Brink","given":"Paul J."},{"family":"Radchuk","given":"Viktoriia"}],"issued":{"date-parts":[["2026"]]}}},{"id":5660,"uris":["http://zotero.org/users/11779132/items/ZCLCL4RA"],"itemData":{"id":5660,"type":"article-journal","citation-key":"segrestinBetterEcologicalUnderstanding2022","container-title":"Journal of Ecology","issue":"7","note":"ISBN: 0022-0477","page":"1632-1645","publisher":"Wiley Online Library","title":"Towards a better ecological understanding of metacommunity stability: A multiscale framework to disentangle population variability and synchrony effects","volume":"110","author":[{"family":"Segrestin","given":"Jules"},{"family":"Lepš","given":"Jan"}],"issued":{"date-parts":[["2022"]]}}}],"schema":"https://github.com/citation-style-language/schema/raw/master/csl-citation.json"} </w:instrText>
      </w:r>
      <w:r>
        <w:rPr>
          <w:rFonts w:ascii="Times New Roman" w:hAnsi="Times New Roman" w:cs="Times New Roman"/>
          <w:lang w:eastAsia="zh-TW"/>
        </w:rPr>
        <w:fldChar w:fldCharType="separate"/>
      </w:r>
      <w:r>
        <w:rPr>
          <w:rFonts w:ascii="Times New Roman" w:hAnsi="Times New Roman" w:cs="Times New Roman"/>
          <w:szCs w:val="24"/>
        </w:rPr>
        <w:t>(Figueiredo et al., 2026; Segrestin &amp; Lepš, 2022)</w:t>
      </w:r>
      <w:r>
        <w:rPr>
          <w:rFonts w:ascii="Times New Roman" w:hAnsi="Times New Roman" w:cs="Times New Roman"/>
          <w:lang w:eastAsia="zh-TW"/>
        </w:rPr>
        <w:fldChar w:fldCharType="end"/>
      </w:r>
      <w:r>
        <w:rPr>
          <w:rFonts w:ascii="Times New Roman" w:hAnsi="Times New Roman" w:cs="Times New Roman"/>
        </w:rPr>
        <w:t>. A d</w:t>
      </w:r>
      <w:r>
        <w:rPr>
          <w:rFonts w:ascii="Times New Roman" w:hAnsi="Times New Roman" w:cs="Times New Roman" w:hint="eastAsia"/>
          <w:lang w:eastAsia="zh-TW"/>
        </w:rPr>
        <w:t>isturbance</w:t>
      </w:r>
      <w:r>
        <w:rPr>
          <w:rFonts w:ascii="Times New Roman" w:hAnsi="Times New Roman" w:cs="Times New Roman"/>
        </w:rPr>
        <w:t xml:space="preserve"> may lower the vital rates of individual plants while leaving population growth rate largely unaffected</w:t>
      </w:r>
      <w:r>
        <w:rPr>
          <w:rFonts w:ascii="Times New Roman" w:hAnsi="Times New Roman" w:cs="Times New Roman" w:hint="eastAsia"/>
          <w:lang w:eastAsia="zh-TW"/>
        </w:rPr>
        <w:t xml:space="preserve"> </w:t>
      </w:r>
      <w:r>
        <w:rPr>
          <w:rFonts w:ascii="Times New Roman" w:hAnsi="Times New Roman" w:cs="Times New Roman"/>
          <w:lang w:eastAsia="zh-TW"/>
        </w:rPr>
        <w:fldChar w:fldCharType="begin"/>
      </w:r>
      <w:r>
        <w:rPr>
          <w:rFonts w:ascii="Times New Roman" w:hAnsi="Times New Roman" w:cs="Times New Roman"/>
          <w:lang w:eastAsia="zh-TW"/>
        </w:rPr>
        <w:instrText xml:space="preserve"> ADDIN ZOTERO_ITEM CSL_CITATION {"citationID":"oXYbHLmy","properties":{"unsorted":false,"formattedCitation":"(Hilde et al., 2020)","plainCitation":"(Hilde et al., 2020)","noteIndex":0},"citationItems":[{"id":5570,"uris":["http://zotero.org/users/11779132/items/AVB2K5MI"],"itemData":{"id":5570,"type":"article-journal","citation-key":"hildeDemographicBufferingHypothesis2020","container-title":"Trends in Ecology &amp; Evolution","issue":"6","note":"ISBN: 0169-5347","page":"523-538","publisher":"Elsevier","title":"The demographic buffering hypothesis: evidence and challenges","volume":"35","author":[{"family":"Hilde","given":"Christoffer H."},{"family":"Gamelon","given":"Marlène"},{"family":"Sæther","given":"Bernt-Erik"},{"family":"Gaillard","given":"Jean-Michel"},{"family":"Yoccoz","given":"Nigel G."},{"family":"Pélabon","given":"Christophe"}],"issued":{"date-parts":[["2020"]]}}}],"schema":"https://github.com/citation-style-language/schema/raw/master/csl-citation.json"} </w:instrText>
      </w:r>
      <w:r>
        <w:rPr>
          <w:rFonts w:ascii="Times New Roman" w:hAnsi="Times New Roman" w:cs="Times New Roman"/>
          <w:lang w:eastAsia="zh-TW"/>
        </w:rPr>
        <w:fldChar w:fldCharType="separate"/>
      </w:r>
      <w:r>
        <w:rPr>
          <w:rFonts w:ascii="Times New Roman" w:hAnsi="Times New Roman" w:cs="Times New Roman"/>
          <w:szCs w:val="24"/>
        </w:rPr>
        <w:t>(Hilde et al., 2020)</w:t>
      </w:r>
      <w:r>
        <w:rPr>
          <w:rFonts w:ascii="Times New Roman" w:hAnsi="Times New Roman" w:cs="Times New Roman"/>
          <w:lang w:eastAsia="zh-TW"/>
        </w:rPr>
        <w:fldChar w:fldCharType="end"/>
      </w:r>
      <w:r>
        <w:rPr>
          <w:rFonts w:ascii="Times New Roman" w:hAnsi="Times New Roman" w:cs="Times New Roman"/>
        </w:rPr>
        <w:t xml:space="preserve">, or </w:t>
      </w:r>
      <w:bookmarkStart w:id="0" w:name="_Hlk240979866"/>
      <w:r>
        <w:rPr>
          <w:rFonts w:ascii="Times New Roman" w:hAnsi="Times New Roman" w:cs="Times New Roman"/>
        </w:rPr>
        <w:t>suppress individual populations while total community cover remains stable</w:t>
      </w:r>
      <w:bookmarkEnd w:id="0"/>
      <w:r>
        <w:rPr>
          <w:rFonts w:ascii="Times New Roman" w:hAnsi="Times New Roman" w:cs="Times New Roman" w:hint="eastAsia"/>
          <w:lang w:eastAsia="zh-TW"/>
        </w:rPr>
        <w:t xml:space="preserve"> </w:t>
      </w:r>
      <w:r>
        <w:rPr>
          <w:rFonts w:ascii="Times New Roman" w:hAnsi="Times New Roman" w:cs="Times New Roman"/>
          <w:lang w:eastAsia="zh-TW"/>
        </w:rPr>
        <w:fldChar w:fldCharType="begin"/>
      </w:r>
      <w:r>
        <w:rPr>
          <w:rFonts w:ascii="Times New Roman" w:hAnsi="Times New Roman" w:cs="Times New Roman"/>
          <w:lang w:eastAsia="zh-TW"/>
        </w:rPr>
        <w:instrText xml:space="preserve"> ADDIN ZOTERO_ITEM CSL_CITATION {"citationID":"tUf9oY65","properties":{"unsorted":false,"formattedCitation":"(Loreau &amp; De Mazancourt, 2013; Zhao et al., 2022)","plainCitation":"(Loreau &amp; De Mazancourt, 2013; Zhao et al., 2022)","noteIndex":0},"citationItems":[{"id":5661,"uris":["http://zotero.org/users/11779132/items/ERB8XD99"],"itemData":{"id":5661,"type":"article-journal","citation-key":"zhaoBiodiversityStabilizesPlant2022","container-title":"Nature Communications","issue":"1","note":"ISBN: 2041-1723","page":"7804","publisher":"Nature Publishing Group UK London","title":"Biodiversity stabilizes plant communities through statistical-averaging effects rather than compensatory dynamics","volume":"13","author":[{"family":"Zhao","given":"Lei"},{"family":"Wang","given":"Shaopeng"},{"family":"Shen","given":"Ruohong"},{"family":"Gong","given":"Ying"},{"family":"Wang","given":"Chong"},{"family":"Hong","given":"Pubin"},{"family":"Reuman","given":"Daniel C."}],"issued":{"date-parts":[["2022"]]}}},{"id":5662,"uris":["http://zotero.org/users/11779132/items/I9F85B86"],"itemData":{"id":5662,"type":"article-journal","citation-key":"loreauBiodiversityEcosystemStability2013","container-title":"Ecology letters","note":"ISBN: 1461-023X","page":"106-115","publisher":"Wiley Online Library","title":"Biodiversity and ecosystem stability: a synthesis of underlying mechanisms","volume":"16","author":[{"family":"Loreau","given":"Michel"},{"family":"De Mazancourt","given":"Claire"}],"issued":{"date-parts":[["2013"]]}}}],"schema":"https://github.com/citation-style-language/schema/raw/master/csl-citation.json"} </w:instrText>
      </w:r>
      <w:r>
        <w:rPr>
          <w:rFonts w:ascii="Times New Roman" w:hAnsi="Times New Roman" w:cs="Times New Roman"/>
          <w:lang w:eastAsia="zh-TW"/>
        </w:rPr>
        <w:fldChar w:fldCharType="separate"/>
      </w:r>
      <w:r>
        <w:rPr>
          <w:rFonts w:ascii="Times New Roman" w:hAnsi="Times New Roman" w:cs="Times New Roman"/>
          <w:szCs w:val="24"/>
        </w:rPr>
        <w:t>(Loreau &amp; De Mazancourt, 2013; Zhao et al., 2022)</w:t>
      </w:r>
      <w:r>
        <w:rPr>
          <w:rFonts w:ascii="Times New Roman" w:hAnsi="Times New Roman" w:cs="Times New Roman"/>
          <w:lang w:eastAsia="zh-TW"/>
        </w:rPr>
        <w:fldChar w:fldCharType="end"/>
      </w:r>
      <w:r>
        <w:rPr>
          <w:rFonts w:ascii="Times New Roman" w:hAnsi="Times New Roman" w:cs="Times New Roman"/>
        </w:rPr>
        <w:t>. In the Chapter 1 of my doctoral thesis, I systematically review how ecologists have quantified resilience and the research contexts in which these quantifications are embedded</w:t>
      </w:r>
      <w:r>
        <w:rPr>
          <w:rFonts w:ascii="Times New Roman" w:hAnsi="Times New Roman" w:cs="Times New Roman"/>
          <w:lang w:eastAsia="zh-TW"/>
        </w:rPr>
        <w:t xml:space="preserve"> </w:t>
      </w:r>
      <w:r>
        <w:rPr>
          <w:rFonts w:ascii="Times New Roman" w:hAnsi="Times New Roman" w:cs="Times New Roman"/>
          <w:lang w:eastAsia="zh-TW"/>
        </w:rPr>
        <w:fldChar w:fldCharType="begin"/>
      </w:r>
      <w:r>
        <w:rPr>
          <w:rFonts w:ascii="Times New Roman" w:hAnsi="Times New Roman" w:cs="Times New Roman"/>
          <w:lang w:eastAsia="zh-TW"/>
        </w:rPr>
        <w:instrText xml:space="preserve"> ADDIN ZOTERO_ITEM CSL_CITATION {"citationID":"8c2ZK9ws","properties":{"unsorted":false,"formattedCitation":"(Lin, Moorthy, et al., 2026)","plainCitation":"(Lin, Moorthy, et al., 2026)","dontUpdate":true,"noteIndex":0},"citationItems":[{"id":5657,"uris":["http://zotero.org/users/11779132/items/AUHFEDFT"],"itemData":{"id":5657,"type":"article-journal","citation-key":"linStillLostDefinitions2026","container-title":"bioRxiv","note":"ISBN: 2692-8205","page":"2026.06. 03.729936","publisher":"Cold Spring Harbor Laboratory","title":"Still Lost in Definitions: How ‘Resilience’ Is Used in Ecology","author":[{"family":"Lin","given":"Hung-wei"},{"family":"Moorthy","given":"Sruthi M. Krishna"},{"family":"Hector","given":"Andrew"},{"family":"Salguero-Gómez","given":"Roberto"}],"issued":{"date-parts":[["2026"]]}}}],"schema":"https://github.com/citation-style-language/schema/raw/master/csl-citation.json"} </w:instrText>
      </w:r>
      <w:r>
        <w:rPr>
          <w:rFonts w:ascii="Times New Roman" w:hAnsi="Times New Roman" w:cs="Times New Roman"/>
          <w:lang w:eastAsia="zh-TW"/>
        </w:rPr>
        <w:fldChar w:fldCharType="separate"/>
      </w:r>
      <w:r>
        <w:rPr>
          <w:rFonts w:ascii="Times New Roman" w:hAnsi="Times New Roman" w:cs="Times New Roman"/>
          <w:szCs w:val="24"/>
        </w:rPr>
        <w:t>(Lin, et al., 2026</w:t>
      </w:r>
      <w:r>
        <w:rPr>
          <w:rFonts w:ascii="Times New Roman" w:hAnsi="Times New Roman" w:cs="Times New Roman" w:hint="eastAsia"/>
          <w:szCs w:val="24"/>
          <w:lang w:eastAsia="zh-TW"/>
        </w:rPr>
        <w:t>a</w:t>
      </w:r>
      <w:r>
        <w:rPr>
          <w:rFonts w:ascii="Times New Roman" w:hAnsi="Times New Roman" w:cs="Times New Roman"/>
          <w:szCs w:val="24"/>
        </w:rPr>
        <w:t>)</w:t>
      </w:r>
      <w:r>
        <w:rPr>
          <w:rFonts w:ascii="Times New Roman" w:hAnsi="Times New Roman" w:cs="Times New Roman"/>
          <w:lang w:eastAsia="zh-TW"/>
        </w:rPr>
        <w:fldChar w:fldCharType="end"/>
      </w:r>
      <w:r>
        <w:rPr>
          <w:rFonts w:ascii="Times New Roman" w:eastAsia="Calibri" w:hAnsi="Times New Roman" w:cs="Times New Roman"/>
        </w:rPr>
        <w:t>. For examples, at which level of biological organisation resilience is measured, which state variable is used to quantify it, and which type of disturbance is considered. Chapter 2 examines the relationship between life-history traits and population-level resilience, specifically how these traits predict the contribution of transient dynamics to fluctuations in population growth rate under stochastic environments</w:t>
      </w:r>
      <w:r>
        <w:rPr>
          <w:rFonts w:ascii="Times New Roman" w:eastAsia="Calibri" w:hAnsi="Times New Roman" w:cs="Times New Roman"/>
          <w:lang w:eastAsia="zh-TW"/>
        </w:rPr>
        <w:t xml:space="preserve"> </w:t>
      </w:r>
      <w:r>
        <w:rPr>
          <w:rFonts w:ascii="Times New Roman" w:eastAsia="Calibri" w:hAnsi="Times New Roman" w:cs="Times New Roman"/>
          <w:lang w:eastAsia="zh-TW"/>
        </w:rPr>
        <w:fldChar w:fldCharType="begin"/>
      </w:r>
      <w:r>
        <w:rPr>
          <w:rFonts w:ascii="Times New Roman" w:eastAsia="Calibri" w:hAnsi="Times New Roman" w:cs="Times New Roman"/>
          <w:lang w:eastAsia="zh-TW"/>
        </w:rPr>
        <w:instrText xml:space="preserve"> ADDIN ZOTERO_ITEM CSL_CITATION {"citationID":"CcRDgKP6","properties":{"unsorted":false,"formattedCitation":"(Lin, Hernandez, et al., 2026)","plainCitation":"(Lin, Hernandez, et al., 2026)","dontUpdate":true,"noteIndex":0},"citationItems":[{"id":5658,"uris":["http://zotero.org/users/11779132/items/FQ2XWDYC"],"itemData":{"id":5658,"type":"article-journal","citation-key":"linLifeHistoryTraits2026","container-title":"bioRxiv","note":"ISBN: 2692-8205","page":"2026.08. 28.747639","publisher":"Cold Spring Harbor Laboratory","title":"Life history traits predict the contribution of transient dynamics to variation in population growth","author":[{"family":"Lin","given":"Hung-wei"},{"family":"Hernandez","given":"Christina"},{"family":"Jaggi","given":"Harman"},{"family":"ZUO","given":"WENYUN"},{"family":"Tuljapurkar","given":"Shripad D."},{"family":"Salguero-Gomez","given":"Roberto"}],"issued":{"date-parts":[["2026"]]}}}],"schema":"https://github.com/citation-style-language/schema/raw/master/csl-citation.json"} </w:instrText>
      </w:r>
      <w:r>
        <w:rPr>
          <w:rFonts w:ascii="Times New Roman" w:eastAsia="Calibri" w:hAnsi="Times New Roman" w:cs="Times New Roman"/>
          <w:lang w:eastAsia="zh-TW"/>
        </w:rPr>
        <w:fldChar w:fldCharType="separate"/>
      </w:r>
      <w:r>
        <w:rPr>
          <w:rFonts w:ascii="Times New Roman" w:hAnsi="Times New Roman" w:cs="Times New Roman"/>
          <w:szCs w:val="24"/>
        </w:rPr>
        <w:t>(Lin, et al., 2026</w:t>
      </w:r>
      <w:r>
        <w:rPr>
          <w:rFonts w:ascii="Times New Roman" w:hAnsi="Times New Roman" w:cs="Times New Roman" w:hint="eastAsia"/>
          <w:szCs w:val="24"/>
          <w:lang w:eastAsia="zh-TW"/>
        </w:rPr>
        <w:t>b</w:t>
      </w:r>
      <w:r>
        <w:rPr>
          <w:rFonts w:ascii="Times New Roman" w:hAnsi="Times New Roman" w:cs="Times New Roman"/>
          <w:szCs w:val="24"/>
        </w:rPr>
        <w:t>)</w:t>
      </w:r>
      <w:r>
        <w:rPr>
          <w:rFonts w:ascii="Times New Roman" w:eastAsia="Calibri" w:hAnsi="Times New Roman" w:cs="Times New Roman"/>
          <w:lang w:eastAsia="zh-TW"/>
        </w:rPr>
        <w:fldChar w:fldCharType="end"/>
      </w:r>
      <w:r>
        <w:rPr>
          <w:rFonts w:ascii="Times New Roman" w:eastAsia="Calibri" w:hAnsi="Times New Roman" w:cs="Times New Roman"/>
        </w:rPr>
        <w:t>. Here, in Chapter 3, I plan to measure resilience at all three levels (</w:t>
      </w:r>
      <w:r>
        <w:rPr>
          <w:rFonts w:ascii="Times New Roman" w:eastAsia="Calibri" w:hAnsi="Times New Roman" w:cs="Times New Roman"/>
          <w:i/>
          <w:iCs/>
        </w:rPr>
        <w:t>i.e.</w:t>
      </w:r>
      <w:r>
        <w:rPr>
          <w:rFonts w:ascii="Times New Roman" w:eastAsia="Calibri" w:hAnsi="Times New Roman" w:cs="Times New Roman"/>
        </w:rPr>
        <w:t>, individual, population, and community) within a single system, from the same data, using a single model, and examine the key drivers of community resilience.</w:t>
      </w:r>
    </w:p>
    <w:p w14:paraId="0F30B010" w14:textId="77777777" w:rsidR="00FE11AF" w:rsidRPr="00F27222" w:rsidRDefault="00000000" w:rsidP="003C7C0B">
      <w:pPr>
        <w:spacing w:before="240" w:after="110" w:line="360" w:lineRule="auto"/>
        <w:jc w:val="both"/>
        <w:rPr>
          <w:rFonts w:ascii="Times New Roman" w:eastAsia="Calibri" w:hAnsi="Times New Roman" w:cs="Times New Roman"/>
          <w:i/>
          <w:iCs/>
          <w:lang w:eastAsia="zh-TW"/>
        </w:rPr>
      </w:pPr>
      <w:r>
        <w:rPr>
          <w:rFonts w:ascii="Times New Roman" w:eastAsia="Calibri" w:hAnsi="Times New Roman" w:cs="Times New Roman"/>
          <w:b/>
          <w:bCs/>
        </w:rPr>
        <w:t xml:space="preserve">Q1.  </w:t>
      </w:r>
      <w:r>
        <w:rPr>
          <w:rFonts w:ascii="Times New Roman" w:eastAsia="Calibri" w:hAnsi="Times New Roman" w:cs="Times New Roman"/>
          <w:b/>
          <w:bCs/>
          <w:i/>
          <w:iCs/>
        </w:rPr>
        <w:t>When factors at every level of biological organisation are considered together, which of them governs how strongly an individual</w:t>
      </w:r>
      <w:r>
        <w:rPr>
          <w:rFonts w:ascii="Times New Roman" w:eastAsia="Calibri" w:hAnsi="Times New Roman" w:cs="Times New Roman" w:hint="eastAsia"/>
          <w:b/>
          <w:bCs/>
          <w:i/>
          <w:iCs/>
          <w:lang w:eastAsia="zh-TW"/>
        </w:rPr>
        <w:t>,</w:t>
      </w:r>
      <w:r>
        <w:rPr>
          <w:rFonts w:ascii="Times New Roman" w:eastAsia="Calibri" w:hAnsi="Times New Roman" w:cs="Times New Roman"/>
          <w:b/>
          <w:bCs/>
          <w:i/>
          <w:iCs/>
        </w:rPr>
        <w:t xml:space="preserve"> a population, and the whole community respond to environmental change?</w:t>
      </w:r>
      <w:r>
        <w:rPr>
          <w:rFonts w:ascii="Times New Roman" w:eastAsia="Calibri" w:hAnsi="Times New Roman" w:cs="Times New Roman"/>
          <w:i/>
          <w:iCs/>
        </w:rPr>
        <w:t xml:space="preserve"> </w:t>
      </w:r>
    </w:p>
    <w:p w14:paraId="59DF0325" w14:textId="77777777" w:rsidR="00CB4A39" w:rsidRPr="00E0090F" w:rsidRDefault="00C20C0E" w:rsidP="003E711E">
      <w:pPr>
        <w:spacing w:line="360" w:lineRule="auto"/>
        <w:jc w:val="both"/>
        <w:rPr>
          <w:rFonts w:ascii="Times New Roman" w:eastAsia="Calibri" w:hAnsi="Times New Roman" w:cs="Times New Roman"/>
          <w:lang w:val="en-US" w:eastAsia="zh-TW"/>
        </w:rPr>
      </w:pPr>
      <w:r>
        <w:rPr>
          <w:rFonts w:ascii="Times New Roman" w:eastAsia="Calibri" w:hAnsi="Times New Roman" w:cs="Times New Roman"/>
        </w:rPr>
        <w:t xml:space="preserve">The candidate </w:t>
      </w:r>
      <w:r>
        <w:rPr>
          <w:rFonts w:ascii="Times New Roman" w:eastAsia="Calibri" w:hAnsi="Times New Roman" w:cs="Times New Roman" w:hint="eastAsia"/>
          <w:lang w:eastAsia="zh-TW"/>
        </w:rPr>
        <w:t>fac</w:t>
      </w:r>
      <w:r>
        <w:rPr>
          <w:rFonts w:ascii="Times New Roman" w:eastAsia="Calibri" w:hAnsi="Times New Roman" w:cs="Times New Roman"/>
        </w:rPr>
        <w:t xml:space="preserve">tors are the individual's own size, the life-history traits of its population, and the crowding </w:t>
      </w:r>
      <w:r>
        <w:rPr>
          <w:rFonts w:ascii="Times New Roman" w:eastAsia="Calibri" w:hAnsi="Times New Roman" w:cs="Times New Roman" w:hint="eastAsia"/>
          <w:lang w:eastAsia="zh-TW"/>
        </w:rPr>
        <w:t>degree</w:t>
      </w:r>
      <w:r>
        <w:rPr>
          <w:rFonts w:ascii="Times New Roman" w:eastAsia="Calibri" w:hAnsi="Times New Roman" w:cs="Times New Roman"/>
        </w:rPr>
        <w:t xml:space="preserve"> from conspecific and heterospecific neighbours, reflecting the strength of intraspecific and interspecific interaction</w:t>
      </w:r>
      <w:r>
        <w:rPr>
          <w:rFonts w:ascii="Times New Roman" w:eastAsia="Calibri" w:hAnsi="Times New Roman" w:cs="Times New Roman" w:hint="eastAsia"/>
          <w:lang w:eastAsia="zh-TW"/>
        </w:rPr>
        <w:t xml:space="preserve"> </w:t>
      </w:r>
      <w:r>
        <w:rPr>
          <w:rFonts w:ascii="Times New Roman" w:eastAsia="Calibri" w:hAnsi="Times New Roman" w:cs="Times New Roman"/>
          <w:lang w:eastAsia="zh-TW"/>
        </w:rPr>
        <w:fldChar w:fldCharType="begin"/>
      </w:r>
      <w:r>
        <w:rPr>
          <w:rFonts w:ascii="Times New Roman" w:eastAsia="Calibri" w:hAnsi="Times New Roman" w:cs="Times New Roman"/>
          <w:lang w:eastAsia="zh-TW"/>
        </w:rPr>
        <w:instrText xml:space="preserve"> ADDIN ZOTERO_ITEM CSL_CITATION {"citationID":"yNHYAOEd","properties":{"unsorted":false,"formattedCitation":"(Ray et al., 2023)","plainCitation":"(Ray et al., 2023)","noteIndex":0},"citationItems":[{"id":5663,"uris":["http://zotero.org/users/11779132/items/6AI8P5V2"],"itemData":{"id":5663,"type":"article-journal","citation-key":"rayLinkingMicroenvironmentModification2023","container-title":"Oikos","issue":"3","note":"ISBN: 0030-1299","page":"e09235","publisher":"Wiley Online Library","title":"Linking microenvironment modification to species interactions and demography in an alpine plant community","volume":"2023","author":[{"family":"Ray","given":"Courtenay A."},{"family":"Kapas","given":"Rozalia E."},{"family":"Opedal","given":"Øystein H."},{"family":"Blonder","given":"Benjamin W."}],"issued":{"date-parts":[["2023"]]}}}],"schema":"https://github.com/citation-style-language/schema/raw/master/csl-citation.json"} </w:instrText>
      </w:r>
      <w:r>
        <w:rPr>
          <w:rFonts w:ascii="Times New Roman" w:eastAsia="Calibri" w:hAnsi="Times New Roman" w:cs="Times New Roman"/>
          <w:lang w:eastAsia="zh-TW"/>
        </w:rPr>
        <w:fldChar w:fldCharType="separate"/>
      </w:r>
      <w:r>
        <w:rPr>
          <w:rFonts w:ascii="Times New Roman" w:eastAsia="Calibri" w:hAnsi="Times New Roman" w:cs="Times New Roman"/>
          <w:noProof/>
          <w:lang w:eastAsia="zh-TW"/>
        </w:rPr>
        <w:t>(Ray et al., 2023)</w:t>
      </w:r>
      <w:r>
        <w:rPr>
          <w:rFonts w:ascii="Times New Roman" w:eastAsia="Calibri" w:hAnsi="Times New Roman" w:cs="Times New Roman"/>
          <w:lang w:eastAsia="zh-TW"/>
        </w:rPr>
        <w:fldChar w:fldCharType="end"/>
      </w:r>
      <w:r>
        <w:rPr>
          <w:rFonts w:ascii="Times New Roman" w:eastAsia="Calibri" w:hAnsi="Times New Roman" w:cs="Times New Roman"/>
        </w:rPr>
        <w:t xml:space="preserve">. Ideally, </w:t>
      </w:r>
      <w:r>
        <w:rPr>
          <w:rFonts w:ascii="Times New Roman" w:eastAsia="Calibri" w:hAnsi="Times New Roman" w:cs="Times New Roman" w:hint="eastAsia"/>
          <w:lang w:eastAsia="zh-TW"/>
        </w:rPr>
        <w:t>I</w:t>
      </w:r>
      <w:r>
        <w:rPr>
          <w:rFonts w:ascii="Times New Roman" w:eastAsia="Calibri" w:hAnsi="Times New Roman" w:cs="Times New Roman"/>
        </w:rPr>
        <w:t xml:space="preserve"> should quantify the environment both as the climate of the focal year</w:t>
      </w:r>
      <w:r>
        <w:rPr>
          <w:rFonts w:ascii="Times New Roman" w:eastAsia="Calibri" w:hAnsi="Times New Roman" w:cs="Times New Roman" w:hint="eastAsia"/>
          <w:lang w:eastAsia="zh-TW"/>
        </w:rPr>
        <w:t xml:space="preserve"> and </w:t>
      </w:r>
      <w:r>
        <w:rPr>
          <w:rFonts w:ascii="Times New Roman" w:eastAsia="Calibri" w:hAnsi="Times New Roman" w:cs="Times New Roman"/>
        </w:rPr>
        <w:t>as the microsite a plant occupies</w:t>
      </w:r>
      <w:r>
        <w:rPr>
          <w:rFonts w:ascii="Times New Roman" w:eastAsia="Calibri" w:hAnsi="Times New Roman" w:cs="Times New Roman" w:hint="eastAsia"/>
          <w:lang w:eastAsia="zh-TW"/>
        </w:rPr>
        <w:t xml:space="preserve"> </w:t>
      </w:r>
      <w:r>
        <w:rPr>
          <w:rFonts w:ascii="Times New Roman" w:eastAsia="Calibri" w:hAnsi="Times New Roman" w:cs="Times New Roman"/>
          <w:lang w:eastAsia="zh-TW"/>
        </w:rPr>
        <w:fldChar w:fldCharType="begin"/>
      </w:r>
      <w:r>
        <w:rPr>
          <w:rFonts w:ascii="Times New Roman" w:eastAsia="Calibri" w:hAnsi="Times New Roman" w:cs="Times New Roman"/>
          <w:lang w:eastAsia="zh-TW"/>
        </w:rPr>
        <w:instrText xml:space="preserve"> ADDIN ZOTERO_ITEM CSL_CITATION {"citationID":"qwc7x9HJ","properties":{"unsorted":false,"formattedCitation":"(Blonder et al., 2018)","plainCitation":"(Blonder et al., 2018)","noteIndex":0},"citationItems":[{"id":5664,"uris":["http://zotero.org/users/11779132/items/4PTGBFPA"],"itemData":{"id":5664,"type":"article-journal","citation-key":"blonderMicroenvironmentFunctionaltraitContext2018","container-title":"Journal of Ecology","issue":"4","note":"ISBN: 0022-0477","page":"1323-1337","publisher":"Wiley Online Library","title":"Microenvironment and functional‐trait context dependence predict alpine plant community dynamics","volume":"106","author":[{"family":"Blonder","given":"Benjamin"},{"family":"Kapas","given":"Rozalia E."},{"family":"Dalton","given":"Rebecca M."},{"family":"Graae","given":"Bente J."},{"family":"Heiling","given":"Jacob M."},{"family":"Opedal","given":"Øystein H."}],"issued":{"date-parts":[["2018"]]}}}],"schema":"https://github.com/citation-style-language/schema/raw/master/csl-citation.json"} </w:instrText>
      </w:r>
      <w:r>
        <w:rPr>
          <w:rFonts w:ascii="Times New Roman" w:eastAsia="Calibri" w:hAnsi="Times New Roman" w:cs="Times New Roman"/>
          <w:lang w:eastAsia="zh-TW"/>
        </w:rPr>
        <w:fldChar w:fldCharType="separate"/>
      </w:r>
      <w:r>
        <w:rPr>
          <w:rFonts w:ascii="Times New Roman" w:eastAsia="Calibri" w:hAnsi="Times New Roman" w:cs="Times New Roman"/>
          <w:noProof/>
          <w:lang w:eastAsia="zh-TW"/>
        </w:rPr>
        <w:t>(Blonder et al., 2018)</w:t>
      </w:r>
      <w:r>
        <w:rPr>
          <w:rFonts w:ascii="Times New Roman" w:eastAsia="Calibri" w:hAnsi="Times New Roman" w:cs="Times New Roman"/>
          <w:lang w:eastAsia="zh-TW"/>
        </w:rPr>
        <w:fldChar w:fldCharType="end"/>
      </w:r>
      <w:r>
        <w:rPr>
          <w:rFonts w:ascii="Times New Roman" w:eastAsia="Calibri" w:hAnsi="Times New Roman" w:cs="Times New Roman"/>
        </w:rPr>
        <w:t>.</w:t>
      </w:r>
      <w:r>
        <w:rPr>
          <w:rFonts w:ascii="Times New Roman" w:eastAsia="Calibri" w:hAnsi="Times New Roman" w:cs="Times New Roman" w:hint="eastAsia"/>
          <w:lang w:eastAsia="zh-TW"/>
        </w:rPr>
        <w:t xml:space="preserve"> </w:t>
      </w:r>
      <w:r>
        <w:rPr>
          <w:rFonts w:ascii="Times New Roman" w:eastAsia="Calibri" w:hAnsi="Times New Roman" w:cs="Times New Roman"/>
          <w:lang w:eastAsia="zh-TW"/>
        </w:rPr>
        <w:t>Alternatively, the microsite environmental factor could be replaced by plot-level random effects.</w:t>
      </w:r>
      <w:r>
        <w:rPr>
          <w:rFonts w:ascii="Times New Roman" w:eastAsia="Calibri" w:hAnsi="Times New Roman" w:cs="Times New Roman" w:hint="eastAsia"/>
          <w:lang w:eastAsia="zh-TW"/>
        </w:rPr>
        <w:t xml:space="preserve"> </w:t>
      </w:r>
    </w:p>
    <w:p w14:paraId="5B887828" w14:textId="77777777" w:rsidR="00E0009B" w:rsidRDefault="00CB4A39" w:rsidP="001462C6">
      <w:pPr>
        <w:spacing w:after="110" w:line="360" w:lineRule="auto"/>
        <w:jc w:val="both"/>
        <w:rPr>
          <w:rFonts w:ascii="Times New Roman" w:eastAsia="Calibri" w:hAnsi="Times New Roman" w:cs="Times New Roman"/>
          <w:lang w:eastAsia="zh-TW"/>
        </w:rPr>
      </w:pPr>
      <w:r>
        <w:rPr>
          <w:rFonts w:ascii="Times New Roman" w:eastAsia="Calibri" w:hAnsi="Times New Roman" w:cs="Times New Roman"/>
          <w:lang w:eastAsia="zh-TW"/>
        </w:rPr>
        <w:t>To answer this question,</w:t>
      </w:r>
      <w:r>
        <w:rPr>
          <w:rFonts w:ascii="Times New Roman" w:eastAsia="Calibri" w:hAnsi="Times New Roman" w:cs="Times New Roman" w:hint="eastAsia"/>
          <w:lang w:eastAsia="zh-TW"/>
        </w:rPr>
        <w:t xml:space="preserve"> I will </w:t>
      </w:r>
      <w:r>
        <w:rPr>
          <w:rFonts w:ascii="Times New Roman" w:eastAsia="Calibri" w:hAnsi="Times New Roman" w:cs="Times New Roman"/>
          <w:lang w:eastAsia="zh-TW"/>
        </w:rPr>
        <w:t xml:space="preserve">use </w:t>
      </w:r>
      <w:r>
        <w:rPr>
          <w:rFonts w:ascii="Times New Roman" w:eastAsia="Calibri" w:hAnsi="Times New Roman" w:cs="Times New Roman" w:hint="eastAsia"/>
          <w:lang w:eastAsia="zh-TW"/>
        </w:rPr>
        <w:t>the above</w:t>
      </w:r>
      <w:r>
        <w:rPr>
          <w:rFonts w:ascii="Times New Roman" w:eastAsia="Calibri" w:hAnsi="Times New Roman" w:cs="Times New Roman"/>
          <w:lang w:eastAsia="zh-TW"/>
        </w:rPr>
        <w:t xml:space="preserve"> </w:t>
      </w:r>
      <w:r>
        <w:rPr>
          <w:rFonts w:ascii="Times New Roman" w:eastAsia="Calibri" w:hAnsi="Times New Roman" w:cs="Times New Roman" w:hint="eastAsia"/>
          <w:lang w:eastAsia="zh-TW"/>
        </w:rPr>
        <w:t>factors</w:t>
      </w:r>
      <w:r>
        <w:rPr>
          <w:rFonts w:ascii="Times New Roman" w:eastAsia="Calibri" w:hAnsi="Times New Roman" w:cs="Times New Roman"/>
          <w:lang w:eastAsia="zh-TW"/>
        </w:rPr>
        <w:t xml:space="preserve"> to jointly fit a multilevel Bayesian model for four vital rates of each individual</w:t>
      </w:r>
      <w:r>
        <w:rPr>
          <w:rFonts w:ascii="Times New Roman" w:eastAsia="Calibri" w:hAnsi="Times New Roman" w:cs="Times New Roman" w:hint="eastAsia"/>
          <w:lang w:eastAsia="zh-TW"/>
        </w:rPr>
        <w:t xml:space="preserve"> (Part A)</w:t>
      </w:r>
      <w:r>
        <w:rPr>
          <w:rFonts w:ascii="Times New Roman" w:eastAsia="Calibri" w:hAnsi="Times New Roman" w:cs="Times New Roman"/>
          <w:lang w:eastAsia="zh-TW"/>
        </w:rPr>
        <w:t xml:space="preserve"> and to run counterfactual simulations</w:t>
      </w:r>
      <w:r>
        <w:rPr>
          <w:rFonts w:ascii="Times New Roman" w:eastAsia="Calibri" w:hAnsi="Times New Roman" w:cs="Times New Roman" w:hint="eastAsia"/>
          <w:lang w:eastAsia="zh-TW"/>
        </w:rPr>
        <w:t xml:space="preserve"> of </w:t>
      </w:r>
      <w:r>
        <w:rPr>
          <w:rFonts w:ascii="Times New Roman" w:eastAsia="Calibri" w:hAnsi="Times New Roman" w:cs="Times New Roman"/>
          <w:lang w:eastAsia="zh-TW"/>
        </w:rPr>
        <w:t>population</w:t>
      </w:r>
      <w:r>
        <w:rPr>
          <w:rFonts w:ascii="Times New Roman" w:eastAsia="Calibri" w:hAnsi="Times New Roman" w:cs="Times New Roman" w:hint="eastAsia"/>
          <w:lang w:eastAsia="zh-TW"/>
        </w:rPr>
        <w:t xml:space="preserve"> and community dynamics (Part B)</w:t>
      </w:r>
      <w:r>
        <w:rPr>
          <w:rFonts w:ascii="Times New Roman" w:eastAsia="Calibri" w:hAnsi="Times New Roman" w:cs="Times New Roman"/>
          <w:lang w:eastAsia="zh-TW"/>
        </w:rPr>
        <w:t>, respectively</w:t>
      </w:r>
      <w:r>
        <w:rPr>
          <w:rFonts w:ascii="Times New Roman" w:eastAsia="Calibri" w:hAnsi="Times New Roman" w:cs="Times New Roman" w:hint="eastAsia"/>
          <w:lang w:eastAsia="zh-TW"/>
        </w:rPr>
        <w:t>. I</w:t>
      </w:r>
      <w:r>
        <w:rPr>
          <w:rFonts w:ascii="Times New Roman" w:eastAsia="Calibri" w:hAnsi="Times New Roman" w:cs="Times New Roman"/>
          <w:lang w:eastAsia="zh-TW"/>
        </w:rPr>
        <w:t xml:space="preserve"> detail both approaches</w:t>
      </w:r>
      <w:r>
        <w:rPr>
          <w:rFonts w:ascii="Times New Roman" w:eastAsia="Calibri" w:hAnsi="Times New Roman" w:cs="Times New Roman" w:hint="eastAsia"/>
          <w:lang w:eastAsia="zh-TW"/>
        </w:rPr>
        <w:t xml:space="preserve"> (</w:t>
      </w:r>
      <w:r>
        <w:rPr>
          <w:rFonts w:ascii="Times New Roman" w:eastAsia="Calibri" w:hAnsi="Times New Roman" w:cs="Times New Roman" w:hint="eastAsia"/>
          <w:i/>
          <w:iCs/>
          <w:lang w:eastAsia="zh-TW"/>
        </w:rPr>
        <w:t>i.e.</w:t>
      </w:r>
      <w:r>
        <w:rPr>
          <w:rFonts w:ascii="Times New Roman" w:eastAsia="Calibri" w:hAnsi="Times New Roman" w:cs="Times New Roman" w:hint="eastAsia"/>
          <w:lang w:eastAsia="zh-TW"/>
        </w:rPr>
        <w:t>, Part A and Part B)</w:t>
      </w:r>
      <w:r>
        <w:rPr>
          <w:rFonts w:ascii="Times New Roman" w:eastAsia="Calibri" w:hAnsi="Times New Roman" w:cs="Times New Roman"/>
          <w:lang w:eastAsia="zh-TW"/>
        </w:rPr>
        <w:t xml:space="preserve"> in the following sections.</w:t>
      </w:r>
    </w:p>
    <w:p w14:paraId="1D768EF2" w14:textId="77777777" w:rsidR="00EA7BE1" w:rsidRPr="00F27222" w:rsidRDefault="00000000" w:rsidP="003C7C0B">
      <w:pPr>
        <w:spacing w:before="240" w:after="110" w:line="360" w:lineRule="auto"/>
        <w:jc w:val="both"/>
        <w:rPr>
          <w:rFonts w:ascii="Times New Roman" w:eastAsia="Calibri" w:hAnsi="Times New Roman" w:cs="Times New Roman"/>
          <w:i/>
          <w:iCs/>
          <w:lang w:eastAsia="zh-TW"/>
        </w:rPr>
      </w:pPr>
      <w:r>
        <w:rPr>
          <w:rFonts w:ascii="Times New Roman" w:eastAsia="Calibri" w:hAnsi="Times New Roman" w:cs="Times New Roman"/>
          <w:b/>
          <w:bCs/>
        </w:rPr>
        <w:t xml:space="preserve">Q2.  </w:t>
      </w:r>
      <w:r>
        <w:rPr>
          <w:rFonts w:ascii="Times New Roman" w:eastAsia="Calibri" w:hAnsi="Times New Roman" w:cs="Times New Roman"/>
          <w:b/>
          <w:bCs/>
          <w:i/>
          <w:iCs/>
        </w:rPr>
        <w:t xml:space="preserve">Does the strength of conspecific and heterospecific </w:t>
      </w:r>
      <w:r>
        <w:rPr>
          <w:rFonts w:ascii="Times New Roman" w:eastAsia="Calibri" w:hAnsi="Times New Roman" w:cs="Times New Roman" w:hint="eastAsia"/>
          <w:b/>
          <w:bCs/>
          <w:i/>
          <w:iCs/>
          <w:lang w:eastAsia="zh-TW"/>
        </w:rPr>
        <w:t>interaction</w:t>
      </w:r>
      <w:r>
        <w:rPr>
          <w:rFonts w:ascii="Times New Roman" w:eastAsia="Calibri" w:hAnsi="Times New Roman" w:cs="Times New Roman"/>
          <w:b/>
          <w:bCs/>
          <w:i/>
          <w:iCs/>
        </w:rPr>
        <w:t xml:space="preserve">s shift with environmental conditions, and does that shift enhance the resilience of the community? </w:t>
      </w:r>
    </w:p>
    <w:p w14:paraId="6856896B" w14:textId="3B53609C" w:rsidR="001C6311" w:rsidRDefault="001C6311" w:rsidP="001C6311">
      <w:pPr>
        <w:spacing w:line="360" w:lineRule="auto"/>
        <w:jc w:val="both"/>
        <w:rPr>
          <w:rFonts w:ascii="Times New Roman" w:eastAsia="Calibri" w:hAnsi="Times New Roman" w:cs="Times New Roman"/>
          <w:lang w:eastAsia="zh-TW"/>
        </w:rPr>
      </w:pPr>
      <w:r>
        <w:rPr>
          <w:rFonts w:ascii="Times New Roman" w:eastAsia="Calibri" w:hAnsi="Times New Roman" w:cs="Times New Roman" w:hint="eastAsia"/>
          <w:lang w:eastAsia="zh-TW"/>
        </w:rPr>
        <w:t>These t</w:t>
      </w:r>
      <w:r>
        <w:rPr>
          <w:rFonts w:ascii="Times New Roman" w:eastAsia="Calibri" w:hAnsi="Times New Roman" w:cs="Times New Roman"/>
          <w:lang w:eastAsia="zh-TW"/>
        </w:rPr>
        <w:t>wo types of interactions provide important links between individuals and populations, and between populations and communities, respectively</w:t>
      </w:r>
      <w:r>
        <w:rPr>
          <w:rFonts w:ascii="Times New Roman" w:eastAsia="Calibri" w:hAnsi="Times New Roman" w:cs="Times New Roman" w:hint="eastAsia"/>
          <w:lang w:eastAsia="zh-TW"/>
        </w:rPr>
        <w:t xml:space="preserve"> </w:t>
      </w:r>
      <w:r>
        <w:rPr>
          <w:rFonts w:ascii="Times New Roman" w:eastAsia="Calibri" w:hAnsi="Times New Roman" w:cs="Times New Roman"/>
          <w:lang w:eastAsia="zh-TW"/>
        </w:rPr>
        <w:fldChar w:fldCharType="begin"/>
      </w:r>
      <w:r>
        <w:rPr>
          <w:rFonts w:ascii="Times New Roman" w:eastAsia="Calibri" w:hAnsi="Times New Roman" w:cs="Times New Roman"/>
          <w:lang w:eastAsia="zh-TW"/>
        </w:rPr>
        <w:instrText xml:space="preserve"> ADDIN ZOTERO_ITEM CSL_CITATION {"citationID":"vcZeeqOT","properties":{"unsorted":false,"formattedCitation":"(Bolnick et al., 2011)","plainCitation":"(Bolnick et al., 2011)","noteIndex":0},"citationItems":[{"id":5666,"uris":["http://zotero.org/users/11779132/items/NZL5ZF33"],"itemData":{"id":5666,"type":"article-journal","citation-key":"bolnickWhyIntraspecificTrait2011","container-title":"Trends in ecology &amp; evolution","issue":"4","note":"ISBN: 0169-5347","page":"183-192","publisher":"Elsevier","title":"Why intraspecific trait variation matters in community ecology","volume":"26","author":[{"family":"Bolnick","given":"Daniel I."},{"family":"Amarasekare","given":"Priyanga"},{"family":"Araújo","given":"Márcio S."},{"family":"Bürger","given":"Reinhard"},{"family":"Levine","given":"Jonathan M."},{"family":"Novak","given":"Mark"},{"family":"Rudolf","given":"Volker HW"},{"family":"Schreiber","given":"Sebastian J."},{"family":"Urban","given":"Mark C."},{"family":"Vasseur","given":"David A."}],"issued":{"date-parts":[["2011"]]}}}],"schema":"https://github.com/citation-style-language/schema/raw/master/csl-citation.json"} </w:instrText>
      </w:r>
      <w:r>
        <w:rPr>
          <w:rFonts w:ascii="Times New Roman" w:eastAsia="Calibri" w:hAnsi="Times New Roman" w:cs="Times New Roman"/>
          <w:lang w:eastAsia="zh-TW"/>
        </w:rPr>
        <w:fldChar w:fldCharType="separate"/>
      </w:r>
      <w:r>
        <w:rPr>
          <w:rFonts w:ascii="Times New Roman" w:eastAsia="Calibri" w:hAnsi="Times New Roman" w:cs="Times New Roman"/>
          <w:noProof/>
          <w:lang w:eastAsia="zh-TW"/>
        </w:rPr>
        <w:t>(Bolnick et al., 2011)</w:t>
      </w:r>
      <w:r>
        <w:rPr>
          <w:rFonts w:ascii="Times New Roman" w:eastAsia="Calibri" w:hAnsi="Times New Roman" w:cs="Times New Roman"/>
          <w:lang w:eastAsia="zh-TW"/>
        </w:rPr>
        <w:fldChar w:fldCharType="end"/>
      </w:r>
      <w:r>
        <w:rPr>
          <w:rFonts w:ascii="Times New Roman" w:eastAsia="Calibri" w:hAnsi="Times New Roman" w:cs="Times New Roman"/>
          <w:lang w:eastAsia="zh-TW"/>
        </w:rPr>
        <w:t xml:space="preserve">. However, the effects of temporal variation in these interactions on </w:t>
      </w:r>
      <w:r w:rsidR="001B4F2C">
        <w:rPr>
          <w:rFonts w:ascii="Times New Roman" w:eastAsia="Calibri" w:hAnsi="Times New Roman" w:cs="Times New Roman" w:hint="eastAsia"/>
          <w:lang w:eastAsia="zh-TW"/>
        </w:rPr>
        <w:t xml:space="preserve">the </w:t>
      </w:r>
      <w:r>
        <w:rPr>
          <w:rFonts w:ascii="Times New Roman" w:eastAsia="Calibri" w:hAnsi="Times New Roman" w:cs="Times New Roman"/>
          <w:lang w:eastAsia="zh-TW"/>
        </w:rPr>
        <w:t xml:space="preserve">resilience </w:t>
      </w:r>
      <w:r w:rsidR="001B4F2C">
        <w:rPr>
          <w:rFonts w:ascii="Times New Roman" w:eastAsia="Calibri" w:hAnsi="Times New Roman" w:cs="Times New Roman" w:hint="eastAsia"/>
          <w:lang w:eastAsia="zh-TW"/>
        </w:rPr>
        <w:t xml:space="preserve">of community </w:t>
      </w:r>
      <w:r>
        <w:rPr>
          <w:rFonts w:ascii="Times New Roman" w:eastAsia="Calibri" w:hAnsi="Times New Roman" w:cs="Times New Roman"/>
          <w:lang w:eastAsia="zh-TW"/>
        </w:rPr>
        <w:t>remain poorly understood</w:t>
      </w:r>
      <w:r>
        <w:rPr>
          <w:rFonts w:ascii="Times New Roman" w:eastAsia="Calibri" w:hAnsi="Times New Roman" w:cs="Times New Roman" w:hint="eastAsia"/>
          <w:lang w:eastAsia="zh-TW"/>
        </w:rPr>
        <w:t xml:space="preserve"> </w:t>
      </w:r>
      <w:r>
        <w:rPr>
          <w:rFonts w:ascii="Times New Roman" w:eastAsia="Calibri" w:hAnsi="Times New Roman" w:cs="Times New Roman"/>
          <w:lang w:eastAsia="zh-TW"/>
        </w:rPr>
        <w:fldChar w:fldCharType="begin"/>
      </w:r>
      <w:r>
        <w:rPr>
          <w:rFonts w:ascii="Times New Roman" w:eastAsia="Calibri" w:hAnsi="Times New Roman" w:cs="Times New Roman"/>
          <w:lang w:eastAsia="zh-TW"/>
        </w:rPr>
        <w:instrText xml:space="preserve"> ADDIN ZOTERO_ITEM CSL_CITATION {"citationID":"moqZsRhv","properties":{"unsorted":false,"formattedCitation":"(Calleja-Solanas et al., 2025)","plainCitation":"(Calleja-Solanas et al., 2025)","noteIndex":0},"citationItems":[{"id":5665,"uris":["http://zotero.org/users/11779132/items/UQWJVNFH"],"itemData":{"id":5665,"type":"article-journal","citation-key":"calleja-solanasTimevaryingInteractionsDrive2025","container-title":"bioRxiv","note":"ISBN: 2692-8205","page":"2025.11. 28.690940","publisher":"Cold Spring Harbor Laboratory","title":"Time-varying interactions drive species coexistence via rainfall variation","author":[{"family":"Calleja-Solanas","given":"Violeta"},{"family":"Bartomeus","given":"Ignasi"},{"family":"Godoy","given":"Oscar"}],"issued":{"date-parts":[["2025"]]}}}],"schema":"https://github.com/citation-style-language/schema/raw/master/csl-citation.json"} </w:instrText>
      </w:r>
      <w:r>
        <w:rPr>
          <w:rFonts w:ascii="Times New Roman" w:eastAsia="Calibri" w:hAnsi="Times New Roman" w:cs="Times New Roman"/>
          <w:lang w:eastAsia="zh-TW"/>
        </w:rPr>
        <w:fldChar w:fldCharType="separate"/>
      </w:r>
      <w:r>
        <w:rPr>
          <w:rFonts w:ascii="Times New Roman" w:eastAsia="Calibri" w:hAnsi="Times New Roman" w:cs="Times New Roman"/>
          <w:noProof/>
          <w:lang w:eastAsia="zh-TW"/>
        </w:rPr>
        <w:t>(Calleja-Solanas et al., 2025)</w:t>
      </w:r>
      <w:r>
        <w:rPr>
          <w:rFonts w:ascii="Times New Roman" w:eastAsia="Calibri" w:hAnsi="Times New Roman" w:cs="Times New Roman"/>
          <w:lang w:eastAsia="zh-TW"/>
        </w:rPr>
        <w:fldChar w:fldCharType="end"/>
      </w:r>
      <w:r>
        <w:rPr>
          <w:rFonts w:ascii="Times New Roman" w:eastAsia="Calibri" w:hAnsi="Times New Roman" w:cs="Times New Roman"/>
          <w:lang w:eastAsia="zh-TW"/>
        </w:rPr>
        <w:t xml:space="preserve">. </w:t>
      </w:r>
    </w:p>
    <w:p w14:paraId="5AE2ADDA" w14:textId="77777777" w:rsidR="006646E5" w:rsidRDefault="001C6311" w:rsidP="001462C6">
      <w:pPr>
        <w:spacing w:after="110" w:line="360" w:lineRule="auto"/>
        <w:jc w:val="both"/>
        <w:rPr>
          <w:rFonts w:ascii="Times New Roman" w:eastAsia="Calibri" w:hAnsi="Times New Roman" w:cs="Times New Roman"/>
          <w:lang w:eastAsia="zh-TW"/>
        </w:rPr>
      </w:pPr>
      <w:r>
        <w:rPr>
          <w:rFonts w:ascii="Times New Roman" w:eastAsia="Calibri" w:hAnsi="Times New Roman" w:cs="Times New Roman"/>
          <w:lang w:eastAsia="zh-TW"/>
        </w:rPr>
        <w:t xml:space="preserve">I will examine the extent to which </w:t>
      </w:r>
      <w:r>
        <w:rPr>
          <w:rFonts w:ascii="Times New Roman" w:eastAsia="Calibri" w:hAnsi="Times New Roman" w:cs="Times New Roman" w:hint="eastAsia"/>
          <w:lang w:eastAsia="zh-TW"/>
        </w:rPr>
        <w:t>the interaction</w:t>
      </w:r>
      <w:r>
        <w:rPr>
          <w:rFonts w:ascii="Times New Roman" w:eastAsia="Calibri" w:hAnsi="Times New Roman" w:cs="Times New Roman"/>
          <w:lang w:eastAsia="zh-TW"/>
        </w:rPr>
        <w:t xml:space="preserve"> effects vary with environmental conditions</w:t>
      </w:r>
      <w:r>
        <w:rPr>
          <w:rFonts w:ascii="Times New Roman" w:eastAsia="Calibri" w:hAnsi="Times New Roman" w:cs="Times New Roman" w:hint="eastAsia"/>
          <w:lang w:eastAsia="zh-TW"/>
        </w:rPr>
        <w:t xml:space="preserve"> using the model (Part A)</w:t>
      </w:r>
      <w:r>
        <w:rPr>
          <w:rFonts w:ascii="Times New Roman" w:eastAsia="Calibri" w:hAnsi="Times New Roman" w:cs="Times New Roman"/>
          <w:lang w:eastAsia="zh-TW"/>
        </w:rPr>
        <w:t xml:space="preserve">. </w:t>
      </w:r>
      <w:r>
        <w:rPr>
          <w:rFonts w:ascii="Times New Roman" w:eastAsia="Calibri" w:hAnsi="Times New Roman" w:cs="Times New Roman" w:hint="eastAsia"/>
          <w:lang w:eastAsia="zh-TW"/>
        </w:rPr>
        <w:t>Then,</w:t>
      </w:r>
      <w:r>
        <w:rPr>
          <w:rFonts w:ascii="Times New Roman" w:eastAsia="Calibri" w:hAnsi="Times New Roman" w:cs="Times New Roman"/>
          <w:lang w:eastAsia="zh-TW"/>
        </w:rPr>
        <w:t xml:space="preserve"> I will control th</w:t>
      </w:r>
      <w:r>
        <w:rPr>
          <w:rFonts w:ascii="Times New Roman" w:eastAsia="Calibri" w:hAnsi="Times New Roman" w:cs="Times New Roman" w:hint="eastAsia"/>
          <w:lang w:eastAsia="zh-TW"/>
        </w:rPr>
        <w:t>e</w:t>
      </w:r>
      <w:r>
        <w:rPr>
          <w:rFonts w:ascii="Times New Roman" w:eastAsia="Calibri" w:hAnsi="Times New Roman" w:cs="Times New Roman"/>
          <w:lang w:eastAsia="zh-TW"/>
        </w:rPr>
        <w:t xml:space="preserve"> variation</w:t>
      </w:r>
      <w:r>
        <w:rPr>
          <w:rFonts w:ascii="Times New Roman" w:eastAsia="Calibri" w:hAnsi="Times New Roman" w:cs="Times New Roman" w:hint="eastAsia"/>
          <w:lang w:eastAsia="zh-TW"/>
        </w:rPr>
        <w:t>s of interactions</w:t>
      </w:r>
      <w:r>
        <w:rPr>
          <w:rFonts w:ascii="Times New Roman" w:eastAsia="Calibri" w:hAnsi="Times New Roman" w:cs="Times New Roman"/>
          <w:lang w:eastAsia="zh-TW"/>
        </w:rPr>
        <w:t xml:space="preserve"> in counterfactual simulations to quantify </w:t>
      </w:r>
      <w:r>
        <w:rPr>
          <w:rFonts w:ascii="Times New Roman" w:eastAsia="Calibri" w:hAnsi="Times New Roman" w:cs="Times New Roman" w:hint="eastAsia"/>
          <w:lang w:eastAsia="zh-TW"/>
        </w:rPr>
        <w:t>the</w:t>
      </w:r>
      <w:r>
        <w:rPr>
          <w:rFonts w:ascii="Times New Roman" w:eastAsia="Calibri" w:hAnsi="Times New Roman" w:cs="Times New Roman"/>
          <w:lang w:eastAsia="zh-TW"/>
        </w:rPr>
        <w:t xml:space="preserve"> contribution </w:t>
      </w:r>
      <w:r>
        <w:rPr>
          <w:rFonts w:ascii="Times New Roman" w:eastAsia="Calibri" w:hAnsi="Times New Roman" w:cs="Times New Roman" w:hint="eastAsia"/>
          <w:lang w:eastAsia="zh-TW"/>
        </w:rPr>
        <w:t xml:space="preserve">of time-varying interactions </w:t>
      </w:r>
      <w:r>
        <w:rPr>
          <w:rFonts w:ascii="Times New Roman" w:eastAsia="Calibri" w:hAnsi="Times New Roman" w:cs="Times New Roman"/>
          <w:lang w:eastAsia="zh-TW"/>
        </w:rPr>
        <w:t>to community-level resilience</w:t>
      </w:r>
      <w:r>
        <w:rPr>
          <w:rFonts w:ascii="Times New Roman" w:eastAsia="Calibri" w:hAnsi="Times New Roman" w:cs="Times New Roman" w:hint="eastAsia"/>
          <w:lang w:eastAsia="zh-TW"/>
        </w:rPr>
        <w:t xml:space="preserve"> (Part B)</w:t>
      </w:r>
      <w:r>
        <w:rPr>
          <w:rFonts w:ascii="Times New Roman" w:eastAsia="Calibri" w:hAnsi="Times New Roman" w:cs="Times New Roman"/>
          <w:lang w:eastAsia="zh-TW"/>
        </w:rPr>
        <w:t xml:space="preserve">. </w:t>
      </w:r>
      <w:r>
        <w:rPr>
          <w:rFonts w:ascii="Times New Roman" w:eastAsia="Calibri" w:hAnsi="Times New Roman" w:cs="Times New Roman" w:hint="eastAsia"/>
          <w:lang w:eastAsia="zh-TW"/>
        </w:rPr>
        <w:t>I detail f</w:t>
      </w:r>
      <w:r>
        <w:rPr>
          <w:rFonts w:ascii="Times New Roman" w:eastAsia="Calibri" w:hAnsi="Times New Roman" w:cs="Times New Roman"/>
          <w:lang w:eastAsia="zh-TW"/>
        </w:rPr>
        <w:t>urther details in the following sections.</w:t>
      </w:r>
    </w:p>
    <w:p w14:paraId="4534782F" w14:textId="77777777" w:rsidR="006646E5" w:rsidRDefault="006646E5">
      <w:pPr>
        <w:rPr>
          <w:rFonts w:ascii="Times New Roman" w:eastAsia="Calibri" w:hAnsi="Times New Roman" w:cs="Times New Roman"/>
          <w:lang w:eastAsia="zh-TW"/>
        </w:rPr>
      </w:pPr>
      <w:r>
        <w:rPr>
          <w:rFonts w:ascii="Times New Roman" w:eastAsia="Calibri" w:hAnsi="Times New Roman" w:cs="Times New Roman"/>
          <w:lang w:eastAsia="zh-TW"/>
        </w:rPr>
        <w:br w:type="page"/>
      </w:r>
    </w:p>
    <w:p w14:paraId="011462C9" w14:textId="77777777" w:rsidR="00925561" w:rsidRPr="006646E5" w:rsidRDefault="005D5AEC" w:rsidP="001742B7">
      <w:pPr>
        <w:spacing w:after="240"/>
        <w:rPr>
          <w:rFonts w:ascii="Times New Roman" w:eastAsia="Calibri" w:hAnsi="Times New Roman" w:cs="Times New Roman"/>
          <w:lang w:eastAsia="zh-TW"/>
        </w:rPr>
      </w:pPr>
      <w:r>
        <w:rPr>
          <w:rFonts w:ascii="Times New Roman" w:eastAsia="Calibri" w:hAnsi="Times New Roman" w:cs="Times New Roman" w:hint="eastAsia"/>
          <w:b/>
          <w:bCs/>
          <w:color w:val="1F3864"/>
          <w:sz w:val="26"/>
          <w:szCs w:val="26"/>
          <w:lang w:eastAsia="zh-TW"/>
        </w:rPr>
        <w:lastRenderedPageBreak/>
        <w:t>2</w:t>
      </w:r>
      <w:r>
        <w:rPr>
          <w:rFonts w:ascii="Times New Roman" w:eastAsia="Calibri" w:hAnsi="Times New Roman" w:cs="Times New Roman"/>
          <w:b/>
          <w:bCs/>
          <w:color w:val="1F3864"/>
          <w:sz w:val="26"/>
          <w:szCs w:val="26"/>
        </w:rPr>
        <w:t xml:space="preserve"> </w:t>
      </w:r>
      <w:r>
        <w:rPr>
          <w:rFonts w:ascii="Times New Roman" w:eastAsia="Calibri" w:hAnsi="Times New Roman" w:cs="Times New Roman" w:hint="eastAsia"/>
          <w:b/>
          <w:bCs/>
          <w:color w:val="1F3864"/>
          <w:sz w:val="26"/>
          <w:szCs w:val="26"/>
          <w:lang w:eastAsia="zh-TW"/>
        </w:rPr>
        <w:t>Part A: A m</w:t>
      </w:r>
      <w:r>
        <w:rPr>
          <w:rFonts w:ascii="Times New Roman" w:eastAsia="Calibri" w:hAnsi="Times New Roman" w:cs="Times New Roman"/>
          <w:b/>
          <w:bCs/>
          <w:color w:val="1F3864"/>
          <w:sz w:val="26"/>
          <w:szCs w:val="26"/>
          <w:lang w:eastAsia="zh-TW"/>
        </w:rPr>
        <w:t>ultilevel Bayesian model</w:t>
      </w:r>
    </w:p>
    <w:p w14:paraId="70CAB5A5" w14:textId="33B63B84" w:rsidR="000366DB" w:rsidRDefault="00000000">
      <w:pPr>
        <w:spacing w:after="110" w:line="360" w:lineRule="auto"/>
        <w:jc w:val="both"/>
        <w:rPr>
          <w:rFonts w:ascii="Times New Roman" w:eastAsia="Calibri" w:hAnsi="Times New Roman" w:cs="Times New Roman"/>
          <w:lang w:eastAsia="zh-TW"/>
        </w:rPr>
      </w:pPr>
      <w:r>
        <w:rPr>
          <w:rFonts w:ascii="Times New Roman" w:eastAsia="Calibri" w:hAnsi="Times New Roman" w:cs="Times New Roman"/>
        </w:rPr>
        <w:t xml:space="preserve">To quantify how factors at each level of organisation shape the response of individuals to environmental change, I will jointly fit a multilevel Bayesian model to four vital rates of every individual: (1) survival; (2) growth; (3) flowering probability; and (4) fecundity, the number of inflorescences produced by a flowering individual (Blonder et al., 2018). </w:t>
      </w:r>
      <w:r w:rsidR="000366DB" w:rsidRPr="000366DB">
        <w:rPr>
          <w:rFonts w:ascii="Times New Roman" w:eastAsia="Calibri" w:hAnsi="Times New Roman" w:cs="Times New Roman"/>
        </w:rPr>
        <w:t>Fitting the four vital rates jointly lets each individual's random effects covary across vital rates</w:t>
      </w:r>
      <w:r w:rsidR="002F79D1">
        <w:rPr>
          <w:rFonts w:ascii="Times New Roman" w:eastAsia="Calibri" w:hAnsi="Times New Roman" w:cs="Times New Roman" w:hint="eastAsia"/>
          <w:lang w:eastAsia="zh-TW"/>
        </w:rPr>
        <w:t xml:space="preserve"> </w:t>
      </w:r>
      <w:r w:rsidR="002F79D1">
        <w:rPr>
          <w:rFonts w:ascii="Times New Roman" w:eastAsia="Calibri" w:hAnsi="Times New Roman" w:cs="Times New Roman"/>
          <w:lang w:eastAsia="zh-TW"/>
        </w:rPr>
        <w:fldChar w:fldCharType="begin"/>
      </w:r>
      <w:r w:rsidR="002F79D1">
        <w:rPr>
          <w:rFonts w:ascii="Times New Roman" w:eastAsia="Calibri" w:hAnsi="Times New Roman" w:cs="Times New Roman"/>
          <w:lang w:eastAsia="zh-TW"/>
        </w:rPr>
        <w:instrText xml:space="preserve"> ADDIN ZOTERO_ITEM CSL_CITATION {"citationID":"RgHTtezx","properties":{"unsorted":false,"formattedCitation":"(Cam et al., 2002)","plainCitation":"(Cam et al., 2002)","noteIndex":0},"citationItems":[{"id":5667,"uris":["http://zotero.org/users/11779132/items/W7NDD73C"],"itemData":{"id":5667,"type":"article-journal","citation-key":"camIndividualCovariationLifehistory2002","container-title":"The American Naturalist","issue":"1","note":"ISBN: 0003-0147","page":"96-105","publisher":"The University of Chicago Press","title":"Individual covariation in life-history traits: seeing the trees despite the forest","volume":"159","author":[{"family":"Cam","given":"Emmanuelle"},{"family":"Link","given":"William A."},{"family":"Cooch","given":"Evan G."},{"family":"Monnat","given":"Jean-Yves"},{"family":"Danchin","given":"Etienne"}],"issued":{"date-parts":[["2002"]]}}}],"schema":"https://github.com/citation-style-language/schema/raw/master/csl-citation.json"} </w:instrText>
      </w:r>
      <w:r w:rsidR="002F79D1">
        <w:rPr>
          <w:rFonts w:ascii="Times New Roman" w:eastAsia="Calibri" w:hAnsi="Times New Roman" w:cs="Times New Roman"/>
          <w:lang w:eastAsia="zh-TW"/>
        </w:rPr>
        <w:fldChar w:fldCharType="separate"/>
      </w:r>
      <w:r w:rsidR="002F79D1">
        <w:rPr>
          <w:rFonts w:ascii="Times New Roman" w:eastAsia="Calibri" w:hAnsi="Times New Roman" w:cs="Times New Roman"/>
          <w:noProof/>
          <w:lang w:eastAsia="zh-TW"/>
        </w:rPr>
        <w:t>(Cam et al., 2002)</w:t>
      </w:r>
      <w:r w:rsidR="002F79D1">
        <w:rPr>
          <w:rFonts w:ascii="Times New Roman" w:eastAsia="Calibri" w:hAnsi="Times New Roman" w:cs="Times New Roman"/>
          <w:lang w:eastAsia="zh-TW"/>
        </w:rPr>
        <w:fldChar w:fldCharType="end"/>
      </w:r>
      <w:r w:rsidR="000366DB" w:rsidRPr="000366DB">
        <w:rPr>
          <w:rFonts w:ascii="Times New Roman" w:eastAsia="Calibri" w:hAnsi="Times New Roman" w:cs="Times New Roman"/>
        </w:rPr>
        <w:t>, and yields one posterior from which every derived quantity in Parts A and B inherits its uncertainty.</w:t>
      </w:r>
    </w:p>
    <w:p w14:paraId="58D04ED3" w14:textId="6817B6BF" w:rsidR="006300C4" w:rsidRDefault="00000000">
      <w:pPr>
        <w:spacing w:after="110" w:line="360" w:lineRule="auto"/>
        <w:jc w:val="both"/>
        <w:rPr>
          <w:rFonts w:ascii="Times New Roman" w:hAnsi="Times New Roman" w:cs="Times New Roman"/>
        </w:rPr>
      </w:pPr>
      <w:r>
        <w:rPr>
          <w:rFonts w:ascii="Times New Roman" w:eastAsia="Calibri" w:hAnsi="Times New Roman" w:cs="Times New Roman"/>
        </w:rPr>
        <w:t xml:space="preserve">The linear predictor of each vital rate is the sum of four </w:t>
      </w:r>
      <w:r w:rsidR="00871C09">
        <w:rPr>
          <w:rFonts w:ascii="Times New Roman" w:eastAsia="Calibri" w:hAnsi="Times New Roman" w:cs="Times New Roman"/>
        </w:rPr>
        <w:t>components;</w:t>
      </w:r>
      <w:r>
        <w:rPr>
          <w:rFonts w:ascii="Times New Roman" w:eastAsia="Calibri" w:hAnsi="Times New Roman" w:cs="Times New Roman"/>
        </w:rPr>
        <w:t xml:space="preserve"> each tied to one level of organisation (Fig. 1). At the individual level, the model includes a plant's own size and the microenvironment it occupies, derived from the high-resolution environmental layers of</w:t>
      </w:r>
      <w:r w:rsidR="00374082">
        <w:rPr>
          <w:rFonts w:ascii="Times New Roman" w:eastAsia="Calibri" w:hAnsi="Times New Roman" w:cs="Times New Roman" w:hint="eastAsia"/>
          <w:lang w:eastAsia="zh-TW"/>
        </w:rPr>
        <w:t xml:space="preserve"> </w:t>
      </w:r>
      <w:r w:rsidR="00374082">
        <w:rPr>
          <w:rFonts w:ascii="Times New Roman" w:eastAsia="Calibri" w:hAnsi="Times New Roman" w:cs="Times New Roman"/>
          <w:lang w:eastAsia="zh-TW"/>
        </w:rPr>
        <w:fldChar w:fldCharType="begin"/>
      </w:r>
      <w:r w:rsidR="00374082">
        <w:rPr>
          <w:rFonts w:ascii="Times New Roman" w:eastAsia="Calibri" w:hAnsi="Times New Roman" w:cs="Times New Roman"/>
          <w:lang w:eastAsia="zh-TW"/>
        </w:rPr>
        <w:instrText xml:space="preserve"> ADDIN ZOTERO_ITEM CSL_CITATION {"citationID":"UIfjbkdV","properties":{"unsorted":false,"formattedCitation":"(Blonder et al., 2018)","plainCitation":"(Blonder et al., 2018)","noteIndex":0},"citationItems":[{"id":5664,"uris":["http://zotero.org/users/11779132/items/4PTGBFPA"],"itemData":{"id":5664,"type":"article-journal","citation-key":"blonderMicroenvironmentFunctionaltraitContext2018","container-title":"Journal of Ecology","issue":"4","note":"ISBN: 0022-0477","page":"1323-1337","publisher":"Wiley Online Library","title":"Microenvironment and functional‐trait context dependence predict alpine plant community dynamics","volume":"106","author":[{"family":"Blonder","given":"Benjamin"},{"family":"Kapas","given":"Rozalia E."},{"family":"Dalton","given":"Rebecca M."},{"family":"Graae","given":"Bente J."},{"family":"Heiling","given":"Jacob M."},{"family":"Opedal","given":"Øystein H."}],"issued":{"date-parts":[["2018"]]}}}],"schema":"https://github.com/citation-style-language/schema/raw/master/csl-citation.json"} </w:instrText>
      </w:r>
      <w:r w:rsidR="00374082">
        <w:rPr>
          <w:rFonts w:ascii="Times New Roman" w:eastAsia="Calibri" w:hAnsi="Times New Roman" w:cs="Times New Roman"/>
          <w:lang w:eastAsia="zh-TW"/>
        </w:rPr>
        <w:fldChar w:fldCharType="separate"/>
      </w:r>
      <w:r w:rsidR="00374082">
        <w:rPr>
          <w:rFonts w:ascii="Times New Roman" w:eastAsia="Calibri" w:hAnsi="Times New Roman" w:cs="Times New Roman"/>
          <w:noProof/>
          <w:lang w:eastAsia="zh-TW"/>
        </w:rPr>
        <w:t xml:space="preserve">Blonder et al. </w:t>
      </w:r>
      <w:r w:rsidR="00374082">
        <w:rPr>
          <w:rFonts w:ascii="Times New Roman" w:eastAsia="Calibri" w:hAnsi="Times New Roman" w:cs="Times New Roman" w:hint="eastAsia"/>
          <w:noProof/>
          <w:lang w:eastAsia="zh-TW"/>
        </w:rPr>
        <w:t>(</w:t>
      </w:r>
      <w:r w:rsidR="00374082">
        <w:rPr>
          <w:rFonts w:ascii="Times New Roman" w:eastAsia="Calibri" w:hAnsi="Times New Roman" w:cs="Times New Roman"/>
          <w:noProof/>
          <w:lang w:eastAsia="zh-TW"/>
        </w:rPr>
        <w:t>2018)</w:t>
      </w:r>
      <w:r w:rsidR="00374082">
        <w:rPr>
          <w:rFonts w:ascii="Times New Roman" w:eastAsia="Calibri" w:hAnsi="Times New Roman" w:cs="Times New Roman"/>
          <w:lang w:eastAsia="zh-TW"/>
        </w:rPr>
        <w:fldChar w:fldCharType="end"/>
      </w:r>
      <w:r>
        <w:rPr>
          <w:rFonts w:ascii="Times New Roman" w:eastAsia="Calibri" w:hAnsi="Times New Roman" w:cs="Times New Roman"/>
        </w:rPr>
        <w:t xml:space="preserve">. An individual random intercept absorbs persistent differences among plants that these covariates do not capture. </w:t>
      </w:r>
      <w:r w:rsidR="00374082" w:rsidRPr="00374082">
        <w:rPr>
          <w:rFonts w:ascii="Times New Roman" w:eastAsia="Calibri" w:hAnsi="Times New Roman" w:cs="Times New Roman"/>
        </w:rPr>
        <w:t>At the population level, differences among populations are partly explained by a life-history trait, while</w:t>
      </w:r>
      <w:r w:rsidR="00374082">
        <w:rPr>
          <w:rFonts w:ascii="Times New Roman" w:eastAsia="Calibri" w:hAnsi="Times New Roman" w:cs="Times New Roman" w:hint="eastAsia"/>
          <w:lang w:eastAsia="zh-TW"/>
        </w:rPr>
        <w:t xml:space="preserve"> also </w:t>
      </w:r>
      <w:r w:rsidR="00374082" w:rsidRPr="00374082">
        <w:rPr>
          <w:rFonts w:ascii="Times New Roman" w:eastAsia="Calibri" w:hAnsi="Times New Roman" w:cs="Times New Roman" w:hint="eastAsia"/>
          <w:lang w:eastAsia="zh-TW"/>
        </w:rPr>
        <w:t>a</w:t>
      </w:r>
      <w:r w:rsidR="00374082" w:rsidRPr="00374082">
        <w:rPr>
          <w:rFonts w:ascii="Times New Roman" w:eastAsia="Calibri" w:hAnsi="Times New Roman" w:cs="Times New Roman"/>
        </w:rPr>
        <w:t>llowing for additional variation that is unrelated to the trait.</w:t>
      </w:r>
      <w:r>
        <w:rPr>
          <w:rFonts w:ascii="Times New Roman" w:eastAsia="Calibri" w:hAnsi="Times New Roman" w:cs="Times New Roman"/>
        </w:rPr>
        <w:t xml:space="preserve"> Intraspecific and interspecific crowding</w:t>
      </w:r>
      <w:r w:rsidR="002D2850">
        <w:rPr>
          <w:rFonts w:ascii="Times New Roman" w:eastAsia="Calibri" w:hAnsi="Times New Roman" w:cs="Times New Roman" w:hint="eastAsia"/>
          <w:lang w:eastAsia="zh-TW"/>
        </w:rPr>
        <w:t xml:space="preserve">, as a proxy of interaction, </w:t>
      </w:r>
      <w:r>
        <w:rPr>
          <w:rFonts w:ascii="Times New Roman" w:eastAsia="Calibri" w:hAnsi="Times New Roman" w:cs="Times New Roman"/>
        </w:rPr>
        <w:t>are quantified from the mapped positions and sizes of neighbours in the raw census data</w:t>
      </w:r>
      <w:r w:rsidR="002F762D">
        <w:rPr>
          <w:rFonts w:ascii="Times New Roman" w:eastAsia="Calibri" w:hAnsi="Times New Roman" w:cs="Times New Roman" w:hint="eastAsia"/>
          <w:lang w:eastAsia="zh-TW"/>
        </w:rPr>
        <w:t xml:space="preserve"> </w:t>
      </w:r>
      <w:r w:rsidR="002F762D">
        <w:rPr>
          <w:rFonts w:ascii="Times New Roman" w:eastAsia="Calibri" w:hAnsi="Times New Roman" w:cs="Times New Roman"/>
          <w:lang w:eastAsia="zh-TW"/>
        </w:rPr>
        <w:fldChar w:fldCharType="begin"/>
      </w:r>
      <w:r w:rsidR="002F762D">
        <w:rPr>
          <w:rFonts w:ascii="Times New Roman" w:eastAsia="Calibri" w:hAnsi="Times New Roman" w:cs="Times New Roman"/>
          <w:lang w:eastAsia="zh-TW"/>
        </w:rPr>
        <w:instrText xml:space="preserve"> ADDIN ZOTERO_ITEM CSL_CITATION {"citationID":"gVhcnX7N","properties":{"unsorted":false,"formattedCitation":"(Blonder et al., 2018; Ray et al., 2023)","plainCitation":"(Blonder et al., 2018; Ray et al., 2023)","noteIndex":0},"citationItems":[{"id":5664,"uris":["http://zotero.org/users/11779132/items/4PTGBFPA"],"itemData":{"id":5664,"type":"article-journal","citation-key":"blonderMicroenvironmentFunctionaltraitContext2018","container-title":"Journal of Ecology","issue":"4","note":"ISBN: 0022-0477","page":"1323-1337","publisher":"Wiley Online Library","title":"Microenvironment and functional‐trait context dependence predict alpine plant community dynamics","volume":"106","author":[{"family":"Blonder","given":"Benjamin"},{"family":"Kapas","given":"Rozalia E."},{"family":"Dalton","given":"Rebecca M."},{"family":"Graae","given":"Bente J."},{"family":"Heiling","given":"Jacob M."},{"family":"Opedal","given":"Øystein H."}],"issued":{"date-parts":[["2018"]]}}},{"id":5663,"uris":["http://zotero.org/users/11779132/items/6AI8P5V2"],"itemData":{"id":5663,"type":"article-journal","citation-key":"rayLinkingMicroenvironmentModification2023","container-title":"Oikos","issue":"3","note":"ISBN: 0030-1299","page":"e09235","publisher":"Wiley Online Library","title":"Linking microenvironment modification to species interactions and demography in an alpine plant community","volume":"2023","author":[{"family":"Ray","given":"Courtenay A."},{"family":"Kapas","given":"Rozalia E."},{"family":"Opedal","given":"Øystein H."},{"family":"Blonder","given":"Benjamin W."}],"issued":{"date-parts":[["2023"]]}}}],"schema":"https://github.com/citation-style-language/schema/raw/master/csl-citation.json"} </w:instrText>
      </w:r>
      <w:r w:rsidR="002F762D">
        <w:rPr>
          <w:rFonts w:ascii="Times New Roman" w:eastAsia="Calibri" w:hAnsi="Times New Roman" w:cs="Times New Roman"/>
          <w:lang w:eastAsia="zh-TW"/>
        </w:rPr>
        <w:fldChar w:fldCharType="separate"/>
      </w:r>
      <w:r w:rsidR="002F762D">
        <w:rPr>
          <w:rFonts w:ascii="Times New Roman" w:eastAsia="Calibri" w:hAnsi="Times New Roman" w:cs="Times New Roman"/>
          <w:noProof/>
          <w:lang w:eastAsia="zh-TW"/>
        </w:rPr>
        <w:t>(Blonder et al., 2018; Ray et al., 2023)</w:t>
      </w:r>
      <w:r w:rsidR="002F762D">
        <w:rPr>
          <w:rFonts w:ascii="Times New Roman" w:eastAsia="Calibri" w:hAnsi="Times New Roman" w:cs="Times New Roman"/>
          <w:lang w:eastAsia="zh-TW"/>
        </w:rPr>
        <w:fldChar w:fldCharType="end"/>
      </w:r>
      <w:r>
        <w:rPr>
          <w:rFonts w:ascii="Times New Roman" w:eastAsia="Calibri" w:hAnsi="Times New Roman" w:cs="Times New Roman"/>
        </w:rPr>
        <w:t>. Annual climate enters as one value per year for the whole site, centred across years,</w:t>
      </w:r>
      <w:r w:rsidR="00221661">
        <w:rPr>
          <w:rFonts w:ascii="Times New Roman" w:eastAsia="Calibri" w:hAnsi="Times New Roman" w:cs="Times New Roman" w:hint="eastAsia"/>
          <w:lang w:eastAsia="zh-TW"/>
        </w:rPr>
        <w:t xml:space="preserve"> also with</w:t>
      </w:r>
      <w:r>
        <w:rPr>
          <w:rFonts w:ascii="Times New Roman" w:eastAsia="Calibri" w:hAnsi="Times New Roman" w:cs="Times New Roman" w:hint="eastAsia"/>
          <w:lang w:eastAsia="zh-TW"/>
        </w:rPr>
        <w:t xml:space="preserve"> </w:t>
      </w:r>
      <w:r>
        <w:rPr>
          <w:rFonts w:ascii="Times New Roman" w:eastAsia="Calibri" w:hAnsi="Times New Roman" w:cs="Times New Roman"/>
        </w:rPr>
        <w:t>year random effects that absorb the among-year variation that climate does not explain.</w:t>
      </w:r>
    </w:p>
    <w:p w14:paraId="4A6CE130" w14:textId="0EA2CF96" w:rsidR="006300C4" w:rsidRDefault="00000000">
      <w:pPr>
        <w:spacing w:after="110" w:line="360" w:lineRule="auto"/>
        <w:jc w:val="both"/>
        <w:rPr>
          <w:rFonts w:ascii="Times New Roman" w:hAnsi="Times New Roman" w:cs="Times New Roman"/>
          <w:lang w:eastAsia="zh-TW"/>
        </w:rPr>
      </w:pPr>
      <w:r>
        <w:rPr>
          <w:rFonts w:ascii="Times New Roman" w:eastAsia="Calibri" w:hAnsi="Times New Roman" w:cs="Times New Roman"/>
        </w:rPr>
        <w:t xml:space="preserve">Q1 asks which factor governs how strongly each level responds to environmental change, so the quantities of interest are the interactions between climate and the other factors rather than their main effects. Each level has its own climate modulator (Fig. 1): </w:t>
      </w:r>
      <w:r>
        <w:rPr>
          <w:rFonts w:ascii="Times New Roman" w:eastAsia="Calibri" w:hAnsi="Times New Roman" w:cs="Times New Roman"/>
          <w:i/>
          <w:iCs/>
        </w:rPr>
        <w:t>δ</w:t>
      </w:r>
      <w:r>
        <w:rPr>
          <w:rFonts w:ascii="Times New Roman" w:eastAsia="Calibri" w:hAnsi="Times New Roman" w:cs="Times New Roman"/>
          <w:vertAlign w:val="subscript"/>
        </w:rPr>
        <w:t>size</w:t>
      </w:r>
      <w:r>
        <w:rPr>
          <w:rFonts w:ascii="Times New Roman" w:eastAsia="Calibri" w:hAnsi="Times New Roman" w:cs="Times New Roman"/>
        </w:rPr>
        <w:t xml:space="preserve"> describes how the climate response of an individual changes with its size; d1</w:t>
      </w:r>
      <w:r>
        <w:rPr>
          <w:rFonts w:ascii="Times New Roman" w:eastAsia="Calibri" w:hAnsi="Times New Roman" w:cs="Times New Roman"/>
          <w:vertAlign w:val="subscript"/>
        </w:rPr>
        <w:t>climate</w:t>
      </w:r>
      <w:r>
        <w:rPr>
          <w:rFonts w:ascii="Times New Roman" w:eastAsia="Calibri" w:hAnsi="Times New Roman" w:cs="Times New Roman"/>
        </w:rPr>
        <w:t xml:space="preserve"> describes how the climate response of a population changes with its life-history trait; and </w:t>
      </w:r>
      <w:r>
        <w:rPr>
          <w:rFonts w:ascii="Times New Roman" w:eastAsia="Calibri" w:hAnsi="Times New Roman" w:cs="Times New Roman"/>
          <w:i/>
          <w:iCs/>
        </w:rPr>
        <w:t>δ</w:t>
      </w:r>
      <w:r>
        <w:rPr>
          <w:rFonts w:ascii="Times New Roman" w:eastAsia="Calibri" w:hAnsi="Times New Roman" w:cs="Times New Roman"/>
          <w:vertAlign w:val="subscript"/>
        </w:rPr>
        <w:t>intra</w:t>
      </w:r>
      <w:r>
        <w:rPr>
          <w:rFonts w:ascii="Times New Roman" w:eastAsia="Calibri" w:hAnsi="Times New Roman" w:cs="Times New Roman"/>
        </w:rPr>
        <w:t xml:space="preserve"> and </w:t>
      </w:r>
      <w:r>
        <w:rPr>
          <w:rFonts w:ascii="Times New Roman" w:eastAsia="Calibri" w:hAnsi="Times New Roman" w:cs="Times New Roman"/>
          <w:i/>
          <w:iCs/>
        </w:rPr>
        <w:t>δ</w:t>
      </w:r>
      <w:r>
        <w:rPr>
          <w:rFonts w:ascii="Times New Roman" w:eastAsia="Calibri" w:hAnsi="Times New Roman" w:cs="Times New Roman"/>
          <w:vertAlign w:val="subscript"/>
        </w:rPr>
        <w:t>inter</w:t>
      </w:r>
      <w:r>
        <w:rPr>
          <w:rFonts w:ascii="Times New Roman" w:eastAsia="Calibri" w:hAnsi="Times New Roman" w:cs="Times New Roman"/>
        </w:rPr>
        <w:t xml:space="preserve"> describe how the strength of intraspecific and interspecific interactions changes with climate.</w:t>
      </w:r>
    </w:p>
    <w:p w14:paraId="137D139A" w14:textId="60DAA3A8" w:rsidR="00925561" w:rsidRPr="006E4E4F" w:rsidRDefault="006E4E4F" w:rsidP="001462C6">
      <w:pPr>
        <w:spacing w:before="110" w:line="360" w:lineRule="auto"/>
        <w:jc w:val="center"/>
        <w:rPr>
          <w:rFonts w:ascii="Times New Roman" w:hAnsi="Times New Roman" w:cs="Times New Roman"/>
          <w:lang w:eastAsia="zh-TW"/>
        </w:rPr>
      </w:pPr>
      <w:r>
        <w:rPr>
          <w:rFonts w:ascii="Times New Roman" w:hAnsi="Times New Roman" w:cs="Times New Roman"/>
          <w:noProof/>
          <w:lang w:eastAsia="zh-TW"/>
        </w:rPr>
        <w:drawing>
          <wp:inline distT="0" distB="0" distL="0" distR="0" wp14:anchorId="3EC54151" wp14:editId="66C34E4D">
            <wp:extent cx="4899804" cy="4231648"/>
            <wp:effectExtent l="0" t="0" r="2540" b="0"/>
            <wp:docPr id="601145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145649" name="Picture 601145649"/>
                    <pic:cNvPicPr/>
                  </pic:nvPicPr>
                  <pic:blipFill>
                    <a:blip r:embed="rId6" cstate="print">
                      <a:extLst>
                        <a:ext uri="{28A0092B-C50C-407E-A947-70E740481C1C}">
                          <a14:useLocalDpi xmlns:a14="http://schemas.microsoft.com/office/drawing/2010/main" val="0"/>
                        </a:ext>
                      </a:extLst>
                    </a:blip>
                    <a:stretch>
                      <a:fillRect/>
                    </a:stretch>
                  </pic:blipFill>
                  <pic:spPr>
                    <a:xfrm>
                      <a:off x="0" y="0"/>
                      <a:ext cx="4937757" cy="4264426"/>
                    </a:xfrm>
                    <a:prstGeom prst="rect">
                      <a:avLst/>
                    </a:prstGeom>
                  </pic:spPr>
                </pic:pic>
              </a:graphicData>
            </a:graphic>
          </wp:inline>
        </w:drawing>
      </w:r>
    </w:p>
    <w:p w14:paraId="4065A43B" w14:textId="77777777" w:rsidR="006300C4" w:rsidRDefault="00000000">
      <w:pPr>
        <w:keepLines/>
        <w:spacing w:before="60" w:after="240"/>
        <w:jc w:val="center"/>
        <w:rPr>
          <w:rFonts w:ascii="Times New Roman" w:eastAsia="Calibri" w:hAnsi="Times New Roman" w:cs="Times New Roman"/>
          <w:sz w:val="20"/>
          <w:szCs w:val="20"/>
          <w:lang w:eastAsia="zh-TW"/>
        </w:rPr>
      </w:pPr>
      <w:r>
        <w:rPr>
          <w:rFonts w:ascii="Times New Roman" w:eastAsia="Calibri" w:hAnsi="Times New Roman" w:cs="Times New Roman"/>
          <w:b/>
          <w:bCs/>
          <w:sz w:val="20"/>
          <w:szCs w:val="20"/>
        </w:rPr>
        <w:t xml:space="preserve">Figure 1. </w:t>
      </w:r>
      <w:r>
        <w:rPr>
          <w:rFonts w:ascii="Times New Roman" w:eastAsia="Calibri" w:hAnsi="Times New Roman" w:cs="Times New Roman"/>
          <w:sz w:val="20"/>
          <w:szCs w:val="20"/>
        </w:rPr>
        <w:t>Structure of the multilevel vital-rate model (Part A).</w:t>
      </w:r>
    </w:p>
    <w:p w14:paraId="4587E326" w14:textId="092207E4" w:rsidR="00871C09" w:rsidRDefault="00871C09" w:rsidP="007C3AE6">
      <w:pPr>
        <w:spacing w:after="110" w:line="360" w:lineRule="auto"/>
        <w:jc w:val="both"/>
        <w:rPr>
          <w:rFonts w:ascii="Times New Roman" w:eastAsia="Calibri" w:hAnsi="Times New Roman" w:cs="Times New Roman"/>
          <w:lang w:eastAsia="zh-TW"/>
        </w:rPr>
      </w:pPr>
      <w:r>
        <w:rPr>
          <w:rFonts w:ascii="Times New Roman" w:eastAsia="Calibri" w:hAnsi="Times New Roman" w:cs="Times New Roman"/>
        </w:rPr>
        <w:lastRenderedPageBreak/>
        <w:t xml:space="preserve">The same model answers the first half of Q2. The strength of intraspecific interaction that an individual experience in a given year is a sum across levels: the population baseline </w:t>
      </w:r>
      <w:r>
        <w:rPr>
          <w:rFonts w:ascii="Times New Roman" w:eastAsia="Calibri" w:hAnsi="Times New Roman" w:cs="Times New Roman"/>
          <w:i/>
          <w:iCs/>
        </w:rPr>
        <w:t>β</w:t>
      </w:r>
      <w:r>
        <w:rPr>
          <w:rFonts w:ascii="Times New Roman" w:eastAsia="Calibri" w:hAnsi="Times New Roman" w:cs="Times New Roman"/>
          <w:vertAlign w:val="subscript"/>
        </w:rPr>
        <w:t>intra</w:t>
      </w:r>
      <w:r>
        <w:rPr>
          <w:rFonts w:ascii="Times New Roman" w:eastAsia="Calibri" w:hAnsi="Times New Roman" w:cs="Times New Roman"/>
        </w:rPr>
        <w:t>, modulated by the individual's size (</w:t>
      </w:r>
      <w:r>
        <w:rPr>
          <w:rFonts w:ascii="Times New Roman" w:eastAsia="Calibri" w:hAnsi="Times New Roman" w:cs="Times New Roman"/>
          <w:i/>
          <w:iCs/>
        </w:rPr>
        <w:t>θ</w:t>
      </w:r>
      <w:r>
        <w:rPr>
          <w:rFonts w:ascii="Times New Roman" w:eastAsia="Calibri" w:hAnsi="Times New Roman" w:cs="Times New Roman"/>
          <w:vertAlign w:val="subscript"/>
        </w:rPr>
        <w:t>intra</w:t>
      </w:r>
      <w:r>
        <w:rPr>
          <w:rFonts w:ascii="Times New Roman" w:eastAsia="Calibri" w:hAnsi="Times New Roman" w:cs="Times New Roman"/>
        </w:rPr>
        <w:t>) and microenvironment (</w:t>
      </w:r>
      <w:r>
        <w:rPr>
          <w:rFonts w:ascii="Times New Roman" w:eastAsia="Calibri" w:hAnsi="Times New Roman" w:cs="Times New Roman"/>
          <w:i/>
          <w:iCs/>
        </w:rPr>
        <w:t>ω</w:t>
      </w:r>
      <w:r>
        <w:rPr>
          <w:rFonts w:ascii="Times New Roman" w:eastAsia="Calibri" w:hAnsi="Times New Roman" w:cs="Times New Roman"/>
          <w:vertAlign w:val="subscript"/>
        </w:rPr>
        <w:t>intra</w:t>
      </w:r>
      <w:r>
        <w:rPr>
          <w:rFonts w:ascii="Times New Roman" w:eastAsia="Calibri" w:hAnsi="Times New Roman" w:cs="Times New Roman"/>
        </w:rPr>
        <w:t>), by climate (</w:t>
      </w:r>
      <w:r>
        <w:rPr>
          <w:rFonts w:ascii="Times New Roman" w:eastAsia="Calibri" w:hAnsi="Times New Roman" w:cs="Times New Roman"/>
          <w:i/>
          <w:iCs/>
        </w:rPr>
        <w:t>δ</w:t>
      </w:r>
      <w:r>
        <w:rPr>
          <w:rFonts w:ascii="Times New Roman" w:eastAsia="Calibri" w:hAnsi="Times New Roman" w:cs="Times New Roman"/>
          <w:vertAlign w:val="subscript"/>
        </w:rPr>
        <w:t>intra</w:t>
      </w:r>
      <w:r>
        <w:rPr>
          <w:rFonts w:ascii="Times New Roman" w:eastAsia="Calibri" w:hAnsi="Times New Roman" w:cs="Times New Roman"/>
        </w:rPr>
        <w:t xml:space="preserve">), and by unexplained year effects. </w:t>
      </w:r>
      <w:r w:rsidRPr="00871C09">
        <w:rPr>
          <w:rFonts w:ascii="Times New Roman" w:eastAsia="Calibri" w:hAnsi="Times New Roman" w:cs="Times New Roman"/>
        </w:rPr>
        <w:t>The posteriors of δ_intra and δ_inter indicate whether, and in which direction, climate shifts each type of interactio</w:t>
      </w:r>
      <w:r>
        <w:rPr>
          <w:rFonts w:ascii="Times New Roman" w:eastAsia="Calibri" w:hAnsi="Times New Roman" w:cs="Times New Roman" w:hint="eastAsia"/>
          <w:lang w:eastAsia="zh-TW"/>
        </w:rPr>
        <w:t>n.</w:t>
      </w:r>
    </w:p>
    <w:p w14:paraId="408B92B4" w14:textId="412B43BA" w:rsidR="00871C09" w:rsidRPr="00F71860" w:rsidRDefault="007C3AE6" w:rsidP="00F71860">
      <w:pPr>
        <w:spacing w:after="110" w:line="360" w:lineRule="auto"/>
        <w:jc w:val="both"/>
        <w:rPr>
          <w:rFonts w:ascii="Times New Roman" w:eastAsia="Calibri" w:hAnsi="Times New Roman" w:cs="Times New Roman"/>
          <w:lang w:eastAsia="zh-TW"/>
        </w:rPr>
      </w:pPr>
      <w:r w:rsidRPr="007C3AE6">
        <w:rPr>
          <w:rFonts w:ascii="Times New Roman" w:eastAsia="Calibri" w:hAnsi="Times New Roman" w:cs="Times New Roman"/>
          <w:lang w:eastAsia="zh-TW"/>
        </w:rPr>
        <w:t>Part A quantifies how each factor shapes individual vital rates, but not how populations and the community respond. To link the two levels, I will combine the fitted vital rates with a recruitment submodel, which links new recruits to the inflorescence production and cover of the previous year, into an integral projection model (IPM) for each population. Because the vital rates depend on climate, crowding and year effects, each IPM projects the size distribution, and hence the cover, of its population from one year to the next. From these IPMs, I will quantify how the population growth rate (λ) responds to climate, both its direct effect (β_climate) and its modulation of other effects (δ_size, intra and δ_inter). Summing these contributions across populations, weighted by their cover/abundance, extends the decomposition to the community cover/abundance. These analytical results indicate which factor governs the response of populations and the community, whereas the counterfactual simulations in Part B provide a more direct and robust test of the same question.</w:t>
      </w:r>
    </w:p>
    <w:p w14:paraId="209BFA8B" w14:textId="0582EABC" w:rsidR="005D5AEC" w:rsidRDefault="005D5AEC" w:rsidP="00F71860">
      <w:pPr>
        <w:spacing w:before="240" w:after="240"/>
        <w:rPr>
          <w:rFonts w:ascii="Times New Roman" w:eastAsia="Calibri" w:hAnsi="Times New Roman" w:cs="Times New Roman"/>
          <w:b/>
          <w:bCs/>
          <w:color w:val="1F3864"/>
          <w:sz w:val="26"/>
          <w:szCs w:val="26"/>
          <w:lang w:eastAsia="zh-TW"/>
        </w:rPr>
      </w:pPr>
      <w:r>
        <w:rPr>
          <w:rFonts w:ascii="Times New Roman" w:eastAsia="Calibri" w:hAnsi="Times New Roman" w:cs="Times New Roman" w:hint="eastAsia"/>
          <w:b/>
          <w:bCs/>
          <w:color w:val="1F3864"/>
          <w:sz w:val="26"/>
          <w:szCs w:val="26"/>
          <w:lang w:eastAsia="zh-TW"/>
        </w:rPr>
        <w:t>3</w:t>
      </w:r>
      <w:r>
        <w:rPr>
          <w:rFonts w:ascii="Times New Roman" w:eastAsia="Calibri" w:hAnsi="Times New Roman" w:cs="Times New Roman"/>
          <w:b/>
          <w:bCs/>
          <w:color w:val="1F3864"/>
          <w:sz w:val="26"/>
          <w:szCs w:val="26"/>
        </w:rPr>
        <w:t xml:space="preserve"> </w:t>
      </w:r>
      <w:r>
        <w:rPr>
          <w:rFonts w:ascii="Times New Roman" w:eastAsia="Calibri" w:hAnsi="Times New Roman" w:cs="Times New Roman" w:hint="eastAsia"/>
          <w:b/>
          <w:bCs/>
          <w:color w:val="1F3864"/>
          <w:sz w:val="26"/>
          <w:szCs w:val="26"/>
          <w:lang w:eastAsia="zh-TW"/>
        </w:rPr>
        <w:t>Part B: C</w:t>
      </w:r>
      <w:r>
        <w:rPr>
          <w:rFonts w:ascii="Times New Roman" w:eastAsia="Calibri" w:hAnsi="Times New Roman" w:cs="Times New Roman"/>
          <w:b/>
          <w:bCs/>
          <w:color w:val="1F3864"/>
          <w:sz w:val="26"/>
          <w:szCs w:val="26"/>
          <w:lang w:eastAsia="zh-TW"/>
        </w:rPr>
        <w:t>ounterfactual simulations</w:t>
      </w:r>
    </w:p>
    <w:p w14:paraId="1AE76823" w14:textId="04EF28A7" w:rsidR="006300C4" w:rsidRDefault="00000000">
      <w:pPr>
        <w:spacing w:after="110" w:line="360" w:lineRule="auto"/>
        <w:jc w:val="both"/>
        <w:rPr>
          <w:rFonts w:ascii="Times New Roman" w:hAnsi="Times New Roman" w:cs="Times New Roman"/>
        </w:rPr>
      </w:pPr>
      <w:r>
        <w:rPr>
          <w:rFonts w:ascii="Times New Roman" w:eastAsia="Calibri" w:hAnsi="Times New Roman" w:cs="Times New Roman"/>
        </w:rPr>
        <w:t>To quantify the contribution of each factor to community resilience</w:t>
      </w:r>
      <w:r w:rsidR="00042803">
        <w:rPr>
          <w:rFonts w:ascii="Times New Roman" w:eastAsia="Calibri" w:hAnsi="Times New Roman" w:cs="Times New Roman" w:hint="eastAsia"/>
          <w:lang w:eastAsia="zh-TW"/>
        </w:rPr>
        <w:t xml:space="preserve"> </w:t>
      </w:r>
      <w:r w:rsidR="001003FB">
        <w:rPr>
          <w:rFonts w:ascii="Times New Roman" w:eastAsia="Calibri" w:hAnsi="Times New Roman" w:cs="Times New Roman"/>
          <w:lang w:eastAsia="zh-TW"/>
        </w:rPr>
        <w:t>directly</w:t>
      </w:r>
      <w:r>
        <w:rPr>
          <w:rFonts w:ascii="Times New Roman" w:eastAsia="Calibri" w:hAnsi="Times New Roman" w:cs="Times New Roman"/>
        </w:rPr>
        <w:t xml:space="preserve">, I will run counterfactual simulations from the posterior of Part A (Fig. 2). Each simulation projects every </w:t>
      </w:r>
      <w:r w:rsidR="00374082">
        <w:rPr>
          <w:rFonts w:ascii="Times New Roman" w:eastAsia="Calibri" w:hAnsi="Times New Roman" w:cs="Times New Roman"/>
        </w:rPr>
        <w:t>population</w:t>
      </w:r>
      <w:r>
        <w:rPr>
          <w:rFonts w:ascii="Times New Roman" w:eastAsia="Calibri" w:hAnsi="Times New Roman" w:cs="Times New Roman"/>
        </w:rPr>
        <w:t xml:space="preserve"> forward with its IPM under a given sequence of climate years and records total community cove</w:t>
      </w:r>
      <w:r w:rsidR="001E5456">
        <w:rPr>
          <w:rFonts w:ascii="Times New Roman" w:eastAsia="Calibri" w:hAnsi="Times New Roman" w:cs="Times New Roman" w:hint="eastAsia"/>
          <w:lang w:eastAsia="zh-TW"/>
        </w:rPr>
        <w:t>r/abundance</w:t>
      </w:r>
      <w:r>
        <w:rPr>
          <w:rFonts w:ascii="Times New Roman" w:eastAsia="Calibri" w:hAnsi="Times New Roman" w:cs="Times New Roman" w:hint="eastAsia"/>
          <w:lang w:eastAsia="zh-TW"/>
        </w:rPr>
        <w:t>,</w:t>
      </w:r>
      <w:r>
        <w:rPr>
          <w:rFonts w:ascii="Times New Roman" w:eastAsia="Calibri" w:hAnsi="Times New Roman" w:cs="Times New Roman"/>
        </w:rPr>
        <w:t xml:space="preserve"> as the state variable. Because the future positions of plants are unknown, the crowding that each </w:t>
      </w:r>
      <w:r w:rsidR="00374082">
        <w:rPr>
          <w:rFonts w:ascii="Times New Roman" w:eastAsia="Calibri" w:hAnsi="Times New Roman" w:cs="Times New Roman"/>
        </w:rPr>
        <w:t>population</w:t>
      </w:r>
      <w:r>
        <w:rPr>
          <w:rFonts w:ascii="Times New Roman" w:eastAsia="Calibri" w:hAnsi="Times New Roman" w:cs="Times New Roman"/>
        </w:rPr>
        <w:t xml:space="preserve"> experiences will be recomputed every year from the simulated cover of conspecific and heterospecific populations, as a mean-field approximation of the observed neighbourhoods</w:t>
      </w:r>
      <w:r w:rsidR="00D86EFA">
        <w:rPr>
          <w:rFonts w:ascii="Times New Roman" w:eastAsia="Calibri" w:hAnsi="Times New Roman" w:cs="Times New Roman" w:hint="eastAsia"/>
          <w:lang w:eastAsia="zh-TW"/>
        </w:rPr>
        <w:t xml:space="preserve"> </w:t>
      </w:r>
      <w:r w:rsidR="00D86EFA">
        <w:rPr>
          <w:rFonts w:ascii="Times New Roman" w:eastAsia="Calibri" w:hAnsi="Times New Roman" w:cs="Times New Roman"/>
          <w:lang w:eastAsia="zh-TW"/>
        </w:rPr>
        <w:fldChar w:fldCharType="begin"/>
      </w:r>
      <w:r w:rsidR="00D86EFA">
        <w:rPr>
          <w:rFonts w:ascii="Times New Roman" w:eastAsia="Calibri" w:hAnsi="Times New Roman" w:cs="Times New Roman"/>
          <w:lang w:eastAsia="zh-TW"/>
        </w:rPr>
        <w:instrText xml:space="preserve"> ADDIN ZOTERO_ITEM CSL_CITATION {"citationID":"EQvaiJ55","properties":{"unsorted":false,"formattedCitation":"(Chu et al., 2016)","plainCitation":"(Chu et al., 2016)","noteIndex":0},"citationItems":[{"id":5668,"uris":["http://zotero.org/users/11779132/items/6JVKHWRJ"],"itemData":{"id":5668,"type":"article-journal","citation-key":"chuDirectEffectsDominate2016","container-title":"Nature Communications","issue":"1","note":"ISBN: 2041-1723","page":"11766","publisher":"Nature Publishing Group UK London","title":"Direct effects dominate responses to climate perturbations in grassland plant communities","volume":"7","author":[{"family":"Chu","given":"Chengjin"},{"family":"Kleinhesselink","given":"Andrew R."},{"family":"Havstad","given":"Kris M."},{"family":"McClaran","given":"Mitchel P."},{"family":"Peters","given":"Debra P."},{"family":"Vermeire","given":"Lance T."},{"family":"Wei","given":"Haiyan"},{"family":"Adler","given":"Peter B."}],"issued":{"date-parts":[["2016"]]}}}],"schema":"https://github.com/citation-style-language/schema/raw/master/csl-citation.json"} </w:instrText>
      </w:r>
      <w:r w:rsidR="00D86EFA">
        <w:rPr>
          <w:rFonts w:ascii="Times New Roman" w:eastAsia="Calibri" w:hAnsi="Times New Roman" w:cs="Times New Roman"/>
          <w:lang w:eastAsia="zh-TW"/>
        </w:rPr>
        <w:fldChar w:fldCharType="separate"/>
      </w:r>
      <w:r w:rsidR="00D86EFA">
        <w:rPr>
          <w:rFonts w:ascii="Times New Roman" w:eastAsia="Calibri" w:hAnsi="Times New Roman" w:cs="Times New Roman"/>
          <w:noProof/>
          <w:lang w:eastAsia="zh-TW"/>
        </w:rPr>
        <w:t>(Chu et al., 2016)</w:t>
      </w:r>
      <w:r w:rsidR="00D86EFA">
        <w:rPr>
          <w:rFonts w:ascii="Times New Roman" w:eastAsia="Calibri" w:hAnsi="Times New Roman" w:cs="Times New Roman"/>
          <w:lang w:eastAsia="zh-TW"/>
        </w:rPr>
        <w:fldChar w:fldCharType="end"/>
      </w:r>
      <w:r>
        <w:rPr>
          <w:rFonts w:ascii="Times New Roman" w:eastAsia="Calibri" w:hAnsi="Times New Roman" w:cs="Times New Roman"/>
        </w:rPr>
        <w:t>. I will calibrate this approximation against the crowding observed in census years before running the simulations.</w:t>
      </w:r>
    </w:p>
    <w:p w14:paraId="3A92BEB0" w14:textId="77777777" w:rsidR="006300C4" w:rsidRDefault="00000000">
      <w:pPr>
        <w:keepNext/>
        <w:spacing w:before="110"/>
        <w:jc w:val="center"/>
      </w:pPr>
      <w:r>
        <w:rPr>
          <w:noProof/>
        </w:rPr>
        <w:drawing>
          <wp:inline distT="0" distB="0" distL="0" distR="0" wp14:anchorId="1F1C9778" wp14:editId="26EB8EA4">
            <wp:extent cx="6188710" cy="3110727"/>
            <wp:effectExtent l="0" t="0" r="0" b="0"/>
            <wp:docPr id="2001" name="Picture 2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Picture 2001"/>
                    <pic:cNvPicPr/>
                  </pic:nvPicPr>
                  <pic:blipFill>
                    <a:blip r:embed="rId7"/>
                    <a:stretch>
                      <a:fillRect/>
                    </a:stretch>
                  </pic:blipFill>
                  <pic:spPr>
                    <a:xfrm>
                      <a:off x="0" y="0"/>
                      <a:ext cx="6188710" cy="3110727"/>
                    </a:xfrm>
                    <a:prstGeom prst="rect">
                      <a:avLst/>
                    </a:prstGeom>
                  </pic:spPr>
                </pic:pic>
              </a:graphicData>
            </a:graphic>
          </wp:inline>
        </w:drawing>
      </w:r>
    </w:p>
    <w:p w14:paraId="2AAA33B7" w14:textId="77777777" w:rsidR="006300C4" w:rsidRDefault="00000000">
      <w:pPr>
        <w:keepLines/>
        <w:spacing w:before="60" w:after="240"/>
        <w:jc w:val="center"/>
      </w:pPr>
      <w:r>
        <w:rPr>
          <w:rFonts w:ascii="Times New Roman" w:eastAsia="Calibri" w:hAnsi="Times New Roman" w:cs="Times New Roman"/>
          <w:b/>
          <w:bCs/>
          <w:sz w:val="20"/>
          <w:szCs w:val="20"/>
        </w:rPr>
        <w:t xml:space="preserve">Figure 2. </w:t>
      </w:r>
      <w:r>
        <w:rPr>
          <w:rFonts w:ascii="Times New Roman" w:eastAsia="Calibri" w:hAnsi="Times New Roman" w:cs="Times New Roman"/>
          <w:sz w:val="20"/>
          <w:szCs w:val="20"/>
        </w:rPr>
        <w:t>Counterfactual simulation workflow and scenario design.</w:t>
      </w:r>
    </w:p>
    <w:p w14:paraId="5E8EBBC9" w14:textId="039291F2" w:rsidR="006300C4" w:rsidRDefault="00000000">
      <w:pPr>
        <w:spacing w:after="110" w:line="360" w:lineRule="auto"/>
        <w:jc w:val="both"/>
        <w:rPr>
          <w:rFonts w:ascii="Times New Roman" w:eastAsia="Calibri" w:hAnsi="Times New Roman" w:cs="Times New Roman"/>
          <w:lang w:eastAsia="zh-TW"/>
        </w:rPr>
      </w:pPr>
      <w:r>
        <w:rPr>
          <w:rFonts w:ascii="Times New Roman" w:eastAsia="Calibri" w:hAnsi="Times New Roman" w:cs="Times New Roman"/>
        </w:rPr>
        <w:t>From each simulated trajectory, I will compute three resilience metrics (Fig. 3</w:t>
      </w:r>
      <w:r w:rsidR="000770FD">
        <w:rPr>
          <w:rFonts w:ascii="Times New Roman" w:eastAsia="Calibri" w:hAnsi="Times New Roman" w:cs="Times New Roman" w:hint="eastAsia"/>
          <w:lang w:eastAsia="zh-TW"/>
        </w:rPr>
        <w:t xml:space="preserve">; </w:t>
      </w:r>
      <w:r w:rsidR="000770FD">
        <w:rPr>
          <w:rFonts w:ascii="Times New Roman" w:eastAsia="Calibri" w:hAnsi="Times New Roman" w:cs="Times New Roman"/>
          <w:lang w:eastAsia="zh-TW"/>
        </w:rPr>
        <w:fldChar w:fldCharType="begin"/>
      </w:r>
      <w:r w:rsidR="000770FD">
        <w:rPr>
          <w:rFonts w:ascii="Times New Roman" w:eastAsia="Calibri" w:hAnsi="Times New Roman" w:cs="Times New Roman"/>
          <w:lang w:eastAsia="zh-TW"/>
        </w:rPr>
        <w:instrText xml:space="preserve"> ADDIN ZOTERO_ITEM CSL_CITATION {"citationID":"wPpZvGqO","properties":{"unsorted":false,"formattedCitation":"(Lin, Moorthy, et al., 2026)","plainCitation":"(Lin, Moorthy, et al., 2026)","noteIndex":0},"citationItems":[{"id":5657,"uris":["http://zotero.org/users/11779132/items/AUHFEDFT"],"itemData":{"id":5657,"type":"article-journal","citation-key":"linStillLostDefinitions2026","container-title":"bioRxiv","note":"ISBN: 2692-8205","page":"2026.06. 03.729936","publisher":"Cold Spring Harbor Laboratory","title":"Still Lost in Definitions: How ‘Resilience’ Is Used in Ecology","author":[{"family":"Lin","given":"Hung-wei"},{"family":"Moorthy","given":"Sruthi M. Krishna"},{"family":"Hector","given":"Andrew"},{"family":"Salguero-Gómez","given":"Roberto"}],"issued":{"date-parts":[["2026"]]}}}],"schema":"https://github.com/citation-style-language/schema/raw/master/csl-citation.json"} </w:instrText>
      </w:r>
      <w:r w:rsidR="000770FD">
        <w:rPr>
          <w:rFonts w:ascii="Times New Roman" w:eastAsia="Calibri" w:hAnsi="Times New Roman" w:cs="Times New Roman"/>
          <w:lang w:eastAsia="zh-TW"/>
        </w:rPr>
        <w:fldChar w:fldCharType="separate"/>
      </w:r>
      <w:r w:rsidR="000770FD">
        <w:rPr>
          <w:rFonts w:ascii="Times New Roman" w:eastAsia="Calibri" w:hAnsi="Times New Roman" w:cs="Times New Roman"/>
          <w:noProof/>
          <w:lang w:eastAsia="zh-TW"/>
        </w:rPr>
        <w:t>Lin et al., 2026</w:t>
      </w:r>
      <w:r w:rsidR="000770FD">
        <w:rPr>
          <w:rFonts w:ascii="Times New Roman" w:eastAsia="Calibri" w:hAnsi="Times New Roman" w:cs="Times New Roman" w:hint="eastAsia"/>
          <w:noProof/>
          <w:lang w:eastAsia="zh-TW"/>
        </w:rPr>
        <w:t>a</w:t>
      </w:r>
      <w:r w:rsidR="000770FD">
        <w:rPr>
          <w:rFonts w:ascii="Times New Roman" w:eastAsia="Calibri" w:hAnsi="Times New Roman" w:cs="Times New Roman"/>
          <w:lang w:eastAsia="zh-TW"/>
        </w:rPr>
        <w:fldChar w:fldCharType="end"/>
      </w:r>
      <w:r>
        <w:rPr>
          <w:rFonts w:ascii="Times New Roman" w:eastAsia="Calibri" w:hAnsi="Times New Roman" w:cs="Times New Roman"/>
        </w:rPr>
        <w:t xml:space="preserve">): (1) temporal stability, the mean of total </w:t>
      </w:r>
      <w:r>
        <w:rPr>
          <w:rFonts w:ascii="Times New Roman" w:eastAsia="Calibri" w:hAnsi="Times New Roman" w:cs="Times New Roman" w:hint="eastAsia"/>
          <w:lang w:eastAsia="zh-TW"/>
        </w:rPr>
        <w:t>c</w:t>
      </w:r>
      <w:r>
        <w:rPr>
          <w:rFonts w:ascii="Times New Roman" w:eastAsia="Calibri" w:hAnsi="Times New Roman" w:cs="Times New Roman"/>
        </w:rPr>
        <w:t>over</w:t>
      </w:r>
      <w:r w:rsidR="008852EB">
        <w:rPr>
          <w:rFonts w:ascii="Times New Roman" w:eastAsia="Calibri" w:hAnsi="Times New Roman" w:cs="Times New Roman" w:hint="eastAsia"/>
          <w:lang w:eastAsia="zh-TW"/>
        </w:rPr>
        <w:t>/abundance</w:t>
      </w:r>
      <w:r>
        <w:rPr>
          <w:rFonts w:ascii="Times New Roman" w:eastAsia="Calibri" w:hAnsi="Times New Roman" w:cs="Times New Roman"/>
        </w:rPr>
        <w:t xml:space="preserve"> divided by its standard deviation; (2) resistance, one minus the relative </w:t>
      </w:r>
      <w:r>
        <w:rPr>
          <w:rFonts w:ascii="Times New Roman" w:eastAsia="Calibri" w:hAnsi="Times New Roman" w:cs="Times New Roman"/>
        </w:rPr>
        <w:lastRenderedPageBreak/>
        <w:t xml:space="preserve">drop in cover in dry years; and (3) recovery rate, the inverse of the number of years needed to return to baseline. The same metrics computed from the cover of each </w:t>
      </w:r>
      <w:r w:rsidR="00374082">
        <w:rPr>
          <w:rFonts w:ascii="Times New Roman" w:eastAsia="Calibri" w:hAnsi="Times New Roman" w:cs="Times New Roman"/>
        </w:rPr>
        <w:t>population</w:t>
      </w:r>
      <w:r>
        <w:rPr>
          <w:rFonts w:ascii="Times New Roman" w:eastAsia="Calibri" w:hAnsi="Times New Roman" w:cs="Times New Roman"/>
        </w:rPr>
        <w:t xml:space="preserve"> provide their population-level counterparts.</w:t>
      </w:r>
    </w:p>
    <w:p w14:paraId="1F5D3AA6" w14:textId="482E7E3B" w:rsidR="00D739A9" w:rsidRDefault="00D739A9">
      <w:pPr>
        <w:spacing w:after="110" w:line="360" w:lineRule="auto"/>
        <w:jc w:val="both"/>
        <w:rPr>
          <w:rFonts w:ascii="Times New Roman" w:hAnsi="Times New Roman" w:cs="Times New Roman"/>
          <w:lang w:eastAsia="zh-TW"/>
        </w:rPr>
      </w:pPr>
      <w:r>
        <w:rPr>
          <w:rFonts w:ascii="Times New Roman" w:eastAsia="Calibri" w:hAnsi="Times New Roman" w:cs="Times New Roman"/>
        </w:rPr>
        <w:t xml:space="preserve">To test whether climate-driven shifts in interaction strength enhance community resilience (Q2), I will compare the full model with three frozen scenarios, in which </w:t>
      </w:r>
      <w:r>
        <w:rPr>
          <w:rFonts w:ascii="Times New Roman" w:eastAsia="Calibri" w:hAnsi="Times New Roman" w:cs="Times New Roman"/>
          <w:i/>
          <w:iCs/>
        </w:rPr>
        <w:t>δ</w:t>
      </w:r>
      <w:r>
        <w:rPr>
          <w:rFonts w:ascii="Times New Roman" w:eastAsia="Calibri" w:hAnsi="Times New Roman" w:cs="Times New Roman"/>
          <w:vertAlign w:val="subscript"/>
        </w:rPr>
        <w:t>inter</w:t>
      </w:r>
      <w:r>
        <w:rPr>
          <w:rFonts w:ascii="Times New Roman" w:eastAsia="Calibri" w:hAnsi="Times New Roman" w:cs="Times New Roman"/>
        </w:rPr>
        <w:t xml:space="preserve">, </w:t>
      </w:r>
      <w:r>
        <w:rPr>
          <w:rFonts w:ascii="Times New Roman" w:eastAsia="Calibri" w:hAnsi="Times New Roman" w:cs="Times New Roman"/>
          <w:i/>
          <w:iCs/>
        </w:rPr>
        <w:t>δ</w:t>
      </w:r>
      <w:r>
        <w:rPr>
          <w:rFonts w:ascii="Times New Roman" w:eastAsia="Calibri" w:hAnsi="Times New Roman" w:cs="Times New Roman"/>
          <w:vertAlign w:val="subscript"/>
        </w:rPr>
        <w:t>intra</w:t>
      </w:r>
      <w:r>
        <w:rPr>
          <w:rFonts w:ascii="Times New Roman" w:eastAsia="Calibri" w:hAnsi="Times New Roman" w:cs="Times New Roman"/>
        </w:rPr>
        <w:t>, or both are set to zero (Fig. 2). Because climate is centred, a frozen interaction is held at its mean-climate strength rather than removed, so the scenarios differ only in whether interaction strength responds to climate. The difference in each resilience metric between the full and a frozen scenario quantifies the contribution of that climate response to community resilience. I expect freezing to lower temporal stability and resistance, and to slow recovery (Fig. 4).</w:t>
      </w:r>
      <w:r>
        <w:rPr>
          <w:rFonts w:ascii="Times New Roman" w:hAnsi="Times New Roman" w:cs="Times New Roman" w:hint="eastAsia"/>
          <w:lang w:eastAsia="zh-TW"/>
        </w:rPr>
        <w:t xml:space="preserve"> </w:t>
      </w:r>
      <w:r>
        <w:rPr>
          <w:rFonts w:ascii="Times New Roman" w:eastAsia="Calibri" w:hAnsi="Times New Roman" w:cs="Times New Roman"/>
        </w:rPr>
        <w:t>Each scenario will be run under four climate sequences: the observed sequence, random reordering of the observed years, sequences that cluster the driest years, and a constant mean climate (Fig. 2).</w:t>
      </w:r>
    </w:p>
    <w:p w14:paraId="24C6F2BA" w14:textId="77777777" w:rsidR="006300C4" w:rsidRDefault="00000000">
      <w:pPr>
        <w:keepNext/>
        <w:spacing w:before="110"/>
        <w:jc w:val="center"/>
      </w:pPr>
      <w:r>
        <w:rPr>
          <w:noProof/>
        </w:rPr>
        <w:drawing>
          <wp:inline distT="0" distB="0" distL="0" distR="0" wp14:anchorId="35CBFE53" wp14:editId="6DE87A56">
            <wp:extent cx="6188710" cy="2650257"/>
            <wp:effectExtent l="0" t="0" r="0" b="0"/>
            <wp:docPr id="2002" name="Picture 2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 name="Picture 2002"/>
                    <pic:cNvPicPr/>
                  </pic:nvPicPr>
                  <pic:blipFill>
                    <a:blip r:embed="rId8"/>
                    <a:stretch>
                      <a:fillRect/>
                    </a:stretch>
                  </pic:blipFill>
                  <pic:spPr>
                    <a:xfrm>
                      <a:off x="0" y="0"/>
                      <a:ext cx="6188710" cy="2650257"/>
                    </a:xfrm>
                    <a:prstGeom prst="rect">
                      <a:avLst/>
                    </a:prstGeom>
                  </pic:spPr>
                </pic:pic>
              </a:graphicData>
            </a:graphic>
          </wp:inline>
        </w:drawing>
      </w:r>
    </w:p>
    <w:p w14:paraId="7F5A81D7" w14:textId="77777777" w:rsidR="006300C4" w:rsidRDefault="00000000">
      <w:pPr>
        <w:keepLines/>
        <w:spacing w:before="60" w:after="240"/>
        <w:jc w:val="center"/>
      </w:pPr>
      <w:r>
        <w:rPr>
          <w:rFonts w:ascii="Times New Roman" w:eastAsia="Calibri" w:hAnsi="Times New Roman" w:cs="Times New Roman"/>
          <w:b/>
          <w:bCs/>
          <w:sz w:val="20"/>
          <w:szCs w:val="20"/>
        </w:rPr>
        <w:t xml:space="preserve">Figure 3. </w:t>
      </w:r>
      <w:r>
        <w:rPr>
          <w:rFonts w:ascii="Times New Roman" w:eastAsia="Calibri" w:hAnsi="Times New Roman" w:cs="Times New Roman"/>
          <w:sz w:val="20"/>
          <w:szCs w:val="20"/>
        </w:rPr>
        <w:t>Hypothetical community trajectories under full and frozen interactions.</w:t>
      </w:r>
    </w:p>
    <w:p w14:paraId="713A111C" w14:textId="77777777" w:rsidR="006300C4" w:rsidRDefault="00000000">
      <w:pPr>
        <w:keepNext/>
        <w:spacing w:before="110"/>
        <w:jc w:val="center"/>
      </w:pPr>
      <w:r>
        <w:rPr>
          <w:noProof/>
        </w:rPr>
        <w:drawing>
          <wp:inline distT="0" distB="0" distL="0" distR="0" wp14:anchorId="0AAA1A53" wp14:editId="3AC096FA">
            <wp:extent cx="6188710" cy="2080621"/>
            <wp:effectExtent l="0" t="0" r="0" b="0"/>
            <wp:docPr id="2003" name="Picture 2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 name="Picture 2003"/>
                    <pic:cNvPicPr/>
                  </pic:nvPicPr>
                  <pic:blipFill>
                    <a:blip r:embed="rId9"/>
                    <a:stretch>
                      <a:fillRect/>
                    </a:stretch>
                  </pic:blipFill>
                  <pic:spPr>
                    <a:xfrm>
                      <a:off x="0" y="0"/>
                      <a:ext cx="6188710" cy="2080621"/>
                    </a:xfrm>
                    <a:prstGeom prst="rect">
                      <a:avLst/>
                    </a:prstGeom>
                  </pic:spPr>
                </pic:pic>
              </a:graphicData>
            </a:graphic>
          </wp:inline>
        </w:drawing>
      </w:r>
    </w:p>
    <w:p w14:paraId="5BAF4333" w14:textId="77777777" w:rsidR="006300C4" w:rsidRDefault="00000000">
      <w:pPr>
        <w:keepLines/>
        <w:spacing w:before="60" w:after="240"/>
        <w:jc w:val="center"/>
      </w:pPr>
      <w:r>
        <w:rPr>
          <w:rFonts w:ascii="Times New Roman" w:eastAsia="Calibri" w:hAnsi="Times New Roman" w:cs="Times New Roman"/>
          <w:b/>
          <w:bCs/>
          <w:sz w:val="20"/>
          <w:szCs w:val="20"/>
        </w:rPr>
        <w:t xml:space="preserve">Figure 4. </w:t>
      </w:r>
      <w:r>
        <w:rPr>
          <w:rFonts w:ascii="Times New Roman" w:eastAsia="Calibri" w:hAnsi="Times New Roman" w:cs="Times New Roman"/>
          <w:sz w:val="20"/>
          <w:szCs w:val="20"/>
        </w:rPr>
        <w:t>Hypothetical resilience metrics across scenarios.</w:t>
      </w:r>
    </w:p>
    <w:p w14:paraId="5659EC7A" w14:textId="0EC8010C" w:rsidR="005A3D11" w:rsidRDefault="005A3D11" w:rsidP="005A3D11">
      <w:pPr>
        <w:spacing w:line="360" w:lineRule="auto"/>
        <w:jc w:val="both"/>
        <w:rPr>
          <w:rFonts w:ascii="Times New Roman" w:eastAsia="Calibri" w:hAnsi="Times New Roman" w:cs="Times New Roman"/>
        </w:rPr>
      </w:pPr>
      <w:r>
        <w:rPr>
          <w:rFonts w:ascii="Times New Roman" w:eastAsia="Calibri" w:hAnsi="Times New Roman" w:cs="Times New Roman"/>
        </w:rPr>
        <w:t xml:space="preserve">The same procedure extends to Q1. Setting </w:t>
      </w:r>
      <w:r>
        <w:rPr>
          <w:rFonts w:ascii="Times New Roman" w:eastAsia="Calibri" w:hAnsi="Times New Roman" w:cs="Times New Roman"/>
          <w:i/>
          <w:iCs/>
        </w:rPr>
        <w:t>δ</w:t>
      </w:r>
      <w:r>
        <w:rPr>
          <w:rFonts w:ascii="Times New Roman" w:eastAsia="Calibri" w:hAnsi="Times New Roman" w:cs="Times New Roman"/>
          <w:vertAlign w:val="subscript"/>
        </w:rPr>
        <w:t>size</w:t>
      </w:r>
      <w:r>
        <w:rPr>
          <w:rFonts w:ascii="Times New Roman" w:eastAsia="Calibri" w:hAnsi="Times New Roman" w:cs="Times New Roman"/>
        </w:rPr>
        <w:t xml:space="preserve"> to zero removes the size dependence of climate responses at the individual level, whereas setting d1</w:t>
      </w:r>
      <w:r>
        <w:rPr>
          <w:rFonts w:ascii="Times New Roman" w:eastAsia="Calibri" w:hAnsi="Times New Roman" w:cs="Times New Roman"/>
          <w:vertAlign w:val="subscript"/>
        </w:rPr>
        <w:t>climate</w:t>
      </w:r>
      <w:r>
        <w:rPr>
          <w:rFonts w:ascii="Times New Roman" w:eastAsia="Calibri" w:hAnsi="Times New Roman" w:cs="Times New Roman"/>
        </w:rPr>
        <w:t xml:space="preserve"> and </w:t>
      </w:r>
      <w:r>
        <w:rPr>
          <w:rFonts w:ascii="Times New Roman" w:eastAsia="Calibri" w:hAnsi="Times New Roman" w:cs="Times New Roman"/>
          <w:i/>
          <w:iCs/>
        </w:rPr>
        <w:t>σ</w:t>
      </w:r>
      <w:r>
        <w:rPr>
          <w:rFonts w:ascii="Times New Roman" w:eastAsia="Calibri" w:hAnsi="Times New Roman" w:cs="Times New Roman"/>
          <w:vertAlign w:val="subscript"/>
        </w:rPr>
        <w:t>climate</w:t>
      </w:r>
      <w:r>
        <w:rPr>
          <w:rFonts w:ascii="Times New Roman" w:eastAsia="Calibri" w:hAnsi="Times New Roman" w:cs="Times New Roman"/>
        </w:rPr>
        <w:t xml:space="preserve"> to zero forces all population</w:t>
      </w:r>
      <w:r>
        <w:rPr>
          <w:rFonts w:ascii="Times New Roman" w:eastAsia="Calibri" w:hAnsi="Times New Roman" w:cs="Times New Roman" w:hint="eastAsia"/>
          <w:lang w:eastAsia="zh-TW"/>
        </w:rPr>
        <w:t>s</w:t>
      </w:r>
      <w:r>
        <w:rPr>
          <w:rFonts w:ascii="Times New Roman" w:eastAsia="Calibri" w:hAnsi="Times New Roman" w:cs="Times New Roman"/>
        </w:rPr>
        <w:t xml:space="preserve"> to share one climate response and thereby removes response diversity at the population level. Ranking the loss of community resilience across these scenarios, alongside the interaction scenarios above, will reveal which level governs the response of the whole community, and whether it is the same factor that dominates individual responses in Part A.</w:t>
      </w:r>
    </w:p>
    <w:p w14:paraId="29DCDB30" w14:textId="77777777" w:rsidR="005A3D11" w:rsidRDefault="005A3D11">
      <w:pPr>
        <w:rPr>
          <w:rFonts w:ascii="Times New Roman" w:eastAsia="Calibri" w:hAnsi="Times New Roman" w:cs="Times New Roman"/>
        </w:rPr>
      </w:pPr>
      <w:r>
        <w:rPr>
          <w:rFonts w:ascii="Times New Roman" w:eastAsia="Calibri" w:hAnsi="Times New Roman" w:cs="Times New Roman"/>
        </w:rPr>
        <w:br w:type="page"/>
      </w:r>
    </w:p>
    <w:p w14:paraId="5D27A83B" w14:textId="5828D54E" w:rsidR="008758AE" w:rsidRPr="00F27222" w:rsidRDefault="000324CD" w:rsidP="001462C6">
      <w:pPr>
        <w:pStyle w:val="Heading1"/>
        <w:spacing w:before="240" w:after="110" w:line="360" w:lineRule="auto"/>
        <w:rPr>
          <w:rFonts w:ascii="Times New Roman" w:hAnsi="Times New Roman" w:cs="Times New Roman"/>
          <w:lang w:eastAsia="zh-TW"/>
        </w:rPr>
      </w:pPr>
      <w:r>
        <w:rPr>
          <w:rFonts w:ascii="Times New Roman" w:eastAsia="Calibri" w:hAnsi="Times New Roman" w:cs="Times New Roman" w:hint="eastAsia"/>
          <w:b/>
          <w:bCs/>
          <w:color w:val="1F3864"/>
          <w:sz w:val="26"/>
          <w:szCs w:val="26"/>
          <w:lang w:eastAsia="zh-TW"/>
        </w:rPr>
        <w:lastRenderedPageBreak/>
        <w:t>4</w:t>
      </w:r>
      <w:r w:rsidR="006646E5">
        <w:rPr>
          <w:rFonts w:ascii="Times New Roman" w:eastAsia="Calibri" w:hAnsi="Times New Roman" w:cs="Times New Roman"/>
          <w:b/>
          <w:bCs/>
          <w:color w:val="1F3864"/>
          <w:sz w:val="26"/>
          <w:szCs w:val="26"/>
        </w:rPr>
        <w:t xml:space="preserve"> </w:t>
      </w:r>
      <w:r w:rsidR="006646E5">
        <w:rPr>
          <w:rFonts w:ascii="Times New Roman" w:eastAsia="Calibri" w:hAnsi="Times New Roman" w:cs="Times New Roman"/>
          <w:b/>
          <w:bCs/>
          <w:color w:val="1F3864"/>
          <w:sz w:val="26"/>
          <w:szCs w:val="26"/>
          <w:lang w:eastAsia="zh-TW"/>
        </w:rPr>
        <w:t>Reference</w:t>
      </w:r>
    </w:p>
    <w:p w14:paraId="4D6B8F8E" w14:textId="77777777" w:rsidR="000770FD" w:rsidRPr="000770FD" w:rsidRDefault="00C025CE" w:rsidP="00360916">
      <w:pPr>
        <w:pStyle w:val="Bibliography"/>
        <w:spacing w:line="360" w:lineRule="auto"/>
        <w:rPr>
          <w:rFonts w:ascii="Times New Roman" w:hAnsi="Times New Roman" w:cs="Times New Roman"/>
        </w:rPr>
      </w:pPr>
      <w:r>
        <w:rPr>
          <w:rFonts w:eastAsia="Calibri"/>
          <w:lang w:eastAsia="zh-TW"/>
        </w:rPr>
        <w:fldChar w:fldCharType="begin"/>
      </w:r>
      <w:r>
        <w:rPr>
          <w:rFonts w:eastAsia="Calibri"/>
          <w:lang w:eastAsia="zh-TW"/>
        </w:rPr>
        <w:instrText xml:space="preserve"> ADDIN ZOTERO_BIBL {"uncited":[],"omitted":[],"custom":[]} CSL_BIBLIOGRAPHY </w:instrText>
      </w:r>
      <w:r>
        <w:rPr>
          <w:rFonts w:eastAsia="Calibri"/>
          <w:lang w:eastAsia="zh-TW"/>
        </w:rPr>
        <w:fldChar w:fldCharType="separate"/>
      </w:r>
      <w:r w:rsidR="000770FD" w:rsidRPr="000770FD">
        <w:rPr>
          <w:rFonts w:ascii="Times New Roman" w:hAnsi="Times New Roman" w:cs="Times New Roman"/>
        </w:rPr>
        <w:t xml:space="preserve">Blonder, B., Kapas, R. E., Dalton, R. M., Graae, B. J., Heiling, J. M., &amp; Opedal, Ø. H. (2018). Microenvironment and functional‐trait context dependence predict alpine plant community dynamics. </w:t>
      </w:r>
      <w:r w:rsidR="000770FD" w:rsidRPr="000770FD">
        <w:rPr>
          <w:rFonts w:ascii="Times New Roman" w:hAnsi="Times New Roman" w:cs="Times New Roman"/>
          <w:i/>
          <w:iCs/>
        </w:rPr>
        <w:t>Journal of Ecology</w:t>
      </w:r>
      <w:r w:rsidR="000770FD" w:rsidRPr="000770FD">
        <w:rPr>
          <w:rFonts w:ascii="Times New Roman" w:hAnsi="Times New Roman" w:cs="Times New Roman"/>
        </w:rPr>
        <w:t xml:space="preserve">, </w:t>
      </w:r>
      <w:r w:rsidR="000770FD" w:rsidRPr="000770FD">
        <w:rPr>
          <w:rFonts w:ascii="Times New Roman" w:hAnsi="Times New Roman" w:cs="Times New Roman"/>
          <w:i/>
          <w:iCs/>
        </w:rPr>
        <w:t>106</w:t>
      </w:r>
      <w:r w:rsidR="000770FD" w:rsidRPr="000770FD">
        <w:rPr>
          <w:rFonts w:ascii="Times New Roman" w:hAnsi="Times New Roman" w:cs="Times New Roman"/>
        </w:rPr>
        <w:t>(4), 1323–1337.</w:t>
      </w:r>
    </w:p>
    <w:p w14:paraId="326F1AA5" w14:textId="77777777" w:rsidR="000770FD" w:rsidRPr="000770FD" w:rsidRDefault="000770FD" w:rsidP="00360916">
      <w:pPr>
        <w:pStyle w:val="Bibliography"/>
        <w:spacing w:line="360" w:lineRule="auto"/>
        <w:rPr>
          <w:rFonts w:ascii="Times New Roman" w:hAnsi="Times New Roman" w:cs="Times New Roman"/>
        </w:rPr>
      </w:pPr>
      <w:r w:rsidRPr="000770FD">
        <w:rPr>
          <w:rFonts w:ascii="Times New Roman" w:hAnsi="Times New Roman" w:cs="Times New Roman"/>
        </w:rPr>
        <w:t xml:space="preserve">Bolnick, D. I., Amarasekare, P., Araújo, M. S., Bürger, R., Levine, J. M., Novak, M., Rudolf, V. H., Schreiber, S. J., Urban, M. C., &amp; Vasseur, D. A. (2011). Why intraspecific trait variation matters in community ecology. </w:t>
      </w:r>
      <w:r w:rsidRPr="000770FD">
        <w:rPr>
          <w:rFonts w:ascii="Times New Roman" w:hAnsi="Times New Roman" w:cs="Times New Roman"/>
          <w:i/>
          <w:iCs/>
        </w:rPr>
        <w:t>Trends in Ecology &amp; Evolution</w:t>
      </w:r>
      <w:r w:rsidRPr="000770FD">
        <w:rPr>
          <w:rFonts w:ascii="Times New Roman" w:hAnsi="Times New Roman" w:cs="Times New Roman"/>
        </w:rPr>
        <w:t xml:space="preserve">, </w:t>
      </w:r>
      <w:r w:rsidRPr="000770FD">
        <w:rPr>
          <w:rFonts w:ascii="Times New Roman" w:hAnsi="Times New Roman" w:cs="Times New Roman"/>
          <w:i/>
          <w:iCs/>
        </w:rPr>
        <w:t>26</w:t>
      </w:r>
      <w:r w:rsidRPr="000770FD">
        <w:rPr>
          <w:rFonts w:ascii="Times New Roman" w:hAnsi="Times New Roman" w:cs="Times New Roman"/>
        </w:rPr>
        <w:t>(4), 183–192.</w:t>
      </w:r>
    </w:p>
    <w:p w14:paraId="6B5E0088" w14:textId="77777777" w:rsidR="000770FD" w:rsidRPr="000770FD" w:rsidRDefault="000770FD" w:rsidP="00360916">
      <w:pPr>
        <w:pStyle w:val="Bibliography"/>
        <w:spacing w:line="360" w:lineRule="auto"/>
        <w:rPr>
          <w:rFonts w:ascii="Times New Roman" w:hAnsi="Times New Roman" w:cs="Times New Roman"/>
        </w:rPr>
      </w:pPr>
      <w:r w:rsidRPr="000770FD">
        <w:rPr>
          <w:rFonts w:ascii="Times New Roman" w:hAnsi="Times New Roman" w:cs="Times New Roman"/>
        </w:rPr>
        <w:t xml:space="preserve">Calleja-Solanas, V., Bartomeus, I., &amp; Godoy, O. (2025). Time-varying interactions drive species coexistence via rainfall variation. </w:t>
      </w:r>
      <w:r w:rsidRPr="000770FD">
        <w:rPr>
          <w:rFonts w:ascii="Times New Roman" w:hAnsi="Times New Roman" w:cs="Times New Roman"/>
          <w:i/>
          <w:iCs/>
        </w:rPr>
        <w:t>bioRxiv</w:t>
      </w:r>
      <w:r w:rsidRPr="000770FD">
        <w:rPr>
          <w:rFonts w:ascii="Times New Roman" w:hAnsi="Times New Roman" w:cs="Times New Roman"/>
        </w:rPr>
        <w:t>, 2025.11. 28.690940.</w:t>
      </w:r>
    </w:p>
    <w:p w14:paraId="10476462" w14:textId="77777777" w:rsidR="000770FD" w:rsidRPr="000770FD" w:rsidRDefault="000770FD" w:rsidP="00360916">
      <w:pPr>
        <w:pStyle w:val="Bibliography"/>
        <w:spacing w:line="360" w:lineRule="auto"/>
        <w:rPr>
          <w:rFonts w:ascii="Times New Roman" w:hAnsi="Times New Roman" w:cs="Times New Roman"/>
        </w:rPr>
      </w:pPr>
      <w:r w:rsidRPr="000770FD">
        <w:rPr>
          <w:rFonts w:ascii="Times New Roman" w:hAnsi="Times New Roman" w:cs="Times New Roman"/>
        </w:rPr>
        <w:t xml:space="preserve">Cam, E., Link, W. A., Cooch, E. G., Monnat, J.-Y., &amp; Danchin, E. (2002). Individual covariation in life-history traits: Seeing the trees despite the forest. </w:t>
      </w:r>
      <w:r w:rsidRPr="000770FD">
        <w:rPr>
          <w:rFonts w:ascii="Times New Roman" w:hAnsi="Times New Roman" w:cs="Times New Roman"/>
          <w:i/>
          <w:iCs/>
        </w:rPr>
        <w:t>The American Naturalist</w:t>
      </w:r>
      <w:r w:rsidRPr="000770FD">
        <w:rPr>
          <w:rFonts w:ascii="Times New Roman" w:hAnsi="Times New Roman" w:cs="Times New Roman"/>
        </w:rPr>
        <w:t xml:space="preserve">, </w:t>
      </w:r>
      <w:r w:rsidRPr="000770FD">
        <w:rPr>
          <w:rFonts w:ascii="Times New Roman" w:hAnsi="Times New Roman" w:cs="Times New Roman"/>
          <w:i/>
          <w:iCs/>
        </w:rPr>
        <w:t>159</w:t>
      </w:r>
      <w:r w:rsidRPr="000770FD">
        <w:rPr>
          <w:rFonts w:ascii="Times New Roman" w:hAnsi="Times New Roman" w:cs="Times New Roman"/>
        </w:rPr>
        <w:t>(1), 96–105.</w:t>
      </w:r>
    </w:p>
    <w:p w14:paraId="1DE2CA90" w14:textId="77777777" w:rsidR="000770FD" w:rsidRPr="000770FD" w:rsidRDefault="000770FD" w:rsidP="00360916">
      <w:pPr>
        <w:pStyle w:val="Bibliography"/>
        <w:spacing w:line="360" w:lineRule="auto"/>
        <w:rPr>
          <w:rFonts w:ascii="Times New Roman" w:hAnsi="Times New Roman" w:cs="Times New Roman"/>
        </w:rPr>
      </w:pPr>
      <w:r w:rsidRPr="000770FD">
        <w:rPr>
          <w:rFonts w:ascii="Times New Roman" w:hAnsi="Times New Roman" w:cs="Times New Roman"/>
        </w:rPr>
        <w:t xml:space="preserve">Chu, C., Kleinhesselink, A. R., Havstad, K. M., McClaran, M. P., Peters, D. P., Vermeire, L. T., Wei, H., &amp; Adler, P. B. (2016). Direct effects dominate responses to climate perturbations in grassland plant communities. </w:t>
      </w:r>
      <w:r w:rsidRPr="000770FD">
        <w:rPr>
          <w:rFonts w:ascii="Times New Roman" w:hAnsi="Times New Roman" w:cs="Times New Roman"/>
          <w:i/>
          <w:iCs/>
        </w:rPr>
        <w:t>Nature Communications</w:t>
      </w:r>
      <w:r w:rsidRPr="000770FD">
        <w:rPr>
          <w:rFonts w:ascii="Times New Roman" w:hAnsi="Times New Roman" w:cs="Times New Roman"/>
        </w:rPr>
        <w:t xml:space="preserve">, </w:t>
      </w:r>
      <w:r w:rsidRPr="000770FD">
        <w:rPr>
          <w:rFonts w:ascii="Times New Roman" w:hAnsi="Times New Roman" w:cs="Times New Roman"/>
          <w:i/>
          <w:iCs/>
        </w:rPr>
        <w:t>7</w:t>
      </w:r>
      <w:r w:rsidRPr="000770FD">
        <w:rPr>
          <w:rFonts w:ascii="Times New Roman" w:hAnsi="Times New Roman" w:cs="Times New Roman"/>
        </w:rPr>
        <w:t>(1), 11766.</w:t>
      </w:r>
    </w:p>
    <w:p w14:paraId="2081AA51" w14:textId="77777777" w:rsidR="000770FD" w:rsidRPr="000770FD" w:rsidRDefault="000770FD" w:rsidP="00360916">
      <w:pPr>
        <w:pStyle w:val="Bibliography"/>
        <w:spacing w:line="360" w:lineRule="auto"/>
        <w:rPr>
          <w:rFonts w:ascii="Times New Roman" w:hAnsi="Times New Roman" w:cs="Times New Roman"/>
        </w:rPr>
      </w:pPr>
      <w:r w:rsidRPr="000770FD">
        <w:rPr>
          <w:rFonts w:ascii="Times New Roman" w:hAnsi="Times New Roman" w:cs="Times New Roman"/>
        </w:rPr>
        <w:t xml:space="preserve">Figueiredo, L., Scherer, C., Kramer‐Schadt, S., Cabral, J. S., Kéfi, S., Van den Brink, P. J., &amp; Radchuk, V. (2026). estar: An R package to measure ecological stability. </w:t>
      </w:r>
      <w:r w:rsidRPr="000770FD">
        <w:rPr>
          <w:rFonts w:ascii="Times New Roman" w:hAnsi="Times New Roman" w:cs="Times New Roman"/>
          <w:i/>
          <w:iCs/>
        </w:rPr>
        <w:t>Methods in Ecology and Evolution</w:t>
      </w:r>
      <w:r w:rsidRPr="000770FD">
        <w:rPr>
          <w:rFonts w:ascii="Times New Roman" w:hAnsi="Times New Roman" w:cs="Times New Roman"/>
        </w:rPr>
        <w:t xml:space="preserve">, </w:t>
      </w:r>
      <w:r w:rsidRPr="000770FD">
        <w:rPr>
          <w:rFonts w:ascii="Times New Roman" w:hAnsi="Times New Roman" w:cs="Times New Roman"/>
          <w:i/>
          <w:iCs/>
        </w:rPr>
        <w:t>17</w:t>
      </w:r>
      <w:r w:rsidRPr="000770FD">
        <w:rPr>
          <w:rFonts w:ascii="Times New Roman" w:hAnsi="Times New Roman" w:cs="Times New Roman"/>
        </w:rPr>
        <w:t>(4), 1090–1100.</w:t>
      </w:r>
    </w:p>
    <w:p w14:paraId="296F9B27" w14:textId="77777777" w:rsidR="000770FD" w:rsidRPr="000770FD" w:rsidRDefault="000770FD" w:rsidP="00360916">
      <w:pPr>
        <w:pStyle w:val="Bibliography"/>
        <w:spacing w:line="360" w:lineRule="auto"/>
        <w:rPr>
          <w:rFonts w:ascii="Times New Roman" w:hAnsi="Times New Roman" w:cs="Times New Roman"/>
        </w:rPr>
      </w:pPr>
      <w:r w:rsidRPr="000770FD">
        <w:rPr>
          <w:rFonts w:ascii="Times New Roman" w:hAnsi="Times New Roman" w:cs="Times New Roman"/>
        </w:rPr>
        <w:t xml:space="preserve">Hilde, C. H., Gamelon, M., Sæther, B.-E., Gaillard, J.-M., Yoccoz, N. G., &amp; Pélabon, C. (2020). The demographic buffering hypothesis: Evidence and challenges. </w:t>
      </w:r>
      <w:r w:rsidRPr="000770FD">
        <w:rPr>
          <w:rFonts w:ascii="Times New Roman" w:hAnsi="Times New Roman" w:cs="Times New Roman"/>
          <w:i/>
          <w:iCs/>
        </w:rPr>
        <w:t>Trends in Ecology &amp; Evolution</w:t>
      </w:r>
      <w:r w:rsidRPr="000770FD">
        <w:rPr>
          <w:rFonts w:ascii="Times New Roman" w:hAnsi="Times New Roman" w:cs="Times New Roman"/>
        </w:rPr>
        <w:t xml:space="preserve">, </w:t>
      </w:r>
      <w:r w:rsidRPr="000770FD">
        <w:rPr>
          <w:rFonts w:ascii="Times New Roman" w:hAnsi="Times New Roman" w:cs="Times New Roman"/>
          <w:i/>
          <w:iCs/>
        </w:rPr>
        <w:t>35</w:t>
      </w:r>
      <w:r w:rsidRPr="000770FD">
        <w:rPr>
          <w:rFonts w:ascii="Times New Roman" w:hAnsi="Times New Roman" w:cs="Times New Roman"/>
        </w:rPr>
        <w:t>(6), 523–538.</w:t>
      </w:r>
    </w:p>
    <w:p w14:paraId="399FE3B6" w14:textId="77777777" w:rsidR="000770FD" w:rsidRPr="000770FD" w:rsidRDefault="000770FD" w:rsidP="00360916">
      <w:pPr>
        <w:pStyle w:val="Bibliography"/>
        <w:spacing w:line="360" w:lineRule="auto"/>
        <w:rPr>
          <w:rFonts w:ascii="Times New Roman" w:hAnsi="Times New Roman" w:cs="Times New Roman"/>
        </w:rPr>
      </w:pPr>
      <w:r w:rsidRPr="000770FD">
        <w:rPr>
          <w:rFonts w:ascii="Times New Roman" w:hAnsi="Times New Roman" w:cs="Times New Roman"/>
        </w:rPr>
        <w:t xml:space="preserve">Lin, H., Hernandez, C., Jaggi, H., ZUO, W., Tuljapurkar, S. D., &amp; Salguero-Gomez, R. (2026). Life history traits predict the contribution of transient dynamics to variation in population growth. </w:t>
      </w:r>
      <w:r w:rsidRPr="000770FD">
        <w:rPr>
          <w:rFonts w:ascii="Times New Roman" w:hAnsi="Times New Roman" w:cs="Times New Roman"/>
          <w:i/>
          <w:iCs/>
        </w:rPr>
        <w:t>bioRxiv</w:t>
      </w:r>
      <w:r w:rsidRPr="000770FD">
        <w:rPr>
          <w:rFonts w:ascii="Times New Roman" w:hAnsi="Times New Roman" w:cs="Times New Roman"/>
        </w:rPr>
        <w:t>, 2026.08. 28.747639.</w:t>
      </w:r>
    </w:p>
    <w:p w14:paraId="45EF8DF7" w14:textId="77777777" w:rsidR="000770FD" w:rsidRPr="000770FD" w:rsidRDefault="000770FD" w:rsidP="00360916">
      <w:pPr>
        <w:pStyle w:val="Bibliography"/>
        <w:spacing w:line="360" w:lineRule="auto"/>
        <w:rPr>
          <w:rFonts w:ascii="Times New Roman" w:hAnsi="Times New Roman" w:cs="Times New Roman"/>
        </w:rPr>
      </w:pPr>
      <w:r w:rsidRPr="000770FD">
        <w:rPr>
          <w:rFonts w:ascii="Times New Roman" w:hAnsi="Times New Roman" w:cs="Times New Roman"/>
        </w:rPr>
        <w:t xml:space="preserve">Lin, H., Moorthy, S. M. K., Hector, A., &amp; Salguero-Gómez, R. (2026). Still Lost in Definitions: How ‘Resilience’ Is Used in Ecology. </w:t>
      </w:r>
      <w:r w:rsidRPr="000770FD">
        <w:rPr>
          <w:rFonts w:ascii="Times New Roman" w:hAnsi="Times New Roman" w:cs="Times New Roman"/>
          <w:i/>
          <w:iCs/>
        </w:rPr>
        <w:t>bioRxiv</w:t>
      </w:r>
      <w:r w:rsidRPr="000770FD">
        <w:rPr>
          <w:rFonts w:ascii="Times New Roman" w:hAnsi="Times New Roman" w:cs="Times New Roman"/>
        </w:rPr>
        <w:t>, 2026.06. 03.729936.</w:t>
      </w:r>
    </w:p>
    <w:p w14:paraId="12261633" w14:textId="77777777" w:rsidR="000770FD" w:rsidRPr="000770FD" w:rsidRDefault="000770FD" w:rsidP="00360916">
      <w:pPr>
        <w:pStyle w:val="Bibliography"/>
        <w:spacing w:line="360" w:lineRule="auto"/>
        <w:rPr>
          <w:rFonts w:ascii="Times New Roman" w:hAnsi="Times New Roman" w:cs="Times New Roman"/>
        </w:rPr>
      </w:pPr>
      <w:r w:rsidRPr="000770FD">
        <w:rPr>
          <w:rFonts w:ascii="Times New Roman" w:hAnsi="Times New Roman" w:cs="Times New Roman"/>
        </w:rPr>
        <w:t xml:space="preserve">Loreau, M., &amp; De Mazancourt, C. (2013). Biodiversity and ecosystem stability: A synthesis of underlying mechanisms. </w:t>
      </w:r>
      <w:r w:rsidRPr="000770FD">
        <w:rPr>
          <w:rFonts w:ascii="Times New Roman" w:hAnsi="Times New Roman" w:cs="Times New Roman"/>
          <w:i/>
          <w:iCs/>
        </w:rPr>
        <w:t>Ecology Letters</w:t>
      </w:r>
      <w:r w:rsidRPr="000770FD">
        <w:rPr>
          <w:rFonts w:ascii="Times New Roman" w:hAnsi="Times New Roman" w:cs="Times New Roman"/>
        </w:rPr>
        <w:t xml:space="preserve">, </w:t>
      </w:r>
      <w:r w:rsidRPr="000770FD">
        <w:rPr>
          <w:rFonts w:ascii="Times New Roman" w:hAnsi="Times New Roman" w:cs="Times New Roman"/>
          <w:i/>
          <w:iCs/>
        </w:rPr>
        <w:t>16</w:t>
      </w:r>
      <w:r w:rsidRPr="000770FD">
        <w:rPr>
          <w:rFonts w:ascii="Times New Roman" w:hAnsi="Times New Roman" w:cs="Times New Roman"/>
        </w:rPr>
        <w:t>, 106–115.</w:t>
      </w:r>
    </w:p>
    <w:p w14:paraId="5A2E515B" w14:textId="77777777" w:rsidR="000770FD" w:rsidRPr="000770FD" w:rsidRDefault="000770FD" w:rsidP="00360916">
      <w:pPr>
        <w:pStyle w:val="Bibliography"/>
        <w:spacing w:line="360" w:lineRule="auto"/>
        <w:rPr>
          <w:rFonts w:ascii="Times New Roman" w:hAnsi="Times New Roman" w:cs="Times New Roman"/>
        </w:rPr>
      </w:pPr>
      <w:r w:rsidRPr="000770FD">
        <w:rPr>
          <w:rFonts w:ascii="Times New Roman" w:hAnsi="Times New Roman" w:cs="Times New Roman"/>
        </w:rPr>
        <w:t xml:space="preserve">Ray, C. A., Kapas, R. E., Opedal, Ø. H., &amp; Blonder, B. W. (2023). Linking microenvironment modification to species interactions and demography in an alpine plant community. </w:t>
      </w:r>
      <w:r w:rsidRPr="000770FD">
        <w:rPr>
          <w:rFonts w:ascii="Times New Roman" w:hAnsi="Times New Roman" w:cs="Times New Roman"/>
          <w:i/>
          <w:iCs/>
        </w:rPr>
        <w:t>Oikos</w:t>
      </w:r>
      <w:r w:rsidRPr="000770FD">
        <w:rPr>
          <w:rFonts w:ascii="Times New Roman" w:hAnsi="Times New Roman" w:cs="Times New Roman"/>
        </w:rPr>
        <w:t xml:space="preserve">, </w:t>
      </w:r>
      <w:r w:rsidRPr="000770FD">
        <w:rPr>
          <w:rFonts w:ascii="Times New Roman" w:hAnsi="Times New Roman" w:cs="Times New Roman"/>
          <w:i/>
          <w:iCs/>
        </w:rPr>
        <w:t>2023</w:t>
      </w:r>
      <w:r w:rsidRPr="000770FD">
        <w:rPr>
          <w:rFonts w:ascii="Times New Roman" w:hAnsi="Times New Roman" w:cs="Times New Roman"/>
        </w:rPr>
        <w:t>(3), e09235.</w:t>
      </w:r>
    </w:p>
    <w:p w14:paraId="3DF3FE0E" w14:textId="77777777" w:rsidR="000770FD" w:rsidRPr="000770FD" w:rsidRDefault="000770FD" w:rsidP="00360916">
      <w:pPr>
        <w:pStyle w:val="Bibliography"/>
        <w:spacing w:line="360" w:lineRule="auto"/>
        <w:rPr>
          <w:rFonts w:ascii="Times New Roman" w:hAnsi="Times New Roman" w:cs="Times New Roman"/>
        </w:rPr>
      </w:pPr>
      <w:r w:rsidRPr="000770FD">
        <w:rPr>
          <w:rFonts w:ascii="Times New Roman" w:hAnsi="Times New Roman" w:cs="Times New Roman"/>
        </w:rPr>
        <w:t xml:space="preserve">Segrestin, J., &amp; Lepš, J. (2022). Towards a better ecological understanding of metacommunity stability: A multiscale framework to disentangle population variability and synchrony effects. </w:t>
      </w:r>
      <w:r w:rsidRPr="000770FD">
        <w:rPr>
          <w:rFonts w:ascii="Times New Roman" w:hAnsi="Times New Roman" w:cs="Times New Roman"/>
          <w:i/>
          <w:iCs/>
        </w:rPr>
        <w:t>Journal of Ecology</w:t>
      </w:r>
      <w:r w:rsidRPr="000770FD">
        <w:rPr>
          <w:rFonts w:ascii="Times New Roman" w:hAnsi="Times New Roman" w:cs="Times New Roman"/>
        </w:rPr>
        <w:t xml:space="preserve">, </w:t>
      </w:r>
      <w:r w:rsidRPr="000770FD">
        <w:rPr>
          <w:rFonts w:ascii="Times New Roman" w:hAnsi="Times New Roman" w:cs="Times New Roman"/>
          <w:i/>
          <w:iCs/>
        </w:rPr>
        <w:t>110</w:t>
      </w:r>
      <w:r w:rsidRPr="000770FD">
        <w:rPr>
          <w:rFonts w:ascii="Times New Roman" w:hAnsi="Times New Roman" w:cs="Times New Roman"/>
        </w:rPr>
        <w:t>(7), 1632–1645.</w:t>
      </w:r>
    </w:p>
    <w:p w14:paraId="54662B70" w14:textId="77777777" w:rsidR="000770FD" w:rsidRPr="000770FD" w:rsidRDefault="000770FD" w:rsidP="00360916">
      <w:pPr>
        <w:pStyle w:val="Bibliography"/>
        <w:spacing w:line="360" w:lineRule="auto"/>
        <w:rPr>
          <w:rFonts w:ascii="Times New Roman" w:hAnsi="Times New Roman" w:cs="Times New Roman"/>
        </w:rPr>
      </w:pPr>
      <w:r w:rsidRPr="000770FD">
        <w:rPr>
          <w:rFonts w:ascii="Times New Roman" w:hAnsi="Times New Roman" w:cs="Times New Roman"/>
        </w:rPr>
        <w:t xml:space="preserve">Zhao, L., Wang, S., Shen, R., Gong, Y., Wang, C., Hong, P., &amp; Reuman, D. C. (2022). Biodiversity stabilizes plant communities through statistical-averaging effects rather than compensatory dynamics. </w:t>
      </w:r>
      <w:r w:rsidRPr="000770FD">
        <w:rPr>
          <w:rFonts w:ascii="Times New Roman" w:hAnsi="Times New Roman" w:cs="Times New Roman"/>
          <w:i/>
          <w:iCs/>
        </w:rPr>
        <w:t>Nature Communications</w:t>
      </w:r>
      <w:r w:rsidRPr="000770FD">
        <w:rPr>
          <w:rFonts w:ascii="Times New Roman" w:hAnsi="Times New Roman" w:cs="Times New Roman"/>
        </w:rPr>
        <w:t xml:space="preserve">, </w:t>
      </w:r>
      <w:r w:rsidRPr="000770FD">
        <w:rPr>
          <w:rFonts w:ascii="Times New Roman" w:hAnsi="Times New Roman" w:cs="Times New Roman"/>
          <w:i/>
          <w:iCs/>
        </w:rPr>
        <w:t>13</w:t>
      </w:r>
      <w:r w:rsidRPr="000770FD">
        <w:rPr>
          <w:rFonts w:ascii="Times New Roman" w:hAnsi="Times New Roman" w:cs="Times New Roman"/>
        </w:rPr>
        <w:t>(1), 7804.</w:t>
      </w:r>
    </w:p>
    <w:p w14:paraId="7F4127EF" w14:textId="6E9D450C" w:rsidR="00925561" w:rsidRPr="00F27222" w:rsidRDefault="00C025CE" w:rsidP="00360916">
      <w:pPr>
        <w:pStyle w:val="Bibliography"/>
        <w:spacing w:line="360" w:lineRule="auto"/>
        <w:rPr>
          <w:rFonts w:ascii="Times New Roman" w:eastAsia="Calibri" w:hAnsi="Times New Roman" w:cs="Times New Roman"/>
          <w:lang w:eastAsia="zh-TW"/>
        </w:rPr>
      </w:pPr>
      <w:r>
        <w:rPr>
          <w:rFonts w:ascii="Times New Roman" w:eastAsia="Calibri" w:hAnsi="Times New Roman" w:cs="Times New Roman"/>
          <w:lang w:eastAsia="zh-TW"/>
        </w:rPr>
        <w:fldChar w:fldCharType="end"/>
      </w:r>
    </w:p>
    <w:p w14:paraId="01A60579" w14:textId="77777777" w:rsidR="008758AE" w:rsidRPr="00F27222" w:rsidRDefault="008758AE" w:rsidP="001462C6">
      <w:pPr>
        <w:spacing w:after="110" w:line="360" w:lineRule="auto"/>
        <w:jc w:val="both"/>
        <w:rPr>
          <w:rFonts w:ascii="Times New Roman" w:eastAsia="Calibri" w:hAnsi="Times New Roman" w:cs="Times New Roman"/>
          <w:lang w:eastAsia="zh-TW"/>
        </w:rPr>
      </w:pPr>
    </w:p>
    <w:p w14:paraId="592C99FE" w14:textId="77777777" w:rsidR="008758AE" w:rsidRPr="00F27222" w:rsidRDefault="008758AE" w:rsidP="001462C6">
      <w:pPr>
        <w:spacing w:after="110" w:line="360" w:lineRule="auto"/>
        <w:jc w:val="both"/>
        <w:rPr>
          <w:rFonts w:ascii="Times New Roman" w:hAnsi="Times New Roman" w:cs="Times New Roman"/>
          <w:lang w:eastAsia="zh-TW"/>
        </w:rPr>
      </w:pPr>
    </w:p>
    <w:sectPr w:rsidR="008758AE" w:rsidRPr="00F27222">
      <w:pgSz w:w="11906" w:h="16838"/>
      <w:pgMar w:top="1000" w:right="1080" w:bottom="10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4E905A8"/>
    <w:multiLevelType w:val="hybridMultilevel"/>
    <w:tmpl w:val="52E23A70"/>
    <w:lvl w:ilvl="0" w:tplc="4612A83A">
      <w:start w:val="1"/>
      <w:numFmt w:val="bullet"/>
      <w:lvlText w:val="●"/>
      <w:lvlJc w:val="left"/>
      <w:pPr>
        <w:ind w:left="720" w:hanging="360"/>
      </w:pPr>
    </w:lvl>
    <w:lvl w:ilvl="1" w:tplc="317CE8D8">
      <w:start w:val="1"/>
      <w:numFmt w:val="bullet"/>
      <w:lvlText w:val="○"/>
      <w:lvlJc w:val="left"/>
      <w:pPr>
        <w:ind w:left="1440" w:hanging="360"/>
      </w:pPr>
    </w:lvl>
    <w:lvl w:ilvl="2" w:tplc="5D02A56C">
      <w:start w:val="1"/>
      <w:numFmt w:val="bullet"/>
      <w:lvlText w:val="■"/>
      <w:lvlJc w:val="left"/>
      <w:pPr>
        <w:ind w:left="2160" w:hanging="360"/>
      </w:pPr>
    </w:lvl>
    <w:lvl w:ilvl="3" w:tplc="AB706948">
      <w:start w:val="1"/>
      <w:numFmt w:val="bullet"/>
      <w:lvlText w:val="●"/>
      <w:lvlJc w:val="left"/>
      <w:pPr>
        <w:ind w:left="2880" w:hanging="360"/>
      </w:pPr>
    </w:lvl>
    <w:lvl w:ilvl="4" w:tplc="86E20540">
      <w:start w:val="1"/>
      <w:numFmt w:val="bullet"/>
      <w:lvlText w:val="○"/>
      <w:lvlJc w:val="left"/>
      <w:pPr>
        <w:ind w:left="3600" w:hanging="360"/>
      </w:pPr>
    </w:lvl>
    <w:lvl w:ilvl="5" w:tplc="C04468A2">
      <w:start w:val="1"/>
      <w:numFmt w:val="bullet"/>
      <w:lvlText w:val="■"/>
      <w:lvlJc w:val="left"/>
      <w:pPr>
        <w:ind w:left="4320" w:hanging="360"/>
      </w:pPr>
    </w:lvl>
    <w:lvl w:ilvl="6" w:tplc="7B861F44">
      <w:start w:val="1"/>
      <w:numFmt w:val="bullet"/>
      <w:lvlText w:val="●"/>
      <w:lvlJc w:val="left"/>
      <w:pPr>
        <w:ind w:left="5040" w:hanging="360"/>
      </w:pPr>
    </w:lvl>
    <w:lvl w:ilvl="7" w:tplc="B88EA892">
      <w:start w:val="1"/>
      <w:numFmt w:val="bullet"/>
      <w:lvlText w:val="●"/>
      <w:lvlJc w:val="left"/>
      <w:pPr>
        <w:ind w:left="5760" w:hanging="360"/>
      </w:pPr>
    </w:lvl>
    <w:lvl w:ilvl="8" w:tplc="845663CE">
      <w:start w:val="1"/>
      <w:numFmt w:val="bullet"/>
      <w:lvlText w:val="●"/>
      <w:lvlJc w:val="left"/>
      <w:pPr>
        <w:ind w:left="6480" w:hanging="360"/>
      </w:pPr>
    </w:lvl>
  </w:abstractNum>
  <w:num w:numId="1" w16cid:durableId="47592284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7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5561"/>
    <w:rsid w:val="00003E41"/>
    <w:rsid w:val="000324CD"/>
    <w:rsid w:val="000366DB"/>
    <w:rsid w:val="00036F9D"/>
    <w:rsid w:val="00042803"/>
    <w:rsid w:val="00056BAE"/>
    <w:rsid w:val="000770FD"/>
    <w:rsid w:val="000871F4"/>
    <w:rsid w:val="0009253F"/>
    <w:rsid w:val="000D11A9"/>
    <w:rsid w:val="001003FB"/>
    <w:rsid w:val="00106680"/>
    <w:rsid w:val="001462C6"/>
    <w:rsid w:val="001742B7"/>
    <w:rsid w:val="00182BF4"/>
    <w:rsid w:val="001B4F2C"/>
    <w:rsid w:val="001C1D0E"/>
    <w:rsid w:val="001C6311"/>
    <w:rsid w:val="001E0795"/>
    <w:rsid w:val="001E5456"/>
    <w:rsid w:val="0020560B"/>
    <w:rsid w:val="00207778"/>
    <w:rsid w:val="002200E3"/>
    <w:rsid w:val="00221661"/>
    <w:rsid w:val="002434FC"/>
    <w:rsid w:val="002542ED"/>
    <w:rsid w:val="00257EB4"/>
    <w:rsid w:val="002A35A2"/>
    <w:rsid w:val="002B2FD0"/>
    <w:rsid w:val="002D2850"/>
    <w:rsid w:val="002D6A18"/>
    <w:rsid w:val="002F762D"/>
    <w:rsid w:val="002F79D1"/>
    <w:rsid w:val="00360916"/>
    <w:rsid w:val="00374082"/>
    <w:rsid w:val="003C7C0B"/>
    <w:rsid w:val="003D1375"/>
    <w:rsid w:val="003E711E"/>
    <w:rsid w:val="0040138E"/>
    <w:rsid w:val="004028DC"/>
    <w:rsid w:val="00487D89"/>
    <w:rsid w:val="004A65E8"/>
    <w:rsid w:val="00541B1C"/>
    <w:rsid w:val="00547926"/>
    <w:rsid w:val="005A3D11"/>
    <w:rsid w:val="005C60B4"/>
    <w:rsid w:val="005D5AEC"/>
    <w:rsid w:val="00613F22"/>
    <w:rsid w:val="0061687A"/>
    <w:rsid w:val="006300C4"/>
    <w:rsid w:val="006646E5"/>
    <w:rsid w:val="00690F75"/>
    <w:rsid w:val="006A4316"/>
    <w:rsid w:val="006C1C56"/>
    <w:rsid w:val="006E4E4F"/>
    <w:rsid w:val="007124C2"/>
    <w:rsid w:val="0071657F"/>
    <w:rsid w:val="00732FA3"/>
    <w:rsid w:val="0074258F"/>
    <w:rsid w:val="00792D79"/>
    <w:rsid w:val="00796CF7"/>
    <w:rsid w:val="007A0603"/>
    <w:rsid w:val="007C3AE6"/>
    <w:rsid w:val="007C6EC2"/>
    <w:rsid w:val="007F7298"/>
    <w:rsid w:val="00810E23"/>
    <w:rsid w:val="00814646"/>
    <w:rsid w:val="00816EF7"/>
    <w:rsid w:val="00817046"/>
    <w:rsid w:val="00871C09"/>
    <w:rsid w:val="008758AE"/>
    <w:rsid w:val="008852EB"/>
    <w:rsid w:val="008A6BD9"/>
    <w:rsid w:val="008C7AC7"/>
    <w:rsid w:val="008E70D3"/>
    <w:rsid w:val="00922A16"/>
    <w:rsid w:val="00925561"/>
    <w:rsid w:val="00952DFA"/>
    <w:rsid w:val="009B1577"/>
    <w:rsid w:val="009C4741"/>
    <w:rsid w:val="00A030B0"/>
    <w:rsid w:val="00A1782C"/>
    <w:rsid w:val="00A50601"/>
    <w:rsid w:val="00A773C1"/>
    <w:rsid w:val="00A848F5"/>
    <w:rsid w:val="00AA5376"/>
    <w:rsid w:val="00AD409B"/>
    <w:rsid w:val="00AE1679"/>
    <w:rsid w:val="00B028EC"/>
    <w:rsid w:val="00B155E2"/>
    <w:rsid w:val="00B30196"/>
    <w:rsid w:val="00B7629A"/>
    <w:rsid w:val="00C025CE"/>
    <w:rsid w:val="00C135DB"/>
    <w:rsid w:val="00C20C0E"/>
    <w:rsid w:val="00C20EF2"/>
    <w:rsid w:val="00C51EC5"/>
    <w:rsid w:val="00C846C1"/>
    <w:rsid w:val="00CB11E4"/>
    <w:rsid w:val="00CB4A39"/>
    <w:rsid w:val="00CB75E1"/>
    <w:rsid w:val="00CF1EA8"/>
    <w:rsid w:val="00D40B66"/>
    <w:rsid w:val="00D739A9"/>
    <w:rsid w:val="00D86EFA"/>
    <w:rsid w:val="00DA5F0B"/>
    <w:rsid w:val="00E0009B"/>
    <w:rsid w:val="00E0090F"/>
    <w:rsid w:val="00E23992"/>
    <w:rsid w:val="00E37037"/>
    <w:rsid w:val="00E6539C"/>
    <w:rsid w:val="00E671A9"/>
    <w:rsid w:val="00EA7BE1"/>
    <w:rsid w:val="00F2292E"/>
    <w:rsid w:val="00F27222"/>
    <w:rsid w:val="00F323CD"/>
    <w:rsid w:val="00F62471"/>
    <w:rsid w:val="00F71860"/>
    <w:rsid w:val="00F76B4E"/>
    <w:rsid w:val="00F97AFE"/>
    <w:rsid w:val="00FE11AF"/>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EF7C0"/>
  <w15:docId w15:val="{81D82D02-A3B8-AD49-91BD-9D8E8E3C6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PMingLiU" w:hAnsi="Calibri" w:cs="Calibri"/>
        <w:sz w:val="21"/>
        <w:szCs w:val="21"/>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090F"/>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Revision">
    <w:name w:val="Revision"/>
    <w:hidden/>
    <w:uiPriority w:val="99"/>
    <w:semiHidden/>
    <w:rsid w:val="008A6BD9"/>
  </w:style>
  <w:style w:type="character" w:styleId="CommentReference">
    <w:name w:val="annotation reference"/>
    <w:basedOn w:val="DefaultParagraphFont"/>
    <w:uiPriority w:val="99"/>
    <w:semiHidden/>
    <w:unhideWhenUsed/>
    <w:rsid w:val="008A6BD9"/>
    <w:rPr>
      <w:sz w:val="16"/>
      <w:szCs w:val="16"/>
    </w:rPr>
  </w:style>
  <w:style w:type="paragraph" w:styleId="CommentText">
    <w:name w:val="annotation text"/>
    <w:basedOn w:val="Normal"/>
    <w:link w:val="CommentTextChar"/>
    <w:uiPriority w:val="99"/>
    <w:semiHidden/>
    <w:unhideWhenUsed/>
    <w:rsid w:val="008A6BD9"/>
    <w:rPr>
      <w:sz w:val="20"/>
      <w:szCs w:val="20"/>
    </w:rPr>
  </w:style>
  <w:style w:type="character" w:customStyle="1" w:styleId="CommentTextChar">
    <w:name w:val="Comment Text Char"/>
    <w:basedOn w:val="DefaultParagraphFont"/>
    <w:link w:val="CommentText"/>
    <w:uiPriority w:val="99"/>
    <w:semiHidden/>
    <w:rsid w:val="008A6BD9"/>
    <w:rPr>
      <w:sz w:val="20"/>
      <w:szCs w:val="20"/>
    </w:rPr>
  </w:style>
  <w:style w:type="paragraph" w:styleId="CommentSubject">
    <w:name w:val="annotation subject"/>
    <w:basedOn w:val="CommentText"/>
    <w:next w:val="CommentText"/>
    <w:link w:val="CommentSubjectChar"/>
    <w:uiPriority w:val="99"/>
    <w:semiHidden/>
    <w:unhideWhenUsed/>
    <w:rsid w:val="008A6BD9"/>
    <w:rPr>
      <w:b/>
      <w:bCs/>
    </w:rPr>
  </w:style>
  <w:style w:type="character" w:customStyle="1" w:styleId="CommentSubjectChar">
    <w:name w:val="Comment Subject Char"/>
    <w:basedOn w:val="CommentTextChar"/>
    <w:link w:val="CommentSubject"/>
    <w:uiPriority w:val="99"/>
    <w:semiHidden/>
    <w:rsid w:val="008A6BD9"/>
    <w:rPr>
      <w:b/>
      <w:bCs/>
      <w:sz w:val="20"/>
      <w:szCs w:val="20"/>
    </w:rPr>
  </w:style>
  <w:style w:type="paragraph" w:styleId="Bibliography">
    <w:name w:val="Bibliography"/>
    <w:basedOn w:val="Normal"/>
    <w:next w:val="Normal"/>
    <w:uiPriority w:val="37"/>
    <w:unhideWhenUsed/>
    <w:rsid w:val="00C025CE"/>
    <w:pPr>
      <w:tabs>
        <w:tab w:val="left" w:pos="260"/>
        <w:tab w:val="left" w:pos="380"/>
      </w:tabs>
      <w:spacing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129983-1116-C346-94A3-24FBC1130B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5</Pages>
  <Words>4261</Words>
  <Characters>24293</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Integrating resilience from individual to community</vt:lpstr>
    </vt:vector>
  </TitlesOfParts>
  <Company/>
  <LinksUpToDate>false</LinksUpToDate>
  <CharactersWithSpaces>28498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Integrating resilience from individual to community</dc:title>
  <dc:creator>Hung-wei Lin</dc:creator>
  <cp:lastModifiedBy>Hung-Wei Lin</cp:lastModifiedBy>
  <cp:revision>74</cp:revision>
  <dcterms:created xsi:type="dcterms:W3CDTF">2026-09-22T11:54:00Z</dcterms:created>
  <dcterms:modified xsi:type="dcterms:W3CDTF">2026-10-13T20:45:00Z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zotero-version="10.0.4"&gt;&lt;session id="oRVGsKyv"/&gt;&lt;style id="http://www.zotero.org/styles/apa" locale="en-GB"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