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Supplementary Methods: Spatial and temporal thresholds for tracking genets</w:t>
      </w:r>
    </w:p>
    <w:p>
      <w:r>
        <w:rPr>
          <w:b/>
        </w:rPr>
        <w:t xml:space="preserve">Point records. </w:t>
      </w:r>
      <w:r>
        <w:t>To give every mapped plant a size, we represented each plant mapped as a point as a circle of 0.25 cm², the area assigned to single grass tillers in the data release (Zachmann et al., 2010) and used in previous analyses of these quadrats (Chu &amp; Adler, 2015). We removed shrub stem points before tracking, since each duplicates a canopy polygon of the same shrub (Zachmann et al., 2010).</w:t>
      </w:r>
    </w:p>
    <w:p>
      <w:r>
        <w:rPr>
          <w:b/>
        </w:rPr>
        <w:t xml:space="preserve">Linking plants between censuses. </w:t>
      </w:r>
      <w:r>
        <w:t>To assign individual identities through time, we followed the overlap rule of Lauenroth &amp; Adler (2008), implemented in plantTracker (Stears et al., 2022). Each plant mapped in year t receives a 5-cm buffer; a plant of the same species in year t + 1 that overlaps a buffered plant inherits the identity of the plant with the greatest overlap, and otherwise counts as a recruit. The 5-cm distance accommodates mapping error and short vegetative movement (Lauenroth &amp; Adler, 2008) and matches previous analyses of the Dubois quadrats (Chu &amp; Adler, 2015). Following Chu &amp; Adler (2015), a plant could remain unmapped for up to 2 years and keep its identity.</w:t>
      </w:r>
    </w:p>
    <w:p>
      <w:r>
        <w:rPr>
          <w:b/>
        </w:rPr>
        <w:t xml:space="preserve">Grouping pieces in the first census. </w:t>
      </w:r>
      <w:r>
        <w:t>Plants of a species in the first census in which it appears in a quadrat have no earlier map, so their pieces (ramets) need a separate rule to form genets. For Artemisia tripartita, Hesperostipa comata, Poa secunda and Pseudoroegneria spicata, we used the genets assigned by Chu &amp; Adler (2015), who grouped 1,940 first-year polygons by visually comparing the first and second maps of each quadrat (Dalgleish et al., 2011). For the remaining species, we grouped first-year polygons of one species that lay within a threshold distance of each other. To choose the threshold, we compared groupings at 0.5, 1, 2, 3 and 5 cm with the hand assignment over the same polygons, using the adjusted Rand index (Hubert &amp; Arabie, 1985; Table CLR_TrackSensitivity_buffGenet). Agreement peaked at 2 cm for A. tripartita (0.79) and at 1 cm for H. comata (0.66) and P. spicata (0.34); the hand assignment of P. secunda kept every polygon separate. We therefore used 2 cm for shrubs and 1 cm for all other species mapped as polygons. Species mapped only as points were never grouped.</w:t>
      </w:r>
    </w:p>
    <w:p>
      <w:r>
        <w:rPr>
          <w:b/>
        </w:rPr>
        <w:t xml:space="preserve">Sensitivity to the grouping rule. </w:t>
      </w:r>
      <w:r>
        <w:t>To assess how much the first-year grouping affects vital rates, we re-tracked the nine species with at least 500 annual survival records under the narrow (0.5 cm) and the wide (3 cm) end of the tested range, applied to every species without the hand assignment. For each species, we compared regressions of survival and growth on log size, and recruits per unit parent cover, against the main tracking in units of the standard error of the main estimate. Under the narrow threshold, all coefficients changed by at most 1.3 SE, except the residual SD of growth in P. spicata (3.2 SE). Under the wide threshold, seven species changed by at most 1.5 SE, whereas P. spicata shifted by up to 7.2 SE (growth SD and size slope; survival size slope 3.9 SE) and P. secunda by 2.6 SE (survival intercept). The main tracking groups both species by hand assignment, so neither threshold applies to them. Year-to-year patterns of survival and recruitment remained closely correlated with the main tracking under both thresholds (r ≥ 0.88; Fig.CLR_TrackSensitivity). The grouping rule therefore has limited influence on the vital rates, with the exception of a wide threshold for P. spicata and P. secunda.</w:t>
      </w:r>
    </w:p>
    <w:p>
      <w:pPr>
        <w:pStyle w:val="Heading3"/>
      </w:pPr>
      <w:r>
        <w:t>References</w:t>
      </w:r>
    </w:p>
    <w:p>
      <w:r>
        <w:t>Chu, C., &amp; Adler, P. B. (2015). Large niche differences emerge at the recruitment stage to stabilize grassland coexistence. Ecological Monographs, 85(3), 373–392.</w:t>
      </w:r>
    </w:p>
    <w:p>
      <w:r>
        <w:t>Dalgleish, H. J., Koons, D. N., Hooten, M. B., Moffet, C. A., &amp; Adler, P. B. (2011). Climate influences the demography of three dominant sagebrush steppe plants. Ecology, 92(1), 75–85.</w:t>
      </w:r>
    </w:p>
    <w:p>
      <w:r>
        <w:t>Hubert, L., &amp; Arabie, P. (1985). Comparing partitions. Journal of Classification, 2, 193–218.</w:t>
      </w:r>
    </w:p>
    <w:p>
      <w:r>
        <w:t>Lauenroth, W. K., &amp; Adler, P. B. (2008). Demography of perennial grassland plants: survival, life expectancy and life span. Journal of Ecology, 96, 1023–1032.</w:t>
      </w:r>
    </w:p>
    <w:p>
      <w:r>
        <w:t>Stears, A. E., Adler, P. B., Albeke, S. E., Atkins, D. H., Studyvin, J., &amp; Laughlin, D. C. (2022). plantTracker: An R package to translate maps of plant occurrence into demographic data. Methods in Ecology and Evolution, 13, 2129–2137.</w:t>
      </w:r>
    </w:p>
    <w:p>
      <w:r>
        <w:t>Zachmann, L., Moffet, C., &amp; Adler, P. (2010). Mapped quadrats in sagebrush steppe: long-term data for analyzing demographic rates and plant–plant interactions. Ecology, 91(11), 3427.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