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4DE322" w14:textId="5B5715D3" w:rsidR="00930564" w:rsidRDefault="00930564" w:rsidP="00930564">
      <w:pPr>
        <w:widowControl/>
        <w:spacing w:line="480" w:lineRule="auto"/>
        <w:jc w:val="center"/>
        <w:rPr>
          <w:rFonts w:ascii="Arial" w:eastAsia="Arial" w:hAnsi="Arial" w:cs="Arial" w:hint="eastAsia"/>
          <w:sz w:val="22"/>
          <w:szCs w:val="22"/>
          <w:lang w:eastAsia="zh-TW"/>
        </w:rPr>
      </w:pPr>
      <w:r>
        <w:rPr>
          <w:rFonts w:ascii="Arial" w:eastAsia="Arial" w:hAnsi="Arial" w:cs="Arial" w:hint="eastAsia"/>
          <w:b/>
          <w:bCs/>
          <w:sz w:val="26"/>
          <w:szCs w:val="26"/>
          <w:lang w:eastAsia="zh-TW"/>
        </w:rPr>
        <w:t>Hung-wei</w:t>
      </w:r>
      <w:r>
        <w:rPr>
          <w:rFonts w:ascii="Arial" w:eastAsia="Arial" w:hAnsi="Arial" w:cs="Arial"/>
          <w:b/>
          <w:bCs/>
          <w:sz w:val="26"/>
          <w:szCs w:val="26"/>
          <w:lang w:eastAsia="zh-TW"/>
        </w:rPr>
        <w:t>’</w:t>
      </w:r>
      <w:r>
        <w:rPr>
          <w:rFonts w:ascii="Arial" w:eastAsia="Arial" w:hAnsi="Arial" w:cs="Arial" w:hint="eastAsia"/>
          <w:b/>
          <w:bCs/>
          <w:sz w:val="26"/>
          <w:szCs w:val="26"/>
          <w:lang w:eastAsia="zh-TW"/>
        </w:rPr>
        <w:t>s Chapter three</w:t>
      </w:r>
    </w:p>
    <w:p w14:paraId="7D0F4EBD" w14:textId="1DB0055A" w:rsidR="00930564" w:rsidRDefault="00930564" w:rsidP="00930564">
      <w:pPr>
        <w:widowControl/>
        <w:spacing w:line="480" w:lineRule="auto"/>
        <w:jc w:val="center"/>
        <w:rPr>
          <w:rFonts w:ascii="Arial" w:eastAsia="Arial" w:hAnsi="Arial" w:cs="Arial"/>
          <w:sz w:val="20"/>
          <w:szCs w:val="20"/>
          <w:lang w:eastAsia="zh-TW"/>
        </w:rPr>
      </w:pPr>
      <w:r>
        <w:rPr>
          <w:rFonts w:ascii="Arial" w:eastAsia="Arial" w:hAnsi="Arial" w:cs="Arial"/>
          <w:sz w:val="20"/>
          <w:szCs w:val="20"/>
        </w:rPr>
        <w:t>Hung-wei Lin</w:t>
      </w:r>
      <w:r>
        <w:rPr>
          <w:rFonts w:ascii="Arial" w:eastAsia="Arial" w:hAnsi="Arial" w:cs="Arial" w:hint="eastAsia"/>
          <w:sz w:val="20"/>
          <w:szCs w:val="20"/>
          <w:lang w:eastAsia="zh-TW"/>
        </w:rPr>
        <w:t>*</w:t>
      </w:r>
      <w:r>
        <w:rPr>
          <w:rFonts w:ascii="Arial" w:eastAsia="Arial" w:hAnsi="Arial" w:cs="Arial" w:hint="eastAsia"/>
          <w:sz w:val="20"/>
          <w:szCs w:val="20"/>
          <w:vertAlign w:val="superscript"/>
          <w:lang w:eastAsia="zh-TW"/>
        </w:rPr>
        <w:t>1</w:t>
      </w:r>
      <w:r>
        <w:rPr>
          <w:rFonts w:ascii="Arial" w:eastAsia="Arial" w:hAnsi="Arial" w:cs="Arial"/>
          <w:sz w:val="20"/>
          <w:szCs w:val="20"/>
        </w:rPr>
        <w:t xml:space="preserve">, Violeta Calleja-Solanas</w:t>
      </w:r>
      <w:r>
        <w:rPr>
          <w:rFonts w:ascii="Arial" w:eastAsia="Arial" w:hAnsi="Arial" w:cs="Arial" w:hint="eastAsia"/>
          <w:sz w:val="20"/>
          <w:szCs w:val="20"/>
          <w:vertAlign w:val="superscript"/>
          <w:lang w:eastAsia="zh-TW"/>
        </w:rPr>
        <w:t>1</w:t>
      </w:r>
      <w:r>
        <w:rPr>
          <w:rFonts w:ascii="Arial" w:eastAsia="Arial" w:hAnsi="Arial" w:cs="Arial"/>
          <w:sz w:val="20"/>
          <w:szCs w:val="20"/>
        </w:rPr>
        <w:t xml:space="preserve">, </w:t>
      </w:r>
      <w:r>
        <w:rPr>
          <w:rFonts w:ascii="Arial" w:eastAsia="Arial" w:hAnsi="Arial" w:cs="Arial"/>
          <w:sz w:val="20"/>
          <w:szCs w:val="20"/>
          <w:lang w:eastAsia="zh-TW"/>
        </w:rPr>
        <w:t>……,</w:t>
      </w:r>
      <w:r>
        <w:rPr>
          <w:rFonts w:ascii="Arial" w:eastAsia="Arial" w:hAnsi="Arial" w:cs="Arial" w:hint="eastAsia"/>
          <w:sz w:val="20"/>
          <w:szCs w:val="20"/>
          <w:lang w:eastAsia="zh-TW"/>
        </w:rPr>
        <w:t xml:space="preserve"> R</w:t>
      </w:r>
      <w:r>
        <w:rPr>
          <w:rFonts w:ascii="Arial" w:eastAsia="Arial" w:hAnsi="Arial" w:cs="Arial"/>
          <w:sz w:val="20"/>
          <w:szCs w:val="20"/>
        </w:rPr>
        <w:t>oberto Salguero-Gómez</w:t>
      </w:r>
      <w:r>
        <w:rPr>
          <w:rFonts w:ascii="Arial" w:eastAsia="Arial" w:hAnsi="Arial" w:cs="Arial" w:hint="eastAsia"/>
          <w:sz w:val="20"/>
          <w:szCs w:val="20"/>
          <w:lang w:eastAsia="zh-TW"/>
        </w:rPr>
        <w:t>*</w:t>
      </w:r>
      <w:r>
        <w:rPr>
          <w:rFonts w:ascii="Arial" w:eastAsia="Arial" w:hAnsi="Arial" w:cs="Arial"/>
          <w:sz w:val="20"/>
          <w:szCs w:val="20"/>
          <w:vertAlign w:val="superscript"/>
        </w:rPr>
        <w:t>1</w:t>
      </w:r>
    </w:p>
    <w:p w14:paraId="4F4C9C20" w14:textId="77777777" w:rsidR="00930564" w:rsidRDefault="00930564" w:rsidP="00930564">
      <w:pPr>
        <w:tabs>
          <w:tab w:val="left" w:pos="802"/>
        </w:tabs>
        <w:spacing w:before="82" w:after="240"/>
        <w:jc w:val="left"/>
        <w:rPr>
          <w:rFonts w:ascii="Arial" w:eastAsia="Arial" w:hAnsi="Arial" w:cs="Arial"/>
          <w:sz w:val="19"/>
          <w:szCs w:val="19"/>
          <w:lang w:eastAsia="zh-TW"/>
        </w:rPr>
      </w:pPr>
      <w:r>
        <w:rPr>
          <w:rFonts w:ascii="Arial" w:eastAsia="Arial" w:hAnsi="Arial" w:cs="Arial"/>
          <w:sz w:val="19"/>
          <w:szCs w:val="19"/>
        </w:rPr>
        <w:t xml:space="preserve">1 Department of Biology, </w:t>
      </w:r>
      <w:r>
        <w:rPr>
          <w:rFonts w:ascii="Arial" w:eastAsia="Arial" w:hAnsi="Arial" w:cs="Arial" w:hint="eastAsia"/>
          <w:sz w:val="19"/>
          <w:szCs w:val="19"/>
          <w:lang w:eastAsia="zh-TW"/>
        </w:rPr>
        <w:t xml:space="preserve">Life and Mind Building, </w:t>
      </w:r>
      <w:r>
        <w:rPr>
          <w:rFonts w:ascii="Arial" w:eastAsia="Arial" w:hAnsi="Arial" w:cs="Arial"/>
          <w:sz w:val="19"/>
          <w:szCs w:val="19"/>
        </w:rPr>
        <w:t>University of Oxford, Oxford, OX1 3</w:t>
      </w:r>
      <w:r>
        <w:rPr>
          <w:rFonts w:ascii="Arial" w:eastAsia="Arial" w:hAnsi="Arial" w:cs="Arial" w:hint="eastAsia"/>
          <w:sz w:val="19"/>
          <w:szCs w:val="19"/>
          <w:lang w:eastAsia="zh-TW"/>
        </w:rPr>
        <w:t>EL,</w:t>
      </w:r>
      <w:r>
        <w:rPr>
          <w:rFonts w:ascii="Arial" w:eastAsia="Arial" w:hAnsi="Arial" w:cs="Arial"/>
          <w:sz w:val="19"/>
          <w:szCs w:val="19"/>
        </w:rPr>
        <w:t xml:space="preserve"> U</w:t>
      </w:r>
      <w:r>
        <w:rPr>
          <w:rFonts w:ascii="Arial" w:eastAsia="Arial" w:hAnsi="Arial" w:cs="Arial" w:hint="eastAsia"/>
          <w:sz w:val="19"/>
          <w:szCs w:val="19"/>
          <w:lang w:eastAsia="zh-TW"/>
        </w:rPr>
        <w:t>K</w:t>
      </w:r>
    </w:p>
    <w:p w14:paraId="1478619A" w14:textId="12CE0F0F" w:rsidR="00930564" w:rsidRDefault="00930564" w:rsidP="00930564">
      <w:pPr>
        <w:widowControl/>
        <w:spacing w:line="480" w:lineRule="auto"/>
        <w:rPr>
          <w:rFonts w:ascii="Arial" w:eastAsia="Arial" w:hAnsi="Arial" w:cs="Arial" w:hint="eastAsia"/>
          <w:sz w:val="19"/>
          <w:szCs w:val="19"/>
          <w:lang w:eastAsia="zh-TW"/>
        </w:rPr>
      </w:pPr>
      <w:r>
        <w:rPr>
          <w:rFonts w:ascii="Arial" w:eastAsia="Arial" w:hAnsi="Arial" w:cs="Arial"/>
          <w:b/>
          <w:bCs/>
          <w:sz w:val="19"/>
          <w:szCs w:val="19"/>
        </w:rPr>
        <w:t>Keywords</w:t>
      </w:r>
      <w:r>
        <w:rPr>
          <w:rFonts w:ascii="Arial" w:eastAsia="Arial" w:hAnsi="Arial" w:cs="Arial"/>
          <w:sz w:val="19"/>
          <w:szCs w:val="19"/>
        </w:rPr>
        <w:t xml:space="preserve">: </w:t>
      </w:r>
      <w:r>
        <w:rPr>
          <w:rFonts w:ascii="Arial" w:eastAsia="Arial" w:hAnsi="Arial" w:cs="Arial" w:hint="eastAsia"/>
          <w:sz w:val="19"/>
          <w:szCs w:val="19"/>
          <w:lang w:eastAsia="zh-TW"/>
        </w:rPr>
        <w:t>xxx</w:t>
      </w:r>
    </w:p>
    <w:p w14:paraId="798225C2" w14:textId="77777777" w:rsidR="00930564" w:rsidRDefault="00930564" w:rsidP="00930564">
      <w:pPr>
        <w:widowControl/>
        <w:spacing w:line="480" w:lineRule="auto"/>
        <w:rPr>
          <w:lang w:eastAsia="zh-TW"/>
        </w:rPr>
      </w:pPr>
      <w:r>
        <w:rPr>
          <w:rFonts w:ascii="Arial" w:eastAsia="Arial" w:hAnsi="Arial" w:cs="Arial"/>
          <w:b/>
          <w:bCs/>
          <w:sz w:val="19"/>
          <w:szCs w:val="19"/>
        </w:rPr>
        <w:t>*Corresponding mailing address</w:t>
      </w:r>
      <w:r>
        <w:rPr>
          <w:rFonts w:ascii="Arial" w:eastAsia="Arial" w:hAnsi="Arial" w:cs="Arial"/>
          <w:sz w:val="19"/>
          <w:szCs w:val="19"/>
        </w:rPr>
        <w:t xml:space="preserve">: Department of Biology, </w:t>
      </w:r>
      <w:r>
        <w:rPr>
          <w:rFonts w:ascii="Arial" w:eastAsia="Arial" w:hAnsi="Arial" w:cs="Arial" w:hint="eastAsia"/>
          <w:sz w:val="19"/>
          <w:szCs w:val="19"/>
          <w:lang w:eastAsia="zh-TW"/>
        </w:rPr>
        <w:t>Life and Mind Building</w:t>
      </w:r>
      <w:r>
        <w:rPr>
          <w:rFonts w:ascii="Arial" w:eastAsia="Arial" w:hAnsi="Arial" w:cs="Arial"/>
          <w:sz w:val="19"/>
          <w:szCs w:val="19"/>
        </w:rPr>
        <w:t>, University of Oxford, OX1 3</w:t>
      </w:r>
      <w:r>
        <w:rPr>
          <w:rFonts w:ascii="Arial" w:eastAsia="Arial" w:hAnsi="Arial" w:cs="Arial" w:hint="eastAsia"/>
          <w:sz w:val="19"/>
          <w:szCs w:val="19"/>
          <w:lang w:eastAsia="zh-TW"/>
        </w:rPr>
        <w:t>EL</w:t>
      </w:r>
      <w:r>
        <w:rPr>
          <w:rFonts w:ascii="Arial" w:eastAsia="Arial" w:hAnsi="Arial" w:cs="Arial"/>
          <w:sz w:val="19"/>
          <w:szCs w:val="19"/>
        </w:rPr>
        <w:t>, Oxford, United Kingdom, Tel: +44 1865 275000</w:t>
      </w:r>
      <w:r>
        <w:rPr>
          <w:rFonts w:ascii="Arial" w:eastAsia="Arial" w:hAnsi="Arial" w:cs="Arial" w:hint="eastAsia"/>
          <w:sz w:val="19"/>
          <w:szCs w:val="19"/>
          <w:lang w:eastAsia="zh-TW"/>
        </w:rPr>
        <w:t xml:space="preserve">, Email: </w:t>
      </w:r>
      <w:hyperlink r:id="rId4" w:history="1">
        <w:r>
          <w:rPr>
            <w:rStyle w:val="Hyperlink"/>
            <w:rFonts w:ascii="Arial" w:eastAsia="Arial" w:hAnsi="Arial" w:cs="Arial"/>
            <w:sz w:val="19"/>
            <w:szCs w:val="19"/>
            <w:lang w:eastAsia="zh-TW"/>
          </w:rPr>
          <w:t>hung-wei.lin@biology.ox.ac.uk</w:t>
        </w:r>
      </w:hyperlink>
      <w:r>
        <w:rPr>
          <w:rFonts w:ascii="Arial" w:eastAsia="Arial" w:hAnsi="Arial" w:cs="Arial" w:hint="eastAsia"/>
          <w:sz w:val="19"/>
          <w:szCs w:val="19"/>
          <w:lang w:eastAsia="zh-TW"/>
        </w:rPr>
        <w:t xml:space="preserve">, </w:t>
      </w:r>
      <w:hyperlink r:id="rId5" w:history="1">
        <w:r>
          <w:rPr>
            <w:rStyle w:val="Hyperlink"/>
            <w:rFonts w:ascii="Arial" w:eastAsia="Arial" w:hAnsi="Arial" w:cs="Arial"/>
            <w:sz w:val="19"/>
            <w:szCs w:val="19"/>
            <w:lang w:eastAsia="zh-TW"/>
          </w:rPr>
          <w:t>rob.salguero@biology.ox.ac.uk</w:t>
        </w:r>
      </w:hyperlink>
    </w:p>
    <w:p w14:paraId="0E9D93B9" w14:textId="3B1A8348" w:rsidR="00930564" w:rsidRDefault="00930564" w:rsidP="00003E9F">
      <w:pPr>
        <w:spacing w:line="480" w:lineRule="auto"/>
        <w:rPr>
          <w:rFonts w:ascii="Times New Roman" w:hAnsi="Times New Roman"/>
          <w:lang w:eastAsia="zh-TW"/>
        </w:rPr>
      </w:pPr>
      <w:r>
        <w:rPr>
          <w:rFonts w:ascii="Arial" w:eastAsia="Arial" w:hAnsi="Arial" w:cs="Arial" w:hint="eastAsia"/>
          <w:b/>
          <w:bCs/>
          <w:sz w:val="19"/>
          <w:szCs w:val="19"/>
          <w:lang w:eastAsia="zh-TW"/>
        </w:rPr>
        <w:t>Word count</w:t>
      </w:r>
      <w:r>
        <w:rPr>
          <w:rFonts w:ascii="Arial" w:eastAsia="Arial" w:hAnsi="Arial" w:cs="Arial"/>
          <w:sz w:val="19"/>
          <w:szCs w:val="19"/>
        </w:rPr>
        <w:t xml:space="preserve">: </w:t>
      </w:r>
      <w:r>
        <w:rPr>
          <w:rFonts w:ascii="Arial" w:eastAsia="Arial" w:hAnsi="Arial" w:cs="Arial" w:hint="eastAsia"/>
          <w:sz w:val="19"/>
          <w:szCs w:val="19"/>
          <w:lang w:eastAsia="zh-TW"/>
        </w:rPr>
        <w:t>xxx</w:t>
      </w:r>
      <w:r>
        <w:rPr>
          <w:rFonts w:ascii="Times New Roman" w:hAnsi="Times New Roman"/>
        </w:rPr>
        <w:t xml:space="preserve"> </w:t>
      </w:r>
    </w:p>
    <w:p w14:paraId="1E7AF19D" w14:textId="77777777" w:rsidR="00AE685B" w:rsidRDefault="00AE685B" w:rsidP="00003E9F">
      <w:pPr>
        <w:spacing w:line="480" w:lineRule="auto"/>
        <w:rPr>
          <w:rFonts w:ascii="Times New Roman" w:hAnsi="Times New Roman"/>
          <w:lang w:eastAsia="zh-TW"/>
        </w:rPr>
      </w:pPr>
    </w:p>
    <w:p w14:paraId="7BDCB8C5" w14:textId="77777777" w:rsidR="00AE685B" w:rsidRDefault="00AE685B" w:rsidP="00003E9F">
      <w:pPr>
        <w:spacing w:line="480" w:lineRule="auto"/>
        <w:rPr>
          <w:rFonts w:ascii="Times New Roman" w:hAnsi="Times New Roman"/>
          <w:lang w:eastAsia="zh-TW"/>
        </w:rPr>
      </w:pPr>
    </w:p>
    <w:p w14:paraId="4FFEC142" w14:textId="77777777" w:rsidR="00AE685B" w:rsidRPr="00642276" w:rsidRDefault="00AE685B" w:rsidP="00AE685B">
      <w:pPr>
        <w:widowControl/>
        <w:spacing w:line="480" w:lineRule="auto"/>
        <w:jc w:val="left"/>
        <w:rPr>
          <w:rFonts w:ascii="Arial" w:eastAsia="Arial" w:hAnsi="Arial" w:cs="Arial"/>
          <w:b/>
          <w:bCs/>
          <w:sz w:val="26"/>
          <w:szCs w:val="26"/>
          <w:lang w:eastAsia="zh-TW"/>
        </w:rPr>
      </w:pPr>
      <w:r>
        <w:rPr>
          <w:rFonts w:ascii="Arial" w:eastAsia="Arial" w:hAnsi="Arial" w:cs="Arial"/>
          <w:b/>
          <w:bCs/>
          <w:sz w:val="26"/>
          <w:szCs w:val="26"/>
        </w:rPr>
        <w:t>Introduction</w:t>
      </w:r>
    </w:p>
    <w:p>
      <w:pPr>
        <w:spacing w:line="480" w:lineRule="auto"/>
        <w:jc w:val="both"/>
      </w:pPr>
      <w:r>
        <w:rPr>
          <w:rFonts w:ascii="Arial" w:eastAsia="Arial" w:hAnsi="Arial" w:cs="Arial"/>
          <w:b/>
          <w:bCs/>
          <w:sz w:val="22"/>
          <w:szCs w:val="22"/>
          <w:lang w:val="en-GB" w:eastAsia="zh-TW"/>
        </w:rPr>
        <w:t xml:space="preserve">Predicting how ecological systems respond to environmental change is a central goal of ecology (Holling, 1973; Kéfi et al., 2019), yet the resilience of a system can differ markedly depending on the level of biological organisation at which it is quantified (Capdevila et al., 2021; Lin et al., 2026a).</w:t>
      </w:r>
      <w:r>
        <w:rPr>
          <w:rFonts w:ascii="Arial" w:eastAsia="Arial" w:hAnsi="Arial" w:cs="Arial"/>
          <w:sz w:val="22"/>
          <w:szCs w:val="22"/>
          <w:lang w:val="en-GB" w:eastAsia="zh-TW"/>
        </w:rPr>
        <w:t xml:space="preserve"> Responses at higher levels generally emerge from responses at lower levels (Crespi et al., 2022; Vitousek et al., 2025). Community resilience, for instance, is an emergent property: it arises from how individuals, populations and their interactions respond to the same environmental fluctuations (Falk et al., 2019). Yet, how responses propagate from one level to the next, and which processes modify that propagation, remain debated (Loreau &amp; de Mazancourt, 2013; Kunze et al., 2026). Multiscale studies of resilience have focused largely on population to ecosystem scales (Vitousek et al., 2025), and studies that follow responses from individuals through populations to the whole community within a single system remain scarce. …… </w:t>
      </w:r>
      <w:r>
        <w:rPr>
          <w:rFonts w:ascii="Arial" w:eastAsia="Arial" w:hAnsi="Arial" w:cs="Arial"/>
          <w:sz w:val="22"/>
          <w:szCs w:val="22"/>
          <w:lang w:val="en-GB" w:eastAsia="zh-TW"/>
        </w:rPr>
        <w:t xml:space="preserve">Without such studies, we can neither infer the response of one level from evidence gathered at another nor predict the resilience that emerges at the community level.</w:t>
      </w:r>
    </w:p>
    <w:p>
      <w:pPr>
        <w:spacing w:line="480" w:lineRule="auto"/>
        <w:ind w:firstLine="425"/>
        <w:jc w:val="both"/>
      </w:pPr>
      <w:r>
        <w:rPr>
          <w:rFonts w:ascii="Arial" w:eastAsia="Arial" w:hAnsi="Arial" w:cs="Arial"/>
          <w:b/>
          <w:bCs/>
          <w:sz w:val="22"/>
          <w:szCs w:val="22"/>
          <w:lang w:val="en-GB" w:eastAsia="zh-TW"/>
        </w:rPr>
        <w:t xml:space="preserve">A prominent approach to predicting higher-level responses builds on response diversity, the variation in how the components of a system respond to the same environmental change (Elmqvist et al., 2003; Mori et al., 2013).</w:t>
      </w:r>
      <w:r>
        <w:rPr>
          <w:rFonts w:ascii="Arial" w:eastAsia="Arial" w:hAnsi="Arial" w:cs="Arial"/>
          <w:sz w:val="22"/>
          <w:szCs w:val="22"/>
          <w:lang w:val="en-GB" w:eastAsia="zh-TW"/>
        </w:rPr>
        <w:t xml:space="preserve"> Within populations, different vital rates and different individuals can respond differently to the same climate, and such heterogeneity can buffer population growth against environmental variation (Hilde et al., 2020; Santos et al., 2026) or alter it through nonlinear averaging and portfolio effects (Bolnick et al., 2011). Likewise, populations within a community differ in how their growth rates respond to environmental fluctuations, and the resulting asynchrony stabilises aggregate properties such as total biomass or cover (Loreau &amp; de Mazancourt, 2013; Thibaut &amp; Connolly, 2013), although much of this stabilisation in grasslands reflects statistical averaging rather than compensatory dynamics (Zhao et al., 2022). …… Ecologists have quantified how such combinations of responses shape the level above, using stochastic elasticities and life table response experiments for populations (Caswell, 2001; Santos et al., 2026) and partitions of community variability into population variability and synchrony for communities (Thibaut &amp; Connolly, 2013; Segrestin &amp; Lepš, 2022; Zhao et al., 2022). </w:t>
      </w:r>
      <w:r>
        <w:rPr>
          <w:rFonts w:ascii="Arial" w:eastAsia="Arial" w:hAnsi="Arial" w:cs="Arial"/>
          <w:sz w:val="22"/>
          <w:szCs w:val="22"/>
          <w:lang w:val="en-GB" w:eastAsia="zh-TW"/>
        </w:rPr>
        <w:t xml:space="preserve">Yet these partitions describe how a given set of responses combines; predicting how a system will respond further requires knowing what determines the response of each component.</w:t>
      </w:r>
    </w:p>
    <w:p>
      <w:pPr>
        <w:spacing w:line="480" w:lineRule="auto"/>
        <w:ind w:firstLine="425"/>
        <w:jc w:val="both"/>
      </w:pPr>
      <w:r>
        <w:rPr>
          <w:rFonts w:ascii="Arial" w:eastAsia="Arial" w:hAnsi="Arial" w:cs="Arial"/>
          <w:b/>
          <w:bCs/>
          <w:sz w:val="22"/>
          <w:szCs w:val="22"/>
          <w:lang w:val="en-GB" w:eastAsia="zh-TW"/>
        </w:rPr>
        <w:t xml:space="preserve">The factors that determine these responses differ across levels of biological organisation: individual performance often depends on body size (Easterling et al., 2000; Ehrlén et al., 2016), whereas population resilience is closely associated with life-history strategy (Morris et al., 2008; Capdevila et al., 2022).</w:t>
      </w:r>
      <w:r>
        <w:rPr>
          <w:rFonts w:ascii="Arial" w:eastAsia="Arial" w:hAnsi="Arial" w:cs="Arial"/>
          <w:sz w:val="22"/>
          <w:szCs w:val="22"/>
          <w:lang w:val="en-GB" w:eastAsia="zh-TW"/>
        </w:rPr>
        <w:t xml:space="preserve"> For instance, larger trees suffer most during drought (Bennett et al., 2015), and herbaceous perennials with short generation times respond more strongly to climate anomalies than those with long generation times (Compagnoni et al., 2021). Life history also predicts how much transient dynamics contribute to variation in population growth (Lin et al., 2026b) and how strongly species abundances fluctuate through time (Jops et al., 2025). …… </w:t>
      </w:r>
      <w:r>
        <w:rPr>
          <w:rFonts w:ascii="Arial" w:eastAsia="Arial" w:hAnsi="Arial" w:cs="Arial"/>
          <w:sz w:val="22"/>
          <w:szCs w:val="22"/>
          <w:lang w:val="en-GB" w:eastAsia="zh-TW"/>
        </w:rPr>
        <w:t xml:space="preserve">Yet these determinants are usually examined one level at a time, so their relative importance when they act together remains unknown, and how size and climate interact in the vital rates of perennial plants remains an open question (Teller et al., 2016).</w:t>
      </w:r>
    </w:p>
    <w:p>
      <w:pPr>
        <w:spacing w:line="480" w:lineRule="auto"/>
        <w:ind w:firstLine="425"/>
        <w:jc w:val="both"/>
      </w:pPr>
      <w:r>
        <w:rPr>
          <w:rFonts w:ascii="Arial" w:eastAsia="Arial" w:hAnsi="Arial" w:cs="Arial"/>
          <w:b/>
          <w:bCs/>
          <w:sz w:val="22"/>
          <w:szCs w:val="22"/>
          <w:lang w:val="en-GB" w:eastAsia="zh-TW"/>
        </w:rPr>
        <w:t xml:space="preserve">Translating responses across levels further requires accounting for interactions within and among populations.</w:t>
      </w:r>
      <w:r>
        <w:rPr>
          <w:rFonts w:ascii="Arial" w:eastAsia="Arial" w:hAnsi="Arial" w:cs="Arial"/>
          <w:sz w:val="22"/>
          <w:szCs w:val="22"/>
          <w:lang w:val="en-GB" w:eastAsia="zh-TW"/>
        </w:rPr>
        <w:t xml:space="preserve"> The responses of individual organisms cannot be translated directly into population resilience, because population dynamics emerge from the combined effects of demographic rates, population structure and density dependence (Hilde et al., 2020; Giménez-Romero et al., 2025). Likewise, community resilience cannot be inferred from the responses of individual populations alone, because interactions among species and differences in their temporal dynamics determine how population-level changes translate into community-level stability (Loreau &amp; de Mazancourt, 2013; Kunze et al., 2026). …… For instance, intraspecific competition is on average four to five times stronger than interspecific competition in terrestrial plant communities (Adler et al., 2018), so the density dependence that links individuals to their population is largely conspecific. Interspecific competition, in turn, makes population fluctuations more asynchronous but also larger, and therefore tends to destabilise total biomass (Loreau &amp; de Mazancourt, 2013), whereas response diversity predicts community stability after pulse disturbances only when interspecific interactions are absent (Kunze et al., 2026). </w:t>
      </w:r>
      <w:r>
        <w:rPr>
          <w:rFonts w:ascii="Arial" w:eastAsia="Arial" w:hAnsi="Arial" w:cs="Arial"/>
          <w:sz w:val="22"/>
          <w:szCs w:val="22"/>
          <w:lang w:val="en-GB" w:eastAsia="zh-TW"/>
        </w:rPr>
        <w:t xml:space="preserve">Interactions therefore determine whether the diversity of responses at one level is expressed as resilience at the next.</w:t>
      </w:r>
    </w:p>
    <w:p>
      <w:pPr>
        <w:spacing w:line="480" w:lineRule="auto"/>
        <w:ind w:firstLine="425"/>
        <w:jc w:val="both"/>
      </w:pPr>
      <w:r>
        <w:rPr>
          <w:rFonts w:ascii="Arial" w:eastAsia="Arial" w:hAnsi="Arial" w:cs="Arial"/>
          <w:b/>
          <w:bCs/>
          <w:sz w:val="22"/>
          <w:szCs w:val="22"/>
          <w:lang w:val="en-GB" w:eastAsia="zh-TW"/>
        </w:rPr>
        <w:t xml:space="preserve">Cross-level responses are further complicated by the fact that environmental variation can also alter the strength of intraspecific and interspecific interactions (Tylianakis et al., 2008; Maestre et al., 2009).</w:t>
      </w:r>
      <w:r>
        <w:rPr>
          <w:rFonts w:ascii="Arial" w:eastAsia="Arial" w:hAnsi="Arial" w:cs="Arial"/>
          <w:sz w:val="22"/>
          <w:szCs w:val="22"/>
          <w:lang w:val="en-GB" w:eastAsia="zh-TW"/>
        </w:rPr>
        <w:t xml:space="preserve"> Such interaction modifications (sensu Wootton, 1994) act in addition to indirect effects mediated by changes in neighbour abundance (Adler et al., 2009). For instance, warming and nutrient addition modified the effect of neighbour removal on an alpine forb (Klanderud &amp; Totland, 2005), small reductions in rainfall shifted the predicted competitive outcome for 10 of 15 species pairs in an annual grassland (Van Dyke et al., 2022), rainfall-driven variation in interaction strength promotes coexistence (Calleja-Solanas et al., 2025; W. Lin et al., 2026), and year-to-year rewiring of plant–pollinator interactions enhances community persistence (Domínguez-García et al., 2026). …… Yet previous studies of time-varying interactions share three limitations: (1) most come from annual plants or short-term experiments that compare a few treatments or years, and a one-year rainfall manipulation in a perennial prairie, conducted in two wet years, found little evidence that precipitation alters competition (Adler et al., 2009); (2) most infer interactions from population-level models that ignore individual size and life history (Caligiuri et al., 2025; Calleja-Solanas et al., 2025); and (3) long-term demographic studies of perennial communities, which can link individuals to communities, detected little year-to-year variation in crowding effects and therefore held interaction coefficients constant (Chu et al., 2016; Tredennick et al., 2017). </w:t>
      </w:r>
      <w:r>
        <w:rPr>
          <w:rFonts w:ascii="Arial" w:eastAsia="Arial" w:hAnsi="Arial" w:cs="Arial"/>
          <w:sz w:val="22"/>
          <w:szCs w:val="22"/>
          <w:lang w:val="en-GB" w:eastAsia="zh-TW"/>
        </w:rPr>
        <w:t xml:space="preserve">Consequently, whether climate-dependent interactions contribute to community resilience has yet to be tested within a framework that spans individuals to communities.</w:t>
      </w:r>
    </w:p>
    <w:p>
      <w:pPr>
        <w:spacing w:line="480" w:lineRule="auto"/>
        <w:ind w:firstLine="425"/>
        <w:jc w:val="both"/>
      </w:pPr>
      <w:r>
        <w:rPr>
          <w:rFonts w:ascii="Arial" w:eastAsia="Arial" w:hAnsi="Arial" w:cs="Arial"/>
          <w:b/>
          <w:bCs/>
          <w:sz w:val="22"/>
          <w:szCs w:val="22"/>
          <w:lang w:val="en-GB" w:eastAsia="zh-TW"/>
        </w:rPr>
        <w:t xml:space="preserve">Here, we develop a multilevel demographic framework to determine how size-dependent responses, life-history differences and climate-dependent interactions jointly shape plant vital rates, and how their consequences propagate to population and community resilience.</w:t>
      </w:r>
      <w:r>
        <w:rPr>
          <w:rFonts w:ascii="Arial" w:eastAsia="Arial" w:hAnsi="Arial" w:cs="Arial"/>
          <w:sz w:val="22"/>
          <w:szCs w:val="22"/>
          <w:lang w:val="en-GB" w:eastAsia="zh-TW"/>
        </w:rPr>
        <w:t xml:space="preserve"> We fit a single multilevel Bayesian model to the survival, growth and recruitment of perennial plants mapped annually for decades in three semi-arid grasslands (Adler et al., 2007; Zachmann et al., 2010; Anderson et al., 2011). In this model, annual climate, life-history traits, individual size, and crowding by conspecific and heterospecific neighbours explain vital rates, and the effects of size, life history and crowding are allowed to vary with climate. We then combine the fitted vital rates into integral projection models and, following the logic of removing mechanisms by simulation (Ellner et al., 2019), run counterfactual simulations in which each climate-dependent effect is held at its mean-climate value in turn, and compare the resilience of community cover across scenarios. …… </w:t>
      </w:r>
      <w:r>
        <w:rPr>
          <w:rFonts w:ascii="Arial" w:eastAsia="Arial" w:hAnsi="Arial" w:cs="Arial"/>
          <w:sz w:val="22"/>
          <w:szCs w:val="22"/>
          <w:lang w:val="en-GB" w:eastAsia="zh-TW"/>
        </w:rPr>
        <w:t xml:space="preserve">Specifically, we ask: (1) when factors at every level are considered together, which of them governs how strongly individuals, populations and the whole community respond to climate; and (2) do climate-driven shifts in intraspecific and interspecific interactions enhance community resilience?</w:t>
      </w:r>
    </w:p>
    <w:p>
      <w:pPr>
        <w:widowControl/>
        <w:spacing w:before="240" w:line="480" w:lineRule="auto"/>
        <w:jc w:val="left"/>
      </w:pPr>
      <w:r>
        <w:rPr>
          <w:rFonts w:ascii="Arial" w:eastAsia="Arial" w:hAnsi="Arial" w:cs="Arial"/>
          <w:b/>
          <w:bCs/>
          <w:sz w:val="26"/>
          <w:szCs w:val="26"/>
          <w:lang w:val="en-GB" w:eastAsia="zh-TW"/>
        </w:rPr>
        <w:t xml:space="preserve">References (draft)</w:t>
      </w:r>
    </w:p>
    <w:p>
      <w:pPr>
        <w:spacing w:line="360" w:lineRule="auto"/>
        <w:jc w:val="both"/>
      </w:pPr>
      <w:r>
        <w:rPr>
          <w:rFonts w:ascii="Arial" w:eastAsia="Arial" w:hAnsi="Arial" w:cs="Arial"/>
          <w:sz w:val="20"/>
          <w:szCs w:val="20"/>
          <w:lang w:val="en-GB" w:eastAsia="zh-TW"/>
        </w:rPr>
        <w:t xml:space="preserve">Entries marked [verify] were written from memory and still need checking against the source; the others were checked against the PDF or publisher page in this session.</w:t>
      </w:r>
    </w:p>
    <w:p>
      <w:pPr>
        <w:spacing w:line="360" w:lineRule="auto"/>
        <w:ind w:left="567" w:hanging="567"/>
        <w:jc w:val="both"/>
      </w:pPr>
      <w:r>
        <w:rPr>
          <w:rFonts w:ascii="Arial" w:eastAsia="Arial" w:hAnsi="Arial" w:cs="Arial"/>
          <w:sz w:val="20"/>
          <w:szCs w:val="20"/>
          <w:lang w:val="en-GB" w:eastAsia="zh-TW"/>
        </w:rPr>
        <w:t xml:space="preserve">Adler, P. B., Leiker, J., &amp; Levine, J. M. (2009). Direct and indirect effects of climate change on a prairie plant community. PLoS ONE, 4(9), e6887.</w:t>
      </w:r>
    </w:p>
    <w:p>
      <w:pPr>
        <w:spacing w:line="360" w:lineRule="auto"/>
        <w:ind w:left="567" w:hanging="567"/>
        <w:jc w:val="both"/>
      </w:pPr>
      <w:r>
        <w:rPr>
          <w:rFonts w:ascii="Arial" w:eastAsia="Arial" w:hAnsi="Arial" w:cs="Arial"/>
          <w:sz w:val="20"/>
          <w:szCs w:val="20"/>
          <w:lang w:val="en-GB" w:eastAsia="zh-TW"/>
        </w:rPr>
        <w:t xml:space="preserve">Adler, P. B., Smull, D., Beard, K. H., Choi, R. T., Furniss, T., Kulmatiski, A., Meiners, J. M., Tredennick, A. T., &amp; Veblen, K. E. (2018). Competition and coexistence in plant communities: Intraspecific competition is stronger than interspecific competition. Ecology Letters, 21, 1319–1329.</w:t>
      </w:r>
    </w:p>
    <w:p>
      <w:pPr>
        <w:spacing w:line="360" w:lineRule="auto"/>
        <w:ind w:left="567" w:hanging="567"/>
        <w:jc w:val="both"/>
      </w:pPr>
      <w:r>
        <w:rPr>
          <w:rFonts w:ascii="Arial" w:eastAsia="Arial" w:hAnsi="Arial" w:cs="Arial"/>
          <w:sz w:val="20"/>
          <w:szCs w:val="20"/>
          <w:lang w:val="en-GB" w:eastAsia="zh-TW"/>
        </w:rPr>
        <w:t xml:space="preserve">Adler, P. B., Tyburczy, W. R., &amp; Lauenroth, W. K. (2007). Long-term mapped quadrats from Kansas prairie: A unique source of demographic information for herbaceous plants. Ecology, 88, 2673.</w:t>
      </w:r>
    </w:p>
    <w:p>
      <w:pPr>
        <w:spacing w:line="360" w:lineRule="auto"/>
        <w:ind w:left="567" w:hanging="567"/>
        <w:jc w:val="both"/>
      </w:pPr>
      <w:r>
        <w:rPr>
          <w:rFonts w:ascii="Arial" w:eastAsia="Arial" w:hAnsi="Arial" w:cs="Arial"/>
          <w:sz w:val="20"/>
          <w:szCs w:val="20"/>
          <w:lang w:val="en-GB" w:eastAsia="zh-TW"/>
        </w:rPr>
        <w:t xml:space="preserve">Anderson, J., Vermeire, L., &amp; Adler, P. B. (2011). Fourteen years of mapped, permanent quadrats in a northern mixed prairie, USA. Ecology, 92(8), 1703.</w:t>
      </w:r>
    </w:p>
    <w:p>
      <w:pPr>
        <w:spacing w:line="360" w:lineRule="auto"/>
        <w:ind w:left="567" w:hanging="567"/>
        <w:jc w:val="both"/>
      </w:pPr>
      <w:r>
        <w:rPr>
          <w:rFonts w:ascii="Arial" w:eastAsia="Arial" w:hAnsi="Arial" w:cs="Arial"/>
          <w:sz w:val="20"/>
          <w:szCs w:val="20"/>
          <w:lang w:val="en-GB" w:eastAsia="zh-TW"/>
        </w:rPr>
        <w:t xml:space="preserve">Bennett, A. C., McDowell, N. G., Allen, C. D., &amp; Anderson-Teixeira, K. J. (2015). Larger trees suffer most during drought in forests worldwide. Nature Plants, 1, 15139. [verify]</w:t>
      </w:r>
    </w:p>
    <w:p>
      <w:pPr>
        <w:spacing w:line="360" w:lineRule="auto"/>
        <w:ind w:left="567" w:hanging="567"/>
        <w:jc w:val="both"/>
      </w:pPr>
      <w:r>
        <w:rPr>
          <w:rFonts w:ascii="Arial" w:eastAsia="Arial" w:hAnsi="Arial" w:cs="Arial"/>
          <w:sz w:val="20"/>
          <w:szCs w:val="20"/>
          <w:lang w:val="en-GB" w:eastAsia="zh-TW"/>
        </w:rPr>
        <w:t xml:space="preserve">Bolnick, D. I., Amarasekare, P., Araújo, M. S., Bürger, R., Levine, J. M., Novak, M., Rudolf, V. H. W., Schreiber, S. J., Urban, M. C., &amp; Vasseur, D. A. (2011). Why intraspecific trait variation matters in community ecology. Trends in Ecology &amp; Evolution, 26(4), 183–192.</w:t>
      </w:r>
    </w:p>
    <w:p>
      <w:pPr>
        <w:spacing w:line="360" w:lineRule="auto"/>
        <w:ind w:left="567" w:hanging="567"/>
        <w:jc w:val="both"/>
      </w:pPr>
      <w:r>
        <w:rPr>
          <w:rFonts w:ascii="Arial" w:eastAsia="Arial" w:hAnsi="Arial" w:cs="Arial"/>
          <w:sz w:val="20"/>
          <w:szCs w:val="20"/>
          <w:lang w:val="en-GB" w:eastAsia="zh-TW"/>
        </w:rPr>
        <w:t xml:space="preserve">Caligiuri, A., Emery, E., Ferreira, L., et al., &amp; Calleja-Solanas, V. (2025). Time-varying ecological interactions characterise equilibrium and stability. arXiv, 2506.22123.</w:t>
      </w:r>
    </w:p>
    <w:p>
      <w:pPr>
        <w:spacing w:line="360" w:lineRule="auto"/>
        <w:ind w:left="567" w:hanging="567"/>
        <w:jc w:val="both"/>
      </w:pPr>
      <w:r>
        <w:rPr>
          <w:rFonts w:ascii="Arial" w:eastAsia="Arial" w:hAnsi="Arial" w:cs="Arial"/>
          <w:sz w:val="20"/>
          <w:szCs w:val="20"/>
          <w:lang w:val="en-GB" w:eastAsia="zh-TW"/>
        </w:rPr>
        <w:t xml:space="preserve">Calleja-Solanas, V., Bartomeus, I., &amp; Godoy, O. (2025). Time-varying interactions drive species coexistence via rainfall variation. bioRxiv, 2025.11.28.690940.</w:t>
      </w:r>
    </w:p>
    <w:p>
      <w:pPr>
        <w:spacing w:line="360" w:lineRule="auto"/>
        <w:ind w:left="567" w:hanging="567"/>
        <w:jc w:val="both"/>
      </w:pPr>
      <w:r>
        <w:rPr>
          <w:rFonts w:ascii="Arial" w:eastAsia="Arial" w:hAnsi="Arial" w:cs="Arial"/>
          <w:sz w:val="20"/>
          <w:szCs w:val="20"/>
          <w:lang w:val="en-GB" w:eastAsia="zh-TW"/>
        </w:rPr>
        <w:t xml:space="preserve">Capdevila, P., Stott, I., Cant, J., Beger, M., Rowlands, G., Grace, M., &amp; Salguero-Gómez, R. (2022). Life history mediates the trade-offs among different components of demographic resilience. Ecology Letters, 25, 1566–1579. [verify]</w:t>
      </w:r>
    </w:p>
    <w:p>
      <w:pPr>
        <w:spacing w:line="360" w:lineRule="auto"/>
        <w:ind w:left="567" w:hanging="567"/>
        <w:jc w:val="both"/>
      </w:pPr>
      <w:r>
        <w:rPr>
          <w:rFonts w:ascii="Arial" w:eastAsia="Arial" w:hAnsi="Arial" w:cs="Arial"/>
          <w:sz w:val="20"/>
          <w:szCs w:val="20"/>
          <w:lang w:val="en-GB" w:eastAsia="zh-TW"/>
        </w:rPr>
        <w:t xml:space="preserve">Capdevila, P., Stott, I., Oliveras Menor, I., Stouffer, D. B., Raimundo, R. L. G., White, H., Barbour, M., &amp; Salguero-Gómez, R. (2021). Reconciling resilience across ecological systems, species and subdisciplines. Journal of Ecology, 109, 3102–3113. [verify]</w:t>
      </w:r>
    </w:p>
    <w:p>
      <w:pPr>
        <w:spacing w:line="360" w:lineRule="auto"/>
        <w:ind w:left="567" w:hanging="567"/>
        <w:jc w:val="both"/>
      </w:pPr>
      <w:r>
        <w:rPr>
          <w:rFonts w:ascii="Arial" w:eastAsia="Arial" w:hAnsi="Arial" w:cs="Arial"/>
          <w:sz w:val="20"/>
          <w:szCs w:val="20"/>
          <w:lang w:val="en-GB" w:eastAsia="zh-TW"/>
        </w:rPr>
        <w:t xml:space="preserve">Caswell, H. (2001). Matrix population models: Construction, analysis, and interpretation (2nd ed.). Sinauer Associates.</w:t>
      </w:r>
    </w:p>
    <w:p>
      <w:pPr>
        <w:spacing w:line="360" w:lineRule="auto"/>
        <w:ind w:left="567" w:hanging="567"/>
        <w:jc w:val="both"/>
      </w:pPr>
      <w:r>
        <w:rPr>
          <w:rFonts w:ascii="Arial" w:eastAsia="Arial" w:hAnsi="Arial" w:cs="Arial"/>
          <w:sz w:val="20"/>
          <w:szCs w:val="20"/>
          <w:lang w:val="en-GB" w:eastAsia="zh-TW"/>
        </w:rPr>
        <w:t xml:space="preserve">Chu, C., Kleinhesselink, A. R., Havstad, K. M., McClaran, M. P., Peters, D. P., Vermeire, L. T., Wei, H., &amp; Adler, P. B. (2016). Direct effects dominate responses to climate perturbations in grassland plant communities. Nature Communications, 7, 11766.</w:t>
      </w:r>
    </w:p>
    <w:p>
      <w:pPr>
        <w:spacing w:line="360" w:lineRule="auto"/>
        <w:ind w:left="567" w:hanging="567"/>
        <w:jc w:val="both"/>
      </w:pPr>
      <w:r>
        <w:rPr>
          <w:rFonts w:ascii="Arial" w:eastAsia="Arial" w:hAnsi="Arial" w:cs="Arial"/>
          <w:sz w:val="20"/>
          <w:szCs w:val="20"/>
          <w:lang w:val="en-GB" w:eastAsia="zh-TW"/>
        </w:rPr>
        <w:t xml:space="preserve">Compagnoni, A., Levin, S., Childs, D. Z., Harpole, S., Paniw, M., Römer, G., et al. (2021). Herbaceous perennial plants with short generation time have stronger responses to climate anomalies than those with longer generation time. Nature Communications, 12, 1824. [verify]</w:t>
      </w:r>
    </w:p>
    <w:p>
      <w:pPr>
        <w:spacing w:line="360" w:lineRule="auto"/>
        <w:ind w:left="567" w:hanging="567"/>
        <w:jc w:val="both"/>
      </w:pPr>
      <w:r>
        <w:rPr>
          <w:rFonts w:ascii="Arial" w:eastAsia="Arial" w:hAnsi="Arial" w:cs="Arial"/>
          <w:sz w:val="20"/>
          <w:szCs w:val="20"/>
          <w:lang w:val="en-GB" w:eastAsia="zh-TW"/>
        </w:rPr>
        <w:t xml:space="preserve">Crespi, E. J., Burnap, R. L., Chen, J., et al. (2022). Resolving the rules of robustness and resilience in biology across scales. Integrative and Comparative Biology, 61, 2163–2179.</w:t>
      </w:r>
    </w:p>
    <w:p>
      <w:pPr>
        <w:spacing w:line="360" w:lineRule="auto"/>
        <w:ind w:left="567" w:hanging="567"/>
        <w:jc w:val="both"/>
      </w:pPr>
      <w:r>
        <w:rPr>
          <w:rFonts w:ascii="Arial" w:eastAsia="Arial" w:hAnsi="Arial" w:cs="Arial"/>
          <w:sz w:val="20"/>
          <w:szCs w:val="20"/>
          <w:lang w:val="en-GB" w:eastAsia="zh-TW"/>
        </w:rPr>
        <w:t xml:space="preserve">Domínguez-García, V., Allen-Perkins, A., Bartomeus, I., Molina, F. P., &amp; Godoy, O. (2026). Plant–pollinator interaction rewiring boosts year-to-year community persistence. Ecology Letters. [verify volume]</w:t>
      </w:r>
    </w:p>
    <w:p>
      <w:pPr>
        <w:spacing w:line="360" w:lineRule="auto"/>
        <w:ind w:left="567" w:hanging="567"/>
        <w:jc w:val="both"/>
      </w:pPr>
      <w:r>
        <w:rPr>
          <w:rFonts w:ascii="Arial" w:eastAsia="Arial" w:hAnsi="Arial" w:cs="Arial"/>
          <w:sz w:val="20"/>
          <w:szCs w:val="20"/>
          <w:lang w:val="en-GB" w:eastAsia="zh-TW"/>
        </w:rPr>
        <w:t xml:space="preserve">Easterling, M. R., Ellner, S. P., &amp; Dixon, P. M. (2000). Size-specific sensitivity: Applying a new structured population model. Ecology, 81, 694–708.</w:t>
      </w:r>
    </w:p>
    <w:p>
      <w:pPr>
        <w:spacing w:line="360" w:lineRule="auto"/>
        <w:ind w:left="567" w:hanging="567"/>
        <w:jc w:val="both"/>
      </w:pPr>
      <w:r>
        <w:rPr>
          <w:rFonts w:ascii="Arial" w:eastAsia="Arial" w:hAnsi="Arial" w:cs="Arial"/>
          <w:sz w:val="20"/>
          <w:szCs w:val="20"/>
          <w:lang w:val="en-GB" w:eastAsia="zh-TW"/>
        </w:rPr>
        <w:t xml:space="preserve">Ehrlén, J., Morris, W. F., von Euler, T., &amp; Dahlgren, J. P. (2016). Advancing environmentally explicit structured population models of plants. Journal of Ecology, 104, 292–305.</w:t>
      </w:r>
    </w:p>
    <w:p>
      <w:pPr>
        <w:spacing w:line="360" w:lineRule="auto"/>
        <w:ind w:left="567" w:hanging="567"/>
        <w:jc w:val="both"/>
      </w:pPr>
      <w:r>
        <w:rPr>
          <w:rFonts w:ascii="Arial" w:eastAsia="Arial" w:hAnsi="Arial" w:cs="Arial"/>
          <w:sz w:val="20"/>
          <w:szCs w:val="20"/>
          <w:lang w:val="en-GB" w:eastAsia="zh-TW"/>
        </w:rPr>
        <w:t xml:space="preserve">Ellner, S. P., Snyder, R. E., Adler, P. B., &amp; Hooker, G. (2019). An expanded modern coexistence theory for empirical applications. Ecology Letters, 22, 3–18.</w:t>
      </w:r>
    </w:p>
    <w:p>
      <w:pPr>
        <w:spacing w:line="360" w:lineRule="auto"/>
        <w:ind w:left="567" w:hanging="567"/>
        <w:jc w:val="both"/>
      </w:pPr>
      <w:r>
        <w:rPr>
          <w:rFonts w:ascii="Arial" w:eastAsia="Arial" w:hAnsi="Arial" w:cs="Arial"/>
          <w:sz w:val="20"/>
          <w:szCs w:val="20"/>
          <w:lang w:val="en-GB" w:eastAsia="zh-TW"/>
        </w:rPr>
        <w:t xml:space="preserve">Elmqvist, T., Folke, C., Nyström, M., Peterson, G., Bengtsson, J., Walker, B., &amp; Norberg, J. (2003). Response diversity, ecosystem change, and resilience. Frontiers in Ecology and the Environment, 1, 488–494.</w:t>
      </w:r>
    </w:p>
    <w:p>
      <w:pPr>
        <w:spacing w:line="360" w:lineRule="auto"/>
        <w:ind w:left="567" w:hanging="567"/>
        <w:jc w:val="both"/>
      </w:pPr>
      <w:r>
        <w:rPr>
          <w:rFonts w:ascii="Arial" w:eastAsia="Arial" w:hAnsi="Arial" w:cs="Arial"/>
          <w:sz w:val="20"/>
          <w:szCs w:val="20"/>
          <w:lang w:val="en-GB" w:eastAsia="zh-TW"/>
        </w:rPr>
        <w:t xml:space="preserve">Falk, D. A., Watts, A. C., &amp; Thode, A. E. (2019). Scaling ecological resilience. Frontiers in Ecology and Evolution, 7, 275.</w:t>
      </w:r>
    </w:p>
    <w:p>
      <w:pPr>
        <w:spacing w:line="360" w:lineRule="auto"/>
        <w:ind w:left="567" w:hanging="567"/>
        <w:jc w:val="both"/>
      </w:pPr>
      <w:r>
        <w:rPr>
          <w:rFonts w:ascii="Arial" w:eastAsia="Arial" w:hAnsi="Arial" w:cs="Arial"/>
          <w:sz w:val="20"/>
          <w:szCs w:val="20"/>
          <w:lang w:val="en-GB" w:eastAsia="zh-TW"/>
        </w:rPr>
        <w:t xml:space="preserve">Giménez-Romero, À., Hernández, C., Genovart, M., &amp; Salguero-Gómez, R. (2025). Population structure plays a key role in community stability. Ecology Letters. [verify volume]</w:t>
      </w:r>
    </w:p>
    <w:p>
      <w:pPr>
        <w:spacing w:line="360" w:lineRule="auto"/>
        <w:ind w:left="567" w:hanging="567"/>
        <w:jc w:val="both"/>
      </w:pPr>
      <w:r>
        <w:rPr>
          <w:rFonts w:ascii="Arial" w:eastAsia="Arial" w:hAnsi="Arial" w:cs="Arial"/>
          <w:sz w:val="20"/>
          <w:szCs w:val="20"/>
          <w:lang w:val="en-GB" w:eastAsia="zh-TW"/>
        </w:rPr>
        <w:t xml:space="preserve">Hilde, C. H., Gamelon, M., Sæther, B.-E., Gaillard, J.-M., Yoccoz, N. G., &amp; Pélabon, C. (2020). The demographic buffering hypothesis: Evidence and challenges. Trends in Ecology &amp; Evolution, 35(6), 523–538.</w:t>
      </w:r>
    </w:p>
    <w:p>
      <w:pPr>
        <w:spacing w:line="360" w:lineRule="auto"/>
        <w:ind w:left="567" w:hanging="567"/>
        <w:jc w:val="both"/>
      </w:pPr>
      <w:r>
        <w:rPr>
          <w:rFonts w:ascii="Arial" w:eastAsia="Arial" w:hAnsi="Arial" w:cs="Arial"/>
          <w:sz w:val="20"/>
          <w:szCs w:val="20"/>
          <w:lang w:val="en-GB" w:eastAsia="zh-TW"/>
        </w:rPr>
        <w:t xml:space="preserve">Holling, C. S. (1973). Resilience and stability of ecological systems. Annual Review of Ecology and Systematics, 4, 1–23.</w:t>
      </w:r>
    </w:p>
    <w:p>
      <w:pPr>
        <w:spacing w:line="360" w:lineRule="auto"/>
        <w:ind w:left="567" w:hanging="567"/>
        <w:jc w:val="both"/>
      </w:pPr>
      <w:r>
        <w:rPr>
          <w:rFonts w:ascii="Arial" w:eastAsia="Arial" w:hAnsi="Arial" w:cs="Arial"/>
          <w:sz w:val="20"/>
          <w:szCs w:val="20"/>
          <w:lang w:val="en-GB" w:eastAsia="zh-TW"/>
        </w:rPr>
        <w:t xml:space="preserve">Jops, K., Dalling, J. W., &amp; O’Dwyer, J. P. (2025). Life history is a key driver of temporal fluctuations in tropical tree abundances. Proceedings of the National Academy of Sciences of the USA. [verify volume]</w:t>
      </w:r>
    </w:p>
    <w:p>
      <w:pPr>
        <w:spacing w:line="360" w:lineRule="auto"/>
        <w:ind w:left="567" w:hanging="567"/>
        <w:jc w:val="both"/>
      </w:pPr>
      <w:r>
        <w:rPr>
          <w:rFonts w:ascii="Arial" w:eastAsia="Arial" w:hAnsi="Arial" w:cs="Arial"/>
          <w:sz w:val="20"/>
          <w:szCs w:val="20"/>
          <w:lang w:val="en-GB" w:eastAsia="zh-TW"/>
        </w:rPr>
        <w:t xml:space="preserve">Kéfi, S., Domínguez-García, V., Donohue, I., Fontaine, C., Thébault, E., &amp; Dakos, V. (2019). Advancing our understanding of ecological stability. Ecology Letters, 22, 1349–1356. [verify]</w:t>
      </w:r>
    </w:p>
    <w:p>
      <w:pPr>
        <w:spacing w:line="360" w:lineRule="auto"/>
        <w:ind w:left="567" w:hanging="567"/>
        <w:jc w:val="both"/>
      </w:pPr>
      <w:r>
        <w:rPr>
          <w:rFonts w:ascii="Arial" w:eastAsia="Arial" w:hAnsi="Arial" w:cs="Arial"/>
          <w:sz w:val="20"/>
          <w:szCs w:val="20"/>
          <w:lang w:val="en-GB" w:eastAsia="zh-TW"/>
        </w:rPr>
        <w:t xml:space="preserve">Klanderud, K., &amp; Totland, Ø. (2005). The relative importance of neighbours and abiotic environmental conditions for population dynamic parameters of two alpine plant species. Journal of Ecology, 93, 493–501.</w:t>
      </w:r>
    </w:p>
    <w:p>
      <w:pPr>
        <w:spacing w:line="360" w:lineRule="auto"/>
        <w:ind w:left="567" w:hanging="567"/>
        <w:jc w:val="both"/>
      </w:pPr>
      <w:r>
        <w:rPr>
          <w:rFonts w:ascii="Arial" w:eastAsia="Arial" w:hAnsi="Arial" w:cs="Arial"/>
          <w:sz w:val="20"/>
          <w:szCs w:val="20"/>
          <w:lang w:val="en-GB" w:eastAsia="zh-TW"/>
        </w:rPr>
        <w:t xml:space="preserve">Kunze, C., Petchey, O. L., Ghosh, S., &amp; Hillebrand, H. (2026). Species interactions determine the importance of response diversity for community stability to pulse disturbances. Ecology Letters, 29, e70299.</w:t>
      </w:r>
    </w:p>
    <w:p>
      <w:pPr>
        <w:spacing w:line="360" w:lineRule="auto"/>
        <w:ind w:left="567" w:hanging="567"/>
        <w:jc w:val="both"/>
      </w:pPr>
      <w:r>
        <w:rPr>
          <w:rFonts w:ascii="Arial" w:eastAsia="Arial" w:hAnsi="Arial" w:cs="Arial"/>
          <w:sz w:val="20"/>
          <w:szCs w:val="20"/>
          <w:lang w:val="en-GB" w:eastAsia="zh-TW"/>
        </w:rPr>
        <w:t xml:space="preserve">Lin, H., Moorthy, S. M. K., Hector, A., &amp; Salguero-Gómez, R. (2026a). Still lost in definitions: How ‘resilience’ is used in ecology. bioRxiv, 2026.06.03.729936.</w:t>
      </w:r>
    </w:p>
    <w:p>
      <w:pPr>
        <w:spacing w:line="360" w:lineRule="auto"/>
        <w:ind w:left="567" w:hanging="567"/>
        <w:jc w:val="both"/>
      </w:pPr>
      <w:r>
        <w:rPr>
          <w:rFonts w:ascii="Arial" w:eastAsia="Arial" w:hAnsi="Arial" w:cs="Arial"/>
          <w:sz w:val="20"/>
          <w:szCs w:val="20"/>
          <w:lang w:val="en-GB" w:eastAsia="zh-TW"/>
        </w:rPr>
        <w:t xml:space="preserve">Lin, H., Hernandez, C., Jaggi, H., Zuo, W., Tuljapurkar, S. D., &amp; Salguero-Gómez, R. (2026b). Life history traits predict the contribution of transient dynamics to variation in population growth. bioRxiv, 2026.08.28.747639.</w:t>
      </w:r>
    </w:p>
    <w:p>
      <w:pPr>
        <w:spacing w:line="360" w:lineRule="auto"/>
        <w:ind w:left="567" w:hanging="567"/>
        <w:jc w:val="both"/>
      </w:pPr>
      <w:r>
        <w:rPr>
          <w:rFonts w:ascii="Arial" w:eastAsia="Arial" w:hAnsi="Arial" w:cs="Arial"/>
          <w:sz w:val="20"/>
          <w:szCs w:val="20"/>
          <w:lang w:val="en-GB" w:eastAsia="zh-TW"/>
        </w:rPr>
        <w:t xml:space="preserve">Lin, W., Li, Y., Mayfield, M. M., Shoemaker, L. G., Hallett, L. M., &amp; Chu, C. (2026). Interannual rainfall variability promotes species coexistence primarily through relative nonlinearity in interaction strength. Journal of Ecology. [verify volume]</w:t>
      </w:r>
    </w:p>
    <w:p>
      <w:pPr>
        <w:spacing w:line="360" w:lineRule="auto"/>
        <w:ind w:left="567" w:hanging="567"/>
        <w:jc w:val="both"/>
      </w:pPr>
      <w:r>
        <w:rPr>
          <w:rFonts w:ascii="Arial" w:eastAsia="Arial" w:hAnsi="Arial" w:cs="Arial"/>
          <w:sz w:val="20"/>
          <w:szCs w:val="20"/>
          <w:lang w:val="en-GB" w:eastAsia="zh-TW"/>
        </w:rPr>
        <w:t xml:space="preserve">Loreau, M., &amp; de Mazancourt, C. (2013). Biodiversity and ecosystem stability: A synthesis of underlying mechanisms. Ecology Letters, 16, 106–115.</w:t>
      </w:r>
    </w:p>
    <w:p>
      <w:pPr>
        <w:spacing w:line="360" w:lineRule="auto"/>
        <w:ind w:left="567" w:hanging="567"/>
        <w:jc w:val="both"/>
      </w:pPr>
      <w:r>
        <w:rPr>
          <w:rFonts w:ascii="Arial" w:eastAsia="Arial" w:hAnsi="Arial" w:cs="Arial"/>
          <w:sz w:val="20"/>
          <w:szCs w:val="20"/>
          <w:lang w:val="en-GB" w:eastAsia="zh-TW"/>
        </w:rPr>
        <w:t xml:space="preserve">Maestre, F. T., Callaway, R. M., Valladares, F., &amp; Lortie, C. J. (2009). Refining the stress-gradient hypothesis for competition and facilitation in plant communities. Journal of Ecology, 97, 199–205. [verify]</w:t>
      </w:r>
    </w:p>
    <w:p>
      <w:pPr>
        <w:spacing w:line="360" w:lineRule="auto"/>
        <w:ind w:left="567" w:hanging="567"/>
        <w:jc w:val="both"/>
      </w:pPr>
      <w:r>
        <w:rPr>
          <w:rFonts w:ascii="Arial" w:eastAsia="Arial" w:hAnsi="Arial" w:cs="Arial"/>
          <w:sz w:val="20"/>
          <w:szCs w:val="20"/>
          <w:lang w:val="en-GB" w:eastAsia="zh-TW"/>
        </w:rPr>
        <w:t xml:space="preserve">Mori, A. S., Furukawa, T., &amp; Sasaki, T. (2013). Response diversity determines the resilience of ecosystems to environmental change. Biological Reviews, 88, 349–364. [verify]</w:t>
      </w:r>
    </w:p>
    <w:p>
      <w:pPr>
        <w:spacing w:line="360" w:lineRule="auto"/>
        <w:ind w:left="567" w:hanging="567"/>
        <w:jc w:val="both"/>
      </w:pPr>
      <w:r>
        <w:rPr>
          <w:rFonts w:ascii="Arial" w:eastAsia="Arial" w:hAnsi="Arial" w:cs="Arial"/>
          <w:sz w:val="20"/>
          <w:szCs w:val="20"/>
          <w:lang w:val="en-GB" w:eastAsia="zh-TW"/>
        </w:rPr>
        <w:t xml:space="preserve">Morris, W. F., Pfister, C. A., Tuljapurkar, S., et al. (2008). Longevity can buffer plant and animal populations against changing climatic variability. Ecology, 89, 19–25. [verify]</w:t>
      </w:r>
    </w:p>
    <w:p>
      <w:pPr>
        <w:spacing w:line="360" w:lineRule="auto"/>
        <w:ind w:left="567" w:hanging="567"/>
        <w:jc w:val="both"/>
      </w:pPr>
      <w:r>
        <w:rPr>
          <w:rFonts w:ascii="Arial" w:eastAsia="Arial" w:hAnsi="Arial" w:cs="Arial"/>
          <w:sz w:val="20"/>
          <w:szCs w:val="20"/>
          <w:lang w:val="en-GB" w:eastAsia="zh-TW"/>
        </w:rPr>
        <w:t xml:space="preserve">Santos, G. S., Gascoigne, S. J. L., et al., Kajin, M., Salguero-Gómez, R., &amp; Dias, A. T. C. (2026). Demographic buffering in natural populations: A multi-level perspective. Journal of Animal Ecology. [verify volume and author list]</w:t>
      </w:r>
    </w:p>
    <w:p>
      <w:pPr>
        <w:spacing w:line="360" w:lineRule="auto"/>
        <w:ind w:left="567" w:hanging="567"/>
        <w:jc w:val="both"/>
      </w:pPr>
      <w:r>
        <w:rPr>
          <w:rFonts w:ascii="Arial" w:eastAsia="Arial" w:hAnsi="Arial" w:cs="Arial"/>
          <w:sz w:val="20"/>
          <w:szCs w:val="20"/>
          <w:lang w:val="en-GB" w:eastAsia="zh-TW"/>
        </w:rPr>
        <w:t xml:space="preserve">Segrestin, J., &amp; Lepš, J. (2022). Towards a better ecological understanding of metacommunity stability: A multiscale framework to disentangle population variability and synchrony effects. Journal of Ecology, 110, 1632–1645.</w:t>
      </w:r>
    </w:p>
    <w:p>
      <w:pPr>
        <w:spacing w:line="360" w:lineRule="auto"/>
        <w:ind w:left="567" w:hanging="567"/>
        <w:jc w:val="both"/>
      </w:pPr>
      <w:r>
        <w:rPr>
          <w:rFonts w:ascii="Arial" w:eastAsia="Arial" w:hAnsi="Arial" w:cs="Arial"/>
          <w:sz w:val="20"/>
          <w:szCs w:val="20"/>
          <w:lang w:val="en-GB" w:eastAsia="zh-TW"/>
        </w:rPr>
        <w:t xml:space="preserve">Teller, B. J., Adler, P. B., Edwards, C. B., Hooker, G., &amp; Ellner, S. P. (2016). Linking demography with drivers: Climate and competition. Methods in Ecology and Evolution, 7, 171–183.</w:t>
      </w:r>
    </w:p>
    <w:p>
      <w:pPr>
        <w:spacing w:line="360" w:lineRule="auto"/>
        <w:ind w:left="567" w:hanging="567"/>
        <w:jc w:val="both"/>
      </w:pPr>
      <w:r>
        <w:rPr>
          <w:rFonts w:ascii="Arial" w:eastAsia="Arial" w:hAnsi="Arial" w:cs="Arial"/>
          <w:sz w:val="20"/>
          <w:szCs w:val="20"/>
          <w:lang w:val="en-GB" w:eastAsia="zh-TW"/>
        </w:rPr>
        <w:t xml:space="preserve">Thibaut, L. M., &amp; Connolly, S. R. (2013). Understanding diversity–stability relationships: Towards a unified model of portfolio effects. Ecology Letters, 16, 140–150. [verify]</w:t>
      </w:r>
    </w:p>
    <w:p>
      <w:pPr>
        <w:spacing w:line="360" w:lineRule="auto"/>
        <w:ind w:left="567" w:hanging="567"/>
        <w:jc w:val="both"/>
      </w:pPr>
      <w:r>
        <w:rPr>
          <w:rFonts w:ascii="Arial" w:eastAsia="Arial" w:hAnsi="Arial" w:cs="Arial"/>
          <w:sz w:val="20"/>
          <w:szCs w:val="20"/>
          <w:lang w:val="en-GB" w:eastAsia="zh-TW"/>
        </w:rPr>
        <w:t xml:space="preserve">Tredennick, A. T., de Mazancourt, C., Loreau, M., &amp; Adler, P. B. (2017). Environmental responses, not species interactions, determine synchrony of dominant species in semiarid grasslands. Ecology, 98, 971–981.</w:t>
      </w:r>
    </w:p>
    <w:p>
      <w:pPr>
        <w:spacing w:line="360" w:lineRule="auto"/>
        <w:ind w:left="567" w:hanging="567"/>
        <w:jc w:val="both"/>
      </w:pPr>
      <w:r>
        <w:rPr>
          <w:rFonts w:ascii="Arial" w:eastAsia="Arial" w:hAnsi="Arial" w:cs="Arial"/>
          <w:sz w:val="20"/>
          <w:szCs w:val="20"/>
          <w:lang w:val="en-GB" w:eastAsia="zh-TW"/>
        </w:rPr>
        <w:t xml:space="preserve">Tylianakis, J. M., Didham, R. K., Bascompte, J., &amp; Wardle, D. A. (2008). Global change and species interactions in terrestrial ecosystems. Ecology Letters, 11, 1351–1363.</w:t>
      </w:r>
    </w:p>
    <w:p>
      <w:pPr>
        <w:spacing w:line="360" w:lineRule="auto"/>
        <w:ind w:left="567" w:hanging="567"/>
        <w:jc w:val="both"/>
      </w:pPr>
      <w:r>
        <w:rPr>
          <w:rFonts w:ascii="Arial" w:eastAsia="Arial" w:hAnsi="Arial" w:cs="Arial"/>
          <w:sz w:val="20"/>
          <w:szCs w:val="20"/>
          <w:lang w:val="en-GB" w:eastAsia="zh-TW"/>
        </w:rPr>
        <w:t xml:space="preserve">Van Dyke, M. N., Levine, J. M., &amp; Kraft, N. J. B. (2022). Small rainfall changes drive substantial changes in plant coexistence. Nature, 611, 507–511. [verify pages]</w:t>
      </w:r>
    </w:p>
    <w:p>
      <w:pPr>
        <w:spacing w:line="360" w:lineRule="auto"/>
        <w:ind w:left="567" w:hanging="567"/>
        <w:jc w:val="both"/>
      </w:pPr>
      <w:r>
        <w:rPr>
          <w:rFonts w:ascii="Arial" w:eastAsia="Arial" w:hAnsi="Arial" w:cs="Arial"/>
          <w:sz w:val="20"/>
          <w:szCs w:val="20"/>
          <w:lang w:val="en-GB" w:eastAsia="zh-TW"/>
        </w:rPr>
        <w:t xml:space="preserve">Vitousek, M. N., Taff, C. C., &amp; Williamson, J. L. (2025). Resilience and robustness: From sub-organismal responses to communities. Trends in Ecology &amp; Evolution, 40(5), 468–478.</w:t>
      </w:r>
    </w:p>
    <w:p>
      <w:pPr>
        <w:spacing w:line="360" w:lineRule="auto"/>
        <w:ind w:left="567" w:hanging="567"/>
        <w:jc w:val="both"/>
      </w:pPr>
      <w:r>
        <w:rPr>
          <w:rFonts w:ascii="Arial" w:eastAsia="Arial" w:hAnsi="Arial" w:cs="Arial"/>
          <w:sz w:val="20"/>
          <w:szCs w:val="20"/>
          <w:lang w:val="en-GB" w:eastAsia="zh-TW"/>
        </w:rPr>
        <w:t xml:space="preserve">Wootton, J. T. (1994). The nature and consequences of indirect effects in ecological communities. Annual Review of Ecology and Systematics, 25, 443–466. [verify]</w:t>
      </w:r>
    </w:p>
    <w:p>
      <w:pPr>
        <w:spacing w:line="360" w:lineRule="auto"/>
        <w:ind w:left="567" w:hanging="567"/>
        <w:jc w:val="both"/>
      </w:pPr>
      <w:r>
        <w:rPr>
          <w:rFonts w:ascii="Arial" w:eastAsia="Arial" w:hAnsi="Arial" w:cs="Arial"/>
          <w:sz w:val="20"/>
          <w:szCs w:val="20"/>
          <w:lang w:val="en-GB" w:eastAsia="zh-TW"/>
        </w:rPr>
        <w:t xml:space="preserve">Zachmann, L., Moffet, C., &amp; Adler, P. (2010). Mapped quadrats in sagebrush steppe: Long-term data for analyzing demographic rates and plant–plant interactions. Ecology, 91(11), 3427.</w:t>
      </w:r>
    </w:p>
    <w:p>
      <w:pPr>
        <w:spacing w:line="360" w:lineRule="auto"/>
        <w:ind w:left="567" w:hanging="567"/>
        <w:jc w:val="both"/>
      </w:pPr>
      <w:r>
        <w:rPr>
          <w:rFonts w:ascii="Arial" w:eastAsia="Arial" w:hAnsi="Arial" w:cs="Arial"/>
          <w:sz w:val="20"/>
          <w:szCs w:val="20"/>
          <w:lang w:val="en-GB" w:eastAsia="zh-TW"/>
        </w:rPr>
        <w:t xml:space="preserve">Zhao, L., Wang, S., Shen, R., Gong, Y., Wang, C., Hong, P., &amp; Reuman, D. C. (2022). Biodiversity stabilizes plant communities through statistical-averaging effects rather than compensatory dynamics. Nature Communications, 13, 7804.</w:t>
      </w:r>
    </w:p>
    <w:sectPr w:rsidR="00CF6FBE" w:rsidRPr="00F230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564"/>
    <w:rsid w:val="00003E9F"/>
    <w:rsid w:val="001104D2"/>
    <w:rsid w:val="00310E0E"/>
    <w:rsid w:val="00342A74"/>
    <w:rsid w:val="003456FA"/>
    <w:rsid w:val="004C0D80"/>
    <w:rsid w:val="004D3016"/>
    <w:rsid w:val="0056296E"/>
    <w:rsid w:val="006D34D0"/>
    <w:rsid w:val="007771D1"/>
    <w:rsid w:val="00792BCD"/>
    <w:rsid w:val="00930564"/>
    <w:rsid w:val="009428B9"/>
    <w:rsid w:val="00AE685B"/>
    <w:rsid w:val="00C074F7"/>
    <w:rsid w:val="00CC16ED"/>
    <w:rsid w:val="00CF6FBE"/>
    <w:rsid w:val="00D75C64"/>
    <w:rsid w:val="00D8233C"/>
    <w:rsid w:val="00DC3A4C"/>
    <w:rsid w:val="00E456C9"/>
    <w:rsid w:val="00E609C9"/>
    <w:rsid w:val="00EE7670"/>
    <w:rsid w:val="00F2300D"/>
    <w:rsid w:val="00F50B81"/>
    <w:rsid w:val="00F8504A"/>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8E1DA30"/>
  <w15:chartTrackingRefBased/>
  <w15:docId w15:val="{2E3CF645-619A-7C4F-B3A1-83E48FDF5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564"/>
    <w:pPr>
      <w:widowControl w:val="0"/>
      <w:spacing w:after="0" w:line="240" w:lineRule="auto"/>
      <w:jc w:val="both"/>
    </w:pPr>
    <w:rPr>
      <w:rFonts w:ascii="DengXian" w:eastAsia="DengXian" w:hAnsi="DengXian" w:cs="DengXian"/>
      <w:kern w:val="0"/>
      <w:sz w:val="21"/>
      <w:szCs w:val="21"/>
      <w:lang w:eastAsia="zh-CN"/>
      <w14:ligatures w14:val="none"/>
    </w:rPr>
  </w:style>
  <w:style w:type="paragraph" w:styleId="Heading1">
    <w:name w:val="heading 1"/>
    <w:basedOn w:val="Normal"/>
    <w:next w:val="Normal"/>
    <w:link w:val="Heading1Char"/>
    <w:uiPriority w:val="9"/>
    <w:qFormat/>
    <w:rsid w:val="00930564"/>
    <w:pPr>
      <w:keepNext/>
      <w:keepLines/>
      <w:widowControl/>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eastAsia="zh-TW"/>
      <w14:ligatures w14:val="standardContextual"/>
    </w:rPr>
  </w:style>
  <w:style w:type="paragraph" w:styleId="Heading2">
    <w:name w:val="heading 2"/>
    <w:basedOn w:val="Normal"/>
    <w:next w:val="Normal"/>
    <w:link w:val="Heading2Char"/>
    <w:uiPriority w:val="9"/>
    <w:semiHidden/>
    <w:unhideWhenUsed/>
    <w:qFormat/>
    <w:rsid w:val="00930564"/>
    <w:pPr>
      <w:keepNext/>
      <w:keepLines/>
      <w:widowControl/>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eastAsia="zh-TW"/>
      <w14:ligatures w14:val="standardContextual"/>
    </w:rPr>
  </w:style>
  <w:style w:type="paragraph" w:styleId="Heading3">
    <w:name w:val="heading 3"/>
    <w:basedOn w:val="Normal"/>
    <w:next w:val="Normal"/>
    <w:link w:val="Heading3Char"/>
    <w:uiPriority w:val="9"/>
    <w:semiHidden/>
    <w:unhideWhenUsed/>
    <w:qFormat/>
    <w:rsid w:val="00930564"/>
    <w:pPr>
      <w:keepNext/>
      <w:keepLines/>
      <w:widowControl/>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eastAsia="zh-TW"/>
      <w14:ligatures w14:val="standardContextual"/>
    </w:rPr>
  </w:style>
  <w:style w:type="paragraph" w:styleId="Heading4">
    <w:name w:val="heading 4"/>
    <w:basedOn w:val="Normal"/>
    <w:next w:val="Normal"/>
    <w:link w:val="Heading4Char"/>
    <w:uiPriority w:val="9"/>
    <w:semiHidden/>
    <w:unhideWhenUsed/>
    <w:qFormat/>
    <w:rsid w:val="00930564"/>
    <w:pPr>
      <w:keepNext/>
      <w:keepLines/>
      <w:widowControl/>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lang w:eastAsia="zh-TW"/>
      <w14:ligatures w14:val="standardContextual"/>
    </w:rPr>
  </w:style>
  <w:style w:type="paragraph" w:styleId="Heading5">
    <w:name w:val="heading 5"/>
    <w:basedOn w:val="Normal"/>
    <w:next w:val="Normal"/>
    <w:link w:val="Heading5Char"/>
    <w:uiPriority w:val="9"/>
    <w:semiHidden/>
    <w:unhideWhenUsed/>
    <w:qFormat/>
    <w:rsid w:val="00930564"/>
    <w:pPr>
      <w:keepNext/>
      <w:keepLines/>
      <w:widowControl/>
      <w:spacing w:before="80" w:after="40" w:line="278" w:lineRule="auto"/>
      <w:jc w:val="left"/>
      <w:outlineLvl w:val="4"/>
    </w:pPr>
    <w:rPr>
      <w:rFonts w:asciiTheme="minorHAnsi" w:eastAsiaTheme="majorEastAsia" w:hAnsiTheme="minorHAnsi" w:cstheme="majorBidi"/>
      <w:color w:val="0F4761" w:themeColor="accent1" w:themeShade="BF"/>
      <w:kern w:val="2"/>
      <w:sz w:val="24"/>
      <w:szCs w:val="24"/>
      <w:lang w:eastAsia="zh-TW"/>
      <w14:ligatures w14:val="standardContextual"/>
    </w:rPr>
  </w:style>
  <w:style w:type="paragraph" w:styleId="Heading6">
    <w:name w:val="heading 6"/>
    <w:basedOn w:val="Normal"/>
    <w:next w:val="Normal"/>
    <w:link w:val="Heading6Char"/>
    <w:uiPriority w:val="9"/>
    <w:semiHidden/>
    <w:unhideWhenUsed/>
    <w:qFormat/>
    <w:rsid w:val="00930564"/>
    <w:pPr>
      <w:keepNext/>
      <w:keepLines/>
      <w:widowControl/>
      <w:spacing w:before="40" w:line="278" w:lineRule="auto"/>
      <w:jc w:val="left"/>
      <w:outlineLvl w:val="5"/>
    </w:pPr>
    <w:rPr>
      <w:rFonts w:asciiTheme="minorHAnsi" w:eastAsiaTheme="majorEastAsia" w:hAnsiTheme="minorHAnsi" w:cstheme="majorBidi"/>
      <w:i/>
      <w:iCs/>
      <w:color w:val="595959" w:themeColor="text1" w:themeTint="A6"/>
      <w:kern w:val="2"/>
      <w:sz w:val="24"/>
      <w:szCs w:val="24"/>
      <w:lang w:eastAsia="zh-TW"/>
      <w14:ligatures w14:val="standardContextual"/>
    </w:rPr>
  </w:style>
  <w:style w:type="paragraph" w:styleId="Heading7">
    <w:name w:val="heading 7"/>
    <w:basedOn w:val="Normal"/>
    <w:next w:val="Normal"/>
    <w:link w:val="Heading7Char"/>
    <w:uiPriority w:val="9"/>
    <w:semiHidden/>
    <w:unhideWhenUsed/>
    <w:qFormat/>
    <w:rsid w:val="00930564"/>
    <w:pPr>
      <w:keepNext/>
      <w:keepLines/>
      <w:widowControl/>
      <w:spacing w:before="40" w:line="278" w:lineRule="auto"/>
      <w:jc w:val="left"/>
      <w:outlineLvl w:val="6"/>
    </w:pPr>
    <w:rPr>
      <w:rFonts w:asciiTheme="minorHAnsi" w:eastAsiaTheme="majorEastAsia" w:hAnsiTheme="minorHAnsi" w:cstheme="majorBidi"/>
      <w:color w:val="595959" w:themeColor="text1" w:themeTint="A6"/>
      <w:kern w:val="2"/>
      <w:sz w:val="24"/>
      <w:szCs w:val="24"/>
      <w:lang w:eastAsia="zh-TW"/>
      <w14:ligatures w14:val="standardContextual"/>
    </w:rPr>
  </w:style>
  <w:style w:type="paragraph" w:styleId="Heading8">
    <w:name w:val="heading 8"/>
    <w:basedOn w:val="Normal"/>
    <w:next w:val="Normal"/>
    <w:link w:val="Heading8Char"/>
    <w:uiPriority w:val="9"/>
    <w:semiHidden/>
    <w:unhideWhenUsed/>
    <w:qFormat/>
    <w:rsid w:val="00930564"/>
    <w:pPr>
      <w:keepNext/>
      <w:keepLines/>
      <w:widowControl/>
      <w:spacing w:line="278" w:lineRule="auto"/>
      <w:jc w:val="left"/>
      <w:outlineLvl w:val="7"/>
    </w:pPr>
    <w:rPr>
      <w:rFonts w:asciiTheme="minorHAnsi" w:eastAsiaTheme="majorEastAsia" w:hAnsiTheme="minorHAnsi" w:cstheme="majorBidi"/>
      <w:i/>
      <w:iCs/>
      <w:color w:val="272727" w:themeColor="text1" w:themeTint="D8"/>
      <w:kern w:val="2"/>
      <w:sz w:val="24"/>
      <w:szCs w:val="24"/>
      <w:lang w:eastAsia="zh-TW"/>
      <w14:ligatures w14:val="standardContextual"/>
    </w:rPr>
  </w:style>
  <w:style w:type="paragraph" w:styleId="Heading9">
    <w:name w:val="heading 9"/>
    <w:basedOn w:val="Normal"/>
    <w:next w:val="Normal"/>
    <w:link w:val="Heading9Char"/>
    <w:uiPriority w:val="9"/>
    <w:semiHidden/>
    <w:unhideWhenUsed/>
    <w:qFormat/>
    <w:rsid w:val="00930564"/>
    <w:pPr>
      <w:keepNext/>
      <w:keepLines/>
      <w:widowControl/>
      <w:spacing w:line="278" w:lineRule="auto"/>
      <w:jc w:val="left"/>
      <w:outlineLvl w:val="8"/>
    </w:pPr>
    <w:rPr>
      <w:rFonts w:asciiTheme="minorHAnsi" w:eastAsiaTheme="majorEastAsia" w:hAnsiTheme="minorHAnsi" w:cstheme="majorBidi"/>
      <w:color w:val="272727" w:themeColor="text1" w:themeTint="D8"/>
      <w:kern w:val="2"/>
      <w:sz w:val="24"/>
      <w:szCs w:val="24"/>
      <w:lang w:eastAsia="zh-TW"/>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564"/>
    <w:rPr>
      <w:rFonts w:eastAsiaTheme="majorEastAsia" w:cstheme="majorBidi"/>
      <w:color w:val="272727" w:themeColor="text1" w:themeTint="D8"/>
    </w:rPr>
  </w:style>
  <w:style w:type="paragraph" w:styleId="Title">
    <w:name w:val="Title"/>
    <w:basedOn w:val="Normal"/>
    <w:next w:val="Normal"/>
    <w:link w:val="TitleChar"/>
    <w:uiPriority w:val="10"/>
    <w:qFormat/>
    <w:rsid w:val="00930564"/>
    <w:pPr>
      <w:widowControl/>
      <w:spacing w:after="80"/>
      <w:contextualSpacing/>
      <w:jc w:val="left"/>
    </w:pPr>
    <w:rPr>
      <w:rFonts w:asciiTheme="majorHAnsi" w:eastAsiaTheme="majorEastAsia" w:hAnsiTheme="majorHAnsi" w:cstheme="majorBidi"/>
      <w:spacing w:val="-10"/>
      <w:kern w:val="28"/>
      <w:sz w:val="56"/>
      <w:szCs w:val="56"/>
      <w:lang w:eastAsia="zh-TW"/>
      <w14:ligatures w14:val="standardContextual"/>
    </w:rPr>
  </w:style>
  <w:style w:type="character" w:customStyle="1" w:styleId="TitleChar">
    <w:name w:val="Title Char"/>
    <w:basedOn w:val="DefaultParagraphFont"/>
    <w:link w:val="Title"/>
    <w:uiPriority w:val="10"/>
    <w:rsid w:val="00930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564"/>
    <w:pPr>
      <w:widowControl/>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eastAsia="zh-TW"/>
      <w14:ligatures w14:val="standardContextual"/>
    </w:rPr>
  </w:style>
  <w:style w:type="character" w:customStyle="1" w:styleId="SubtitleChar">
    <w:name w:val="Subtitle Char"/>
    <w:basedOn w:val="DefaultParagraphFont"/>
    <w:link w:val="Subtitle"/>
    <w:uiPriority w:val="11"/>
    <w:rsid w:val="00930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564"/>
    <w:pPr>
      <w:widowControl/>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TW"/>
      <w14:ligatures w14:val="standardContextual"/>
    </w:rPr>
  </w:style>
  <w:style w:type="character" w:customStyle="1" w:styleId="QuoteChar">
    <w:name w:val="Quote Char"/>
    <w:basedOn w:val="DefaultParagraphFont"/>
    <w:link w:val="Quote"/>
    <w:uiPriority w:val="29"/>
    <w:rsid w:val="00930564"/>
    <w:rPr>
      <w:i/>
      <w:iCs/>
      <w:color w:val="404040" w:themeColor="text1" w:themeTint="BF"/>
    </w:rPr>
  </w:style>
  <w:style w:type="paragraph" w:styleId="ListParagraph">
    <w:name w:val="List Paragraph"/>
    <w:basedOn w:val="Normal"/>
    <w:uiPriority w:val="34"/>
    <w:qFormat/>
    <w:rsid w:val="00930564"/>
    <w:pPr>
      <w:widowControl/>
      <w:spacing w:after="160" w:line="278" w:lineRule="auto"/>
      <w:ind w:left="720"/>
      <w:contextualSpacing/>
      <w:jc w:val="left"/>
    </w:pPr>
    <w:rPr>
      <w:rFonts w:asciiTheme="minorHAnsi" w:eastAsiaTheme="minorEastAsia" w:hAnsiTheme="minorHAnsi" w:cstheme="minorBidi"/>
      <w:kern w:val="2"/>
      <w:sz w:val="24"/>
      <w:szCs w:val="24"/>
      <w:lang w:eastAsia="zh-TW"/>
      <w14:ligatures w14:val="standardContextual"/>
    </w:rPr>
  </w:style>
  <w:style w:type="character" w:styleId="IntenseEmphasis">
    <w:name w:val="Intense Emphasis"/>
    <w:basedOn w:val="DefaultParagraphFont"/>
    <w:uiPriority w:val="21"/>
    <w:qFormat/>
    <w:rsid w:val="00930564"/>
    <w:rPr>
      <w:i/>
      <w:iCs/>
      <w:color w:val="0F4761" w:themeColor="accent1" w:themeShade="BF"/>
    </w:rPr>
  </w:style>
  <w:style w:type="paragraph" w:styleId="IntenseQuote">
    <w:name w:val="Intense Quote"/>
    <w:basedOn w:val="Normal"/>
    <w:next w:val="Normal"/>
    <w:link w:val="IntenseQuoteChar"/>
    <w:uiPriority w:val="30"/>
    <w:qFormat/>
    <w:rsid w:val="00930564"/>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eastAsia="zh-TW"/>
      <w14:ligatures w14:val="standardContextual"/>
    </w:rPr>
  </w:style>
  <w:style w:type="character" w:customStyle="1" w:styleId="IntenseQuoteChar">
    <w:name w:val="Intense Quote Char"/>
    <w:basedOn w:val="DefaultParagraphFont"/>
    <w:link w:val="IntenseQuote"/>
    <w:uiPriority w:val="30"/>
    <w:rsid w:val="00930564"/>
    <w:rPr>
      <w:i/>
      <w:iCs/>
      <w:color w:val="0F4761" w:themeColor="accent1" w:themeShade="BF"/>
    </w:rPr>
  </w:style>
  <w:style w:type="character" w:styleId="IntenseReference">
    <w:name w:val="Intense Reference"/>
    <w:basedOn w:val="DefaultParagraphFont"/>
    <w:uiPriority w:val="32"/>
    <w:qFormat/>
    <w:rsid w:val="00930564"/>
    <w:rPr>
      <w:b/>
      <w:bCs/>
      <w:smallCaps/>
      <w:color w:val="0F4761" w:themeColor="accent1" w:themeShade="BF"/>
      <w:spacing w:val="5"/>
    </w:rPr>
  </w:style>
  <w:style w:type="character" w:styleId="Hyperlink">
    <w:name w:val="Hyperlink"/>
    <w:basedOn w:val="DefaultParagraphFont"/>
    <w:uiPriority w:val="99"/>
    <w:unhideWhenUsed/>
    <w:rsid w:val="0093056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rob.salguero@biology.ox.ac.uk" TargetMode="External"/><Relationship Id="rId4" Type="http://schemas.openxmlformats.org/officeDocument/2006/relationships/hyperlink" Target="mailto:hung-wei.lin@biology.ox.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Hung-Wei Lin</dc:creator>
  <cp:keywords/>
  <dc:description/>
  <cp:lastModifiedBy>Hung-Wei Lin</cp:lastModifiedBy>
  <cp:revision>17</cp:revision>
  <dcterms:created xsi:type="dcterms:W3CDTF">2026-10-17T15:00:00Z</dcterms:created>
  <dcterms:modified xsi:type="dcterms:W3CDTF">2026-10-17T17:10:00Z</dcterms:modified>
</cp:coreProperties>
</file>