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2D2587A" w14:textId="77777777" w:rsidR="001E0795" w:rsidRPr="00541B1C" w:rsidRDefault="00000000" w:rsidP="001E0795">
      <w:pPr>
        <w:spacing w:after="40"/>
        <w:jc w:val="center"/>
        <w:rPr>
          <w:sz w:val="32"/>
          <w:szCs w:val="32"/>
        </w:rPr>
      </w:pPr>
      <w:r w:rsidRPr="00541B1C">
        <w:rPr>
          <w:rFonts w:eastAsia="Calibri"/>
          <w:b/>
          <w:bCs/>
          <w:color w:val="1F3864"/>
          <w:sz w:val="32"/>
          <w:szCs w:val="32"/>
        </w:rPr>
        <w:t>Integrating resilience from individual to community</w:t>
      </w:r>
    </w:p>
    <w:p w14:paraId="1BB73CF2" w14:textId="7149F32B" w:rsidR="00925561" w:rsidRDefault="00000000" w:rsidP="001E0795">
      <w:pPr>
        <w:spacing w:after="40"/>
        <w:jc w:val="center"/>
      </w:pPr>
      <w:r>
        <w:rPr>
          <w:rFonts w:eastAsia="Calibri"/>
          <w:color w:val="555555"/>
          <w:sz w:val="19"/>
          <w:szCs w:val="19"/>
        </w:rPr>
        <w:t>Hung-wei Lin</w:t>
      </w:r>
      <w:r w:rsidR="003D1375">
        <w:rPr>
          <w:rFonts w:eastAsia="Calibri" w:hint="eastAsia"/>
          <w:color w:val="555555"/>
          <w:sz w:val="19"/>
          <w:szCs w:val="19"/>
          <w:lang w:eastAsia="zh-TW"/>
        </w:rPr>
        <w:t>,</w:t>
      </w:r>
      <w:r>
        <w:rPr>
          <w:rFonts w:eastAsia="Calibri"/>
          <w:color w:val="555555"/>
          <w:sz w:val="19"/>
          <w:szCs w:val="19"/>
        </w:rPr>
        <w:t xml:space="preserve"> September 2026</w:t>
      </w:r>
    </w:p>
    <w:p w14:paraId="5FA9DE10" w14:textId="493C7366" w:rsidR="00925561" w:rsidRDefault="00000000">
      <w:pPr>
        <w:pStyle w:val="Heading1"/>
        <w:spacing w:before="240" w:after="110"/>
      </w:pPr>
      <w:r>
        <w:rPr>
          <w:rFonts w:eastAsia="Calibri"/>
          <w:b/>
          <w:bCs/>
          <w:color w:val="1F3864"/>
          <w:sz w:val="26"/>
          <w:szCs w:val="26"/>
        </w:rPr>
        <w:t xml:space="preserve">1 </w:t>
      </w:r>
      <w:r w:rsidR="00487D89">
        <w:rPr>
          <w:rFonts w:eastAsia="Calibri" w:hint="eastAsia"/>
          <w:b/>
          <w:bCs/>
          <w:color w:val="1F3864"/>
          <w:sz w:val="26"/>
          <w:szCs w:val="26"/>
          <w:lang w:eastAsia="zh-TW"/>
        </w:rPr>
        <w:t>Q</w:t>
      </w:r>
      <w:r>
        <w:rPr>
          <w:rFonts w:eastAsia="Calibri"/>
          <w:b/>
          <w:bCs/>
          <w:color w:val="1F3864"/>
          <w:sz w:val="26"/>
          <w:szCs w:val="26"/>
        </w:rPr>
        <w:t>uestion</w:t>
      </w:r>
    </w:p>
    <w:p w14:paraId="05B58221" w14:textId="71051D84" w:rsidR="002D6A18" w:rsidRDefault="002D6A18">
      <w:pPr>
        <w:spacing w:after="110" w:line="264" w:lineRule="auto"/>
        <w:jc w:val="both"/>
        <w:rPr>
          <w:rFonts w:eastAsia="Calibri"/>
          <w:lang w:eastAsia="zh-TW"/>
        </w:rPr>
      </w:pPr>
      <w:r w:rsidRPr="002D6A18">
        <w:rPr>
          <w:rFonts w:eastAsia="Calibri"/>
        </w:rPr>
        <w:t xml:space="preserve">Resilience is a property that can be read at more than one level of biological organisation, and the readings need not agree. </w:t>
      </w:r>
      <w:r w:rsidR="0071657F">
        <w:rPr>
          <w:rFonts w:eastAsia="Calibri" w:hint="eastAsia"/>
          <w:lang w:eastAsia="zh-TW"/>
        </w:rPr>
        <w:t>For example, a</w:t>
      </w:r>
      <w:r w:rsidRPr="002D6A18">
        <w:rPr>
          <w:rFonts w:eastAsia="Calibri"/>
        </w:rPr>
        <w:t xml:space="preserve"> drought may lower some vital rates of plant individuals while their population growth rate persists, or suppress some populations while total community cover remains stable. This project measures resilience at all three levels (</w:t>
      </w:r>
      <w:r w:rsidRPr="002200E3">
        <w:rPr>
          <w:rFonts w:eastAsia="Calibri"/>
          <w:i/>
          <w:iCs/>
        </w:rPr>
        <w:t>i.e.</w:t>
      </w:r>
      <w:r w:rsidRPr="002200E3">
        <w:rPr>
          <w:rFonts w:eastAsia="Calibri"/>
        </w:rPr>
        <w:t>,</w:t>
      </w:r>
      <w:r w:rsidRPr="002D6A18">
        <w:rPr>
          <w:rFonts w:eastAsia="Calibri"/>
        </w:rPr>
        <w:t xml:space="preserve"> individual, po</w:t>
      </w:r>
      <w:r>
        <w:rPr>
          <w:rFonts w:eastAsia="Calibri" w:hint="eastAsia"/>
          <w:lang w:eastAsia="zh-TW"/>
        </w:rPr>
        <w:t>pu</w:t>
      </w:r>
      <w:r w:rsidRPr="002D6A18">
        <w:rPr>
          <w:rFonts w:eastAsia="Calibri"/>
        </w:rPr>
        <w:t>lation</w:t>
      </w:r>
      <w:r w:rsidR="002200E3">
        <w:rPr>
          <w:rFonts w:eastAsia="Calibri" w:hint="eastAsia"/>
          <w:lang w:eastAsia="zh-TW"/>
        </w:rPr>
        <w:t xml:space="preserve"> &amp;</w:t>
      </w:r>
      <w:r w:rsidRPr="002D6A18">
        <w:rPr>
          <w:rFonts w:eastAsia="Calibri"/>
        </w:rPr>
        <w:t xml:space="preserve"> community) in one system, from the same data, with one model, and asks what governs each reading.</w:t>
      </w:r>
    </w:p>
    <w:p w14:paraId="1A7E69F6" w14:textId="77777777" w:rsidR="00FE11AF" w:rsidRDefault="00000000">
      <w:pPr>
        <w:spacing w:after="110" w:line="264" w:lineRule="auto"/>
        <w:jc w:val="both"/>
        <w:rPr>
          <w:rFonts w:eastAsia="Calibri"/>
          <w:i/>
          <w:iCs/>
          <w:lang w:eastAsia="zh-TW"/>
        </w:rPr>
      </w:pPr>
      <w:r>
        <w:rPr>
          <w:rFonts w:eastAsia="Calibri"/>
          <w:b/>
          <w:bCs/>
        </w:rPr>
        <w:t xml:space="preserve">Q1.  </w:t>
      </w:r>
      <w:r w:rsidR="00FE11AF" w:rsidRPr="00CF1EA8">
        <w:rPr>
          <w:rFonts w:eastAsia="Calibri"/>
          <w:b/>
          <w:bCs/>
          <w:i/>
          <w:iCs/>
        </w:rPr>
        <w:t>When factors at every level are considered together, which of them governs how strongly an individual, a population, and the whole community respond to environmental change?</w:t>
      </w:r>
      <w:r w:rsidR="00FE11AF" w:rsidRPr="00FE11AF">
        <w:rPr>
          <w:rFonts w:eastAsia="Calibri"/>
          <w:i/>
          <w:iCs/>
        </w:rPr>
        <w:t xml:space="preserve"> </w:t>
      </w:r>
    </w:p>
    <w:p w14:paraId="1D0FEE1C" w14:textId="2B57CA1B" w:rsidR="00FE11AF" w:rsidRPr="00FE11AF" w:rsidRDefault="00FE11AF">
      <w:pPr>
        <w:spacing w:after="110" w:line="264" w:lineRule="auto"/>
        <w:jc w:val="both"/>
        <w:rPr>
          <w:rFonts w:eastAsia="Calibri"/>
          <w:lang w:eastAsia="zh-TW"/>
        </w:rPr>
      </w:pPr>
      <w:r w:rsidRPr="00FE11AF">
        <w:rPr>
          <w:rFonts w:eastAsia="Calibri"/>
        </w:rPr>
        <w:t>The candidates are the individual's own size, life-history traits of its populations, and the density of conspecific and heterospecific neighbours</w:t>
      </w:r>
      <w:r w:rsidR="00003E41">
        <w:rPr>
          <w:rFonts w:eastAsia="Calibri" w:hint="eastAsia"/>
          <w:lang w:eastAsia="zh-TW"/>
        </w:rPr>
        <w:t xml:space="preserve"> (intraspecific and interspecific interaction)</w:t>
      </w:r>
      <w:r w:rsidRPr="00FE11AF">
        <w:rPr>
          <w:rFonts w:eastAsia="Calibri"/>
        </w:rPr>
        <w:t xml:space="preserve">. </w:t>
      </w:r>
      <w:r w:rsidR="005C60B4">
        <w:rPr>
          <w:rFonts w:eastAsia="Calibri" w:hint="eastAsia"/>
          <w:lang w:eastAsia="zh-TW"/>
        </w:rPr>
        <w:t>Ideally, we should measure t</w:t>
      </w:r>
      <w:r w:rsidRPr="00FE11AF">
        <w:rPr>
          <w:rFonts w:eastAsia="Calibri"/>
        </w:rPr>
        <w:t>he environment both as the microsite a plant occupies and as the climate of the year.</w:t>
      </w:r>
    </w:p>
    <w:p w14:paraId="64A5050C" w14:textId="77777777" w:rsidR="00EA7BE1" w:rsidRDefault="00000000">
      <w:pPr>
        <w:spacing w:after="110" w:line="264" w:lineRule="auto"/>
        <w:jc w:val="both"/>
        <w:rPr>
          <w:rFonts w:eastAsia="Calibri"/>
          <w:i/>
          <w:iCs/>
          <w:lang w:eastAsia="zh-TW"/>
        </w:rPr>
      </w:pPr>
      <w:r>
        <w:rPr>
          <w:rFonts w:eastAsia="Calibri"/>
          <w:b/>
          <w:bCs/>
        </w:rPr>
        <w:t xml:space="preserve">Q2.  </w:t>
      </w:r>
      <w:r w:rsidRPr="00CF1EA8">
        <w:rPr>
          <w:rFonts w:eastAsia="Calibri"/>
          <w:b/>
          <w:bCs/>
          <w:i/>
          <w:iCs/>
        </w:rPr>
        <w:t xml:space="preserve">Do the strengths of conspecific and heterospecific effects shift with environmental conditions, and does that shifting raise the resilience of the community? </w:t>
      </w:r>
    </w:p>
    <w:p w14:paraId="4EC2F581" w14:textId="2851407D" w:rsidR="00CF1EA8" w:rsidRDefault="00AA5376">
      <w:pPr>
        <w:spacing w:after="110" w:line="264" w:lineRule="auto"/>
        <w:jc w:val="both"/>
        <w:rPr>
          <w:rFonts w:eastAsia="Calibri" w:hint="eastAsia"/>
          <w:lang w:eastAsia="zh-TW"/>
        </w:rPr>
      </w:pPr>
      <w:r>
        <w:rPr>
          <w:rFonts w:eastAsia="Calibri" w:hint="eastAsia"/>
          <w:lang w:eastAsia="zh-TW"/>
        </w:rPr>
        <w:t>Q2</w:t>
      </w:r>
      <w:r w:rsidR="00000000" w:rsidRPr="00EA7BE1">
        <w:rPr>
          <w:rFonts w:eastAsia="Calibri"/>
        </w:rPr>
        <w:t xml:space="preserve"> </w:t>
      </w:r>
      <w:r>
        <w:rPr>
          <w:rFonts w:eastAsia="Calibri" w:hint="eastAsia"/>
          <w:lang w:eastAsia="zh-TW"/>
        </w:rPr>
        <w:t xml:space="preserve">can be </w:t>
      </w:r>
      <w:r w:rsidR="00000000" w:rsidRPr="00EA7BE1">
        <w:rPr>
          <w:rFonts w:eastAsia="Calibri"/>
        </w:rPr>
        <w:t>answered by holding those strengths fixed and recomputing the resilience measures</w:t>
      </w:r>
      <w:r w:rsidR="002434FC">
        <w:rPr>
          <w:rFonts w:eastAsia="Calibri" w:hint="eastAsia"/>
          <w:lang w:eastAsia="zh-TW"/>
        </w:rPr>
        <w:t xml:space="preserve"> under different </w:t>
      </w:r>
      <w:r w:rsidR="002434FC">
        <w:rPr>
          <w:rFonts w:eastAsia="Calibri"/>
          <w:lang w:eastAsia="zh-TW"/>
        </w:rPr>
        <w:t>scenarios</w:t>
      </w:r>
      <w:r w:rsidR="00000000" w:rsidRPr="00EA7BE1">
        <w:rPr>
          <w:rFonts w:eastAsia="Calibri"/>
        </w:rPr>
        <w:t>.</w:t>
      </w:r>
      <w:r w:rsidR="00F323CD">
        <w:rPr>
          <w:rFonts w:eastAsia="Calibri" w:hint="eastAsia"/>
          <w:lang w:eastAsia="zh-TW"/>
        </w:rPr>
        <w:t xml:space="preserve"> (see example diagram below)</w:t>
      </w:r>
    </w:p>
    <w:p w14:paraId="50E993C9" w14:textId="69CBFFCA" w:rsidR="00AA5376" w:rsidRPr="00EA7BE1" w:rsidRDefault="00E37037" w:rsidP="009B1577">
      <w:pPr>
        <w:spacing w:before="240" w:after="110" w:line="264" w:lineRule="auto"/>
        <w:jc w:val="center"/>
        <w:rPr>
          <w:rFonts w:hint="eastAsia"/>
          <w:lang w:eastAsia="zh-TW"/>
        </w:rPr>
      </w:pPr>
      <w:r w:rsidRPr="00E37037">
        <w:rPr>
          <w:lang w:eastAsia="zh-TW"/>
        </w:rPr>
        <w:drawing>
          <wp:inline distT="0" distB="0" distL="0" distR="0" wp14:anchorId="5220C67E" wp14:editId="7D9D603C">
            <wp:extent cx="5325626" cy="2295604"/>
            <wp:effectExtent l="0" t="0" r="0" b="3175"/>
            <wp:docPr id="5743548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354891" name=""/>
                    <pic:cNvPicPr/>
                  </pic:nvPicPr>
                  <pic:blipFill>
                    <a:blip r:embed="rId5"/>
                    <a:stretch>
                      <a:fillRect/>
                    </a:stretch>
                  </pic:blipFill>
                  <pic:spPr>
                    <a:xfrm>
                      <a:off x="0" y="0"/>
                      <a:ext cx="5418948" cy="2335830"/>
                    </a:xfrm>
                    <a:prstGeom prst="rect">
                      <a:avLst/>
                    </a:prstGeom>
                  </pic:spPr>
                </pic:pic>
              </a:graphicData>
            </a:graphic>
          </wp:inline>
        </w:drawing>
      </w:r>
    </w:p>
    <w:p w14:paraId="4DF793FF" w14:textId="5953C0DB" w:rsidR="00925561" w:rsidRDefault="00000000" w:rsidP="00CF1EA8">
      <w:pPr>
        <w:pStyle w:val="Heading1"/>
        <w:spacing w:before="240" w:after="110"/>
        <w:rPr>
          <w:rFonts w:hint="eastAsia"/>
          <w:lang w:eastAsia="zh-TW"/>
        </w:rPr>
      </w:pPr>
      <w:r>
        <w:rPr>
          <w:rFonts w:eastAsia="Calibri"/>
          <w:b/>
          <w:bCs/>
          <w:color w:val="1F3864"/>
          <w:sz w:val="26"/>
          <w:szCs w:val="26"/>
        </w:rPr>
        <w:t xml:space="preserve">2 </w:t>
      </w:r>
      <w:r w:rsidR="00EA7BE1">
        <w:rPr>
          <w:rFonts w:eastAsia="Calibri" w:hint="eastAsia"/>
          <w:b/>
          <w:bCs/>
          <w:color w:val="1F3864"/>
          <w:sz w:val="26"/>
          <w:szCs w:val="26"/>
          <w:lang w:eastAsia="zh-TW"/>
        </w:rPr>
        <w:t>State variable of</w:t>
      </w:r>
      <w:r>
        <w:rPr>
          <w:rFonts w:eastAsia="Calibri" w:hint="eastAsia"/>
          <w:b/>
          <w:bCs/>
          <w:color w:val="1F3864"/>
          <w:sz w:val="26"/>
          <w:szCs w:val="26"/>
          <w:lang w:eastAsia="zh-TW"/>
        </w:rPr>
        <w:t xml:space="preserve"> </w:t>
      </w:r>
      <w:r>
        <w:rPr>
          <w:rFonts w:eastAsia="Calibri"/>
          <w:b/>
          <w:bCs/>
          <w:color w:val="1F3864"/>
          <w:sz w:val="26"/>
          <w:szCs w:val="26"/>
        </w:rPr>
        <w:t>resilience at each level</w:t>
      </w:r>
    </w:p>
    <w:tbl>
      <w:tblP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39"/>
        <w:gridCol w:w="6095"/>
      </w:tblGrid>
      <w:tr w:rsidR="00182BF4" w14:paraId="43D0713E" w14:textId="77777777" w:rsidTr="00182BF4">
        <w:tblPrEx>
          <w:tblCellMar>
            <w:top w:w="0" w:type="dxa"/>
            <w:bottom w:w="0" w:type="dxa"/>
          </w:tblCellMar>
        </w:tblPrEx>
        <w:trPr>
          <w:tblHeader/>
        </w:trPr>
        <w:tc>
          <w:tcPr>
            <w:tcW w:w="3539" w:type="dxa"/>
            <w:shd w:val="clear" w:color="auto" w:fill="1F3864"/>
            <w:tcMar>
              <w:top w:w="60" w:type="dxa"/>
              <w:left w:w="100" w:type="dxa"/>
              <w:bottom w:w="60" w:type="dxa"/>
              <w:right w:w="100" w:type="dxa"/>
            </w:tcMar>
          </w:tcPr>
          <w:p w14:paraId="2DF5894F" w14:textId="77777777" w:rsidR="00182BF4" w:rsidRDefault="00182BF4">
            <w:pPr>
              <w:spacing w:before="40" w:after="40"/>
            </w:pPr>
            <w:r>
              <w:rPr>
                <w:rFonts w:eastAsia="Calibri"/>
                <w:b/>
                <w:bCs/>
                <w:color w:val="FFFFFF"/>
                <w:sz w:val="18"/>
                <w:szCs w:val="18"/>
              </w:rPr>
              <w:t>Level</w:t>
            </w:r>
          </w:p>
        </w:tc>
        <w:tc>
          <w:tcPr>
            <w:tcW w:w="6095" w:type="dxa"/>
            <w:shd w:val="clear" w:color="auto" w:fill="1F3864"/>
            <w:tcMar>
              <w:top w:w="60" w:type="dxa"/>
              <w:left w:w="100" w:type="dxa"/>
              <w:bottom w:w="60" w:type="dxa"/>
              <w:right w:w="100" w:type="dxa"/>
            </w:tcMar>
          </w:tcPr>
          <w:p w14:paraId="3FA17637" w14:textId="77777777" w:rsidR="00182BF4" w:rsidRDefault="00182BF4">
            <w:pPr>
              <w:spacing w:before="40" w:after="40"/>
            </w:pPr>
            <w:r>
              <w:rPr>
                <w:rFonts w:eastAsia="Calibri"/>
                <w:b/>
                <w:bCs/>
                <w:color w:val="FFFFFF"/>
                <w:sz w:val="18"/>
                <w:szCs w:val="18"/>
              </w:rPr>
              <w:t>What responds</w:t>
            </w:r>
          </w:p>
        </w:tc>
      </w:tr>
      <w:tr w:rsidR="00182BF4" w14:paraId="6E84641C" w14:textId="77777777" w:rsidTr="00182BF4">
        <w:tblPrEx>
          <w:tblCellMar>
            <w:top w:w="0" w:type="dxa"/>
            <w:bottom w:w="0" w:type="dxa"/>
          </w:tblCellMar>
        </w:tblPrEx>
        <w:tc>
          <w:tcPr>
            <w:tcW w:w="3539" w:type="dxa"/>
            <w:tcMar>
              <w:top w:w="60" w:type="dxa"/>
              <w:left w:w="100" w:type="dxa"/>
              <w:bottom w:w="60" w:type="dxa"/>
              <w:right w:w="100" w:type="dxa"/>
            </w:tcMar>
          </w:tcPr>
          <w:p w14:paraId="2E95291F" w14:textId="77777777" w:rsidR="00182BF4" w:rsidRDefault="00182BF4">
            <w:pPr>
              <w:spacing w:before="40" w:after="40"/>
            </w:pPr>
            <w:r>
              <w:rPr>
                <w:rFonts w:eastAsia="Calibri"/>
                <w:color w:val="000000"/>
                <w:sz w:val="18"/>
                <w:szCs w:val="18"/>
              </w:rPr>
              <w:t>Individual</w:t>
            </w:r>
          </w:p>
        </w:tc>
        <w:tc>
          <w:tcPr>
            <w:tcW w:w="6095" w:type="dxa"/>
            <w:tcMar>
              <w:top w:w="60" w:type="dxa"/>
              <w:left w:w="100" w:type="dxa"/>
              <w:bottom w:w="60" w:type="dxa"/>
              <w:right w:w="100" w:type="dxa"/>
            </w:tcMar>
          </w:tcPr>
          <w:p w14:paraId="2B575CAF" w14:textId="77777777" w:rsidR="00182BF4" w:rsidRDefault="00182BF4">
            <w:pPr>
              <w:spacing w:before="40" w:after="40"/>
            </w:pPr>
            <w:r>
              <w:rPr>
                <w:rFonts w:eastAsia="Calibri"/>
                <w:color w:val="000000"/>
                <w:sz w:val="18"/>
                <w:szCs w:val="18"/>
              </w:rPr>
              <w:t>Survival, growth, flowering and seed production of one plant</w:t>
            </w:r>
          </w:p>
        </w:tc>
      </w:tr>
      <w:tr w:rsidR="00182BF4" w14:paraId="77730962" w14:textId="77777777" w:rsidTr="00182BF4">
        <w:tblPrEx>
          <w:tblCellMar>
            <w:top w:w="0" w:type="dxa"/>
            <w:bottom w:w="0" w:type="dxa"/>
          </w:tblCellMar>
        </w:tblPrEx>
        <w:tc>
          <w:tcPr>
            <w:tcW w:w="3539" w:type="dxa"/>
            <w:tcMar>
              <w:top w:w="60" w:type="dxa"/>
              <w:left w:w="100" w:type="dxa"/>
              <w:bottom w:w="60" w:type="dxa"/>
              <w:right w:w="100" w:type="dxa"/>
            </w:tcMar>
          </w:tcPr>
          <w:p w14:paraId="68017C08" w14:textId="77777777" w:rsidR="00182BF4" w:rsidRDefault="00182BF4">
            <w:pPr>
              <w:spacing w:before="40" w:after="40"/>
            </w:pPr>
            <w:r>
              <w:rPr>
                <w:rFonts w:eastAsia="Calibri"/>
                <w:color w:val="000000"/>
                <w:sz w:val="18"/>
                <w:szCs w:val="18"/>
              </w:rPr>
              <w:t>Population</w:t>
            </w:r>
          </w:p>
        </w:tc>
        <w:tc>
          <w:tcPr>
            <w:tcW w:w="6095" w:type="dxa"/>
            <w:tcMar>
              <w:top w:w="60" w:type="dxa"/>
              <w:left w:w="100" w:type="dxa"/>
              <w:bottom w:w="60" w:type="dxa"/>
              <w:right w:w="100" w:type="dxa"/>
            </w:tcMar>
          </w:tcPr>
          <w:p w14:paraId="1C003479" w14:textId="39E585D5" w:rsidR="00182BF4" w:rsidRDefault="00182BF4">
            <w:pPr>
              <w:spacing w:before="40" w:after="40"/>
              <w:rPr>
                <w:rFonts w:hint="eastAsia"/>
                <w:lang w:eastAsia="zh-TW"/>
              </w:rPr>
            </w:pPr>
            <w:r>
              <w:rPr>
                <w:rFonts w:eastAsia="Calibri"/>
                <w:color w:val="000000"/>
                <w:sz w:val="18"/>
                <w:szCs w:val="18"/>
              </w:rPr>
              <w:t>The growth rate of one species</w:t>
            </w:r>
            <w:r w:rsidR="006C1C56">
              <w:rPr>
                <w:rFonts w:eastAsia="Calibri" w:hint="eastAsia"/>
                <w:color w:val="000000"/>
                <w:sz w:val="18"/>
                <w:szCs w:val="18"/>
                <w:lang w:eastAsia="zh-TW"/>
              </w:rPr>
              <w:t xml:space="preserve"> / </w:t>
            </w:r>
            <w:r w:rsidR="006C1C56">
              <w:rPr>
                <w:rFonts w:eastAsia="Calibri"/>
                <w:color w:val="000000"/>
                <w:sz w:val="18"/>
                <w:szCs w:val="18"/>
              </w:rPr>
              <w:t xml:space="preserve">Total cover summed over all </w:t>
            </w:r>
            <w:r w:rsidR="006C1C56">
              <w:rPr>
                <w:rFonts w:eastAsia="Calibri"/>
                <w:color w:val="000000"/>
                <w:sz w:val="18"/>
                <w:szCs w:val="18"/>
                <w:lang w:eastAsia="zh-TW"/>
              </w:rPr>
              <w:t>individual</w:t>
            </w:r>
            <w:r w:rsidR="006C1C56">
              <w:rPr>
                <w:rFonts w:eastAsia="Calibri"/>
                <w:color w:val="000000"/>
                <w:sz w:val="18"/>
                <w:szCs w:val="18"/>
              </w:rPr>
              <w:t>s</w:t>
            </w:r>
          </w:p>
        </w:tc>
      </w:tr>
      <w:tr w:rsidR="00182BF4" w14:paraId="6F295C0B" w14:textId="77777777" w:rsidTr="00182BF4">
        <w:tblPrEx>
          <w:tblCellMar>
            <w:top w:w="0" w:type="dxa"/>
            <w:bottom w:w="0" w:type="dxa"/>
          </w:tblCellMar>
        </w:tblPrEx>
        <w:tc>
          <w:tcPr>
            <w:tcW w:w="3539" w:type="dxa"/>
            <w:tcMar>
              <w:top w:w="60" w:type="dxa"/>
              <w:left w:w="100" w:type="dxa"/>
              <w:bottom w:w="60" w:type="dxa"/>
              <w:right w:w="100" w:type="dxa"/>
            </w:tcMar>
          </w:tcPr>
          <w:p w14:paraId="133BDA5B" w14:textId="77777777" w:rsidR="00182BF4" w:rsidRDefault="00182BF4">
            <w:pPr>
              <w:spacing w:before="40" w:after="40"/>
            </w:pPr>
            <w:r>
              <w:rPr>
                <w:rFonts w:eastAsia="Calibri"/>
                <w:color w:val="000000"/>
                <w:sz w:val="18"/>
                <w:szCs w:val="18"/>
              </w:rPr>
              <w:t>Community</w:t>
            </w:r>
          </w:p>
        </w:tc>
        <w:tc>
          <w:tcPr>
            <w:tcW w:w="6095" w:type="dxa"/>
            <w:tcMar>
              <w:top w:w="60" w:type="dxa"/>
              <w:left w:w="100" w:type="dxa"/>
              <w:bottom w:w="60" w:type="dxa"/>
              <w:right w:w="100" w:type="dxa"/>
            </w:tcMar>
          </w:tcPr>
          <w:p w14:paraId="7A34A228" w14:textId="1A71ED3A" w:rsidR="00182BF4" w:rsidRDefault="00182BF4">
            <w:pPr>
              <w:spacing w:before="40" w:after="40"/>
              <w:rPr>
                <w:rFonts w:hint="eastAsia"/>
                <w:lang w:eastAsia="zh-TW"/>
              </w:rPr>
            </w:pPr>
            <w:r>
              <w:rPr>
                <w:rFonts w:eastAsia="Calibri"/>
                <w:color w:val="000000"/>
                <w:sz w:val="18"/>
                <w:szCs w:val="18"/>
              </w:rPr>
              <w:t>Total cover summed over all species</w:t>
            </w:r>
            <w:r w:rsidR="00810E23">
              <w:rPr>
                <w:rFonts w:eastAsia="Calibri" w:hint="eastAsia"/>
                <w:color w:val="000000"/>
                <w:sz w:val="18"/>
                <w:szCs w:val="18"/>
                <w:lang w:eastAsia="zh-TW"/>
              </w:rPr>
              <w:t xml:space="preserve"> / species composition</w:t>
            </w:r>
          </w:p>
        </w:tc>
      </w:tr>
    </w:tbl>
    <w:p w14:paraId="10A69DBF" w14:textId="77777777" w:rsidR="00925561" w:rsidRDefault="00000000" w:rsidP="009B1577">
      <w:pPr>
        <w:spacing w:before="240" w:after="110" w:line="264" w:lineRule="auto"/>
        <w:jc w:val="both"/>
      </w:pPr>
      <w:r>
        <w:rPr>
          <w:rFonts w:eastAsia="Calibri"/>
        </w:rPr>
        <w:t>The three readings come from one fitted object. Four vital rates are modelled jointly for every plant in every year, so the same coefficients propagate upward: integrating over the size distribution gives the population measures, and summing populations gives total cover and its behaviour across years.</w:t>
      </w:r>
    </w:p>
    <w:p w14:paraId="62FE59D6" w14:textId="2AE3AEF9" w:rsidR="00925561" w:rsidRDefault="009B1577">
      <w:pPr>
        <w:spacing w:after="110" w:line="264" w:lineRule="auto"/>
        <w:jc w:val="both"/>
      </w:pPr>
      <w:r>
        <w:rPr>
          <w:rFonts w:eastAsia="Calibri"/>
        </w:rPr>
        <w:t>The counterfactual</w:t>
      </w:r>
      <w:r w:rsidR="00000000">
        <w:rPr>
          <w:rFonts w:eastAsia="Calibri"/>
        </w:rPr>
        <w:t xml:space="preserve"> in Q2 works on that same object. A fitted model is re-run with one feature removed — the dependence of neighbour effects on the environment — and the resilience measures are recomputed. The difference between the two runs is the amount of resilience attributable to that feature. The same procedure can be pointed at any other component, which is what makes it the tool for Q1 as well as Q2.</w:t>
      </w:r>
    </w:p>
    <w:p w14:paraId="52C96273" w14:textId="277E98C4" w:rsidR="00925561" w:rsidRDefault="00000000">
      <w:pPr>
        <w:pStyle w:val="Heading1"/>
        <w:spacing w:before="240" w:after="110"/>
      </w:pPr>
      <w:r>
        <w:rPr>
          <w:rFonts w:eastAsia="Calibri"/>
          <w:b/>
          <w:bCs/>
          <w:color w:val="1F3864"/>
          <w:sz w:val="26"/>
          <w:szCs w:val="26"/>
        </w:rPr>
        <w:lastRenderedPageBreak/>
        <w:t>3 The model</w:t>
      </w:r>
    </w:p>
    <w:p w14:paraId="12D2AB59" w14:textId="79191552" w:rsidR="00925561" w:rsidRDefault="00000000">
      <w:pPr>
        <w:spacing w:after="110" w:line="264" w:lineRule="auto"/>
        <w:jc w:val="both"/>
      </w:pPr>
      <w:r>
        <w:rPr>
          <w:rFonts w:eastAsia="Calibri"/>
        </w:rPr>
        <w:t>All four vital rates are fitted together in a hierarchical model. Species-level coefficients are drawn toward a regression on a life-history axis, so that species differences are expressed through traits. Individual size, microsite and neighbour densities enter the linear predictor. Annual climate enters both on its own and in interaction with the neighbour terms.</w:t>
      </w:r>
    </w:p>
    <w:p w14:paraId="37043971" w14:textId="77777777" w:rsidR="00925561" w:rsidRDefault="00000000">
      <w:pPr>
        <w:spacing w:before="110"/>
        <w:jc w:val="center"/>
      </w:pPr>
      <w:r>
        <w:rPr>
          <w:noProof/>
        </w:rPr>
        <w:drawing>
          <wp:inline distT="0" distB="0" distL="0" distR="0" wp14:anchorId="3D4C546F" wp14:editId="34500688">
            <wp:extent cx="4629150" cy="30956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4629150" cy="3095625"/>
                    </a:xfrm>
                    <a:prstGeom prst="rect">
                      <a:avLst/>
                    </a:prstGeom>
                  </pic:spPr>
                </pic:pic>
              </a:graphicData>
            </a:graphic>
          </wp:inline>
        </w:drawing>
      </w:r>
    </w:p>
    <w:p w14:paraId="6BA03D98" w14:textId="4335EB17" w:rsidR="00925561" w:rsidRDefault="001C1D0E">
      <w:pPr>
        <w:pStyle w:val="Heading1"/>
        <w:spacing w:before="240" w:after="110"/>
      </w:pPr>
      <w:r>
        <w:rPr>
          <w:rFonts w:eastAsia="Calibri" w:hint="eastAsia"/>
          <w:b/>
          <w:bCs/>
          <w:color w:val="1F3864"/>
          <w:sz w:val="26"/>
          <w:szCs w:val="26"/>
          <w:lang w:eastAsia="zh-TW"/>
        </w:rPr>
        <w:t>4</w:t>
      </w:r>
      <w:r w:rsidR="00000000">
        <w:rPr>
          <w:rFonts w:eastAsia="Calibri"/>
          <w:b/>
          <w:bCs/>
          <w:color w:val="1F3864"/>
          <w:sz w:val="26"/>
          <w:szCs w:val="26"/>
        </w:rPr>
        <w:t xml:space="preserve"> Data required</w:t>
      </w:r>
    </w:p>
    <w:p w14:paraId="15D00462" w14:textId="0D449F1A" w:rsidR="00925561" w:rsidRDefault="002B2FD0" w:rsidP="00A50601">
      <w:pPr>
        <w:spacing w:after="110" w:line="264" w:lineRule="auto"/>
        <w:jc w:val="both"/>
      </w:pPr>
      <w:r w:rsidRPr="002B2FD0">
        <w:rPr>
          <w:rFonts w:eastAsia="Calibri"/>
        </w:rPr>
        <w:t>The table lists the data I hope to obtain.</w:t>
      </w:r>
    </w:p>
    <w:tbl>
      <w:tblP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0"/>
        <w:gridCol w:w="7654"/>
      </w:tblGrid>
      <w:tr w:rsidR="00A50601" w14:paraId="3E8ECC98" w14:textId="77777777" w:rsidTr="00A50601">
        <w:tblPrEx>
          <w:tblCellMar>
            <w:top w:w="0" w:type="dxa"/>
            <w:bottom w:w="0" w:type="dxa"/>
          </w:tblCellMar>
        </w:tblPrEx>
        <w:trPr>
          <w:tblHeader/>
        </w:trPr>
        <w:tc>
          <w:tcPr>
            <w:tcW w:w="1980" w:type="dxa"/>
            <w:shd w:val="clear" w:color="auto" w:fill="1F3864"/>
            <w:tcMar>
              <w:top w:w="60" w:type="dxa"/>
              <w:left w:w="100" w:type="dxa"/>
              <w:bottom w:w="60" w:type="dxa"/>
              <w:right w:w="100" w:type="dxa"/>
            </w:tcMar>
          </w:tcPr>
          <w:p w14:paraId="6844E204" w14:textId="77777777" w:rsidR="00A50601" w:rsidRDefault="00A50601">
            <w:pPr>
              <w:spacing w:before="40" w:after="40"/>
            </w:pPr>
            <w:r>
              <w:rPr>
                <w:rFonts w:eastAsia="Calibri"/>
                <w:b/>
                <w:bCs/>
                <w:color w:val="FFFFFF"/>
                <w:sz w:val="18"/>
                <w:szCs w:val="18"/>
              </w:rPr>
              <w:t>Carries</w:t>
            </w:r>
          </w:p>
        </w:tc>
        <w:tc>
          <w:tcPr>
            <w:tcW w:w="7654" w:type="dxa"/>
            <w:shd w:val="clear" w:color="auto" w:fill="1F3864"/>
            <w:tcMar>
              <w:top w:w="60" w:type="dxa"/>
              <w:left w:w="100" w:type="dxa"/>
              <w:bottom w:w="60" w:type="dxa"/>
              <w:right w:w="100" w:type="dxa"/>
            </w:tcMar>
          </w:tcPr>
          <w:p w14:paraId="359F990F" w14:textId="77777777" w:rsidR="00A50601" w:rsidRDefault="00A50601">
            <w:pPr>
              <w:spacing w:before="40" w:after="40"/>
            </w:pPr>
            <w:r>
              <w:rPr>
                <w:rFonts w:eastAsia="Calibri"/>
                <w:b/>
                <w:bCs/>
                <w:color w:val="FFFFFF"/>
                <w:sz w:val="18"/>
                <w:szCs w:val="18"/>
              </w:rPr>
              <w:t>Quantity</w:t>
            </w:r>
          </w:p>
        </w:tc>
      </w:tr>
      <w:tr w:rsidR="00A50601" w14:paraId="32E59CD2" w14:textId="77777777" w:rsidTr="00A50601">
        <w:tblPrEx>
          <w:tblCellMar>
            <w:top w:w="0" w:type="dxa"/>
            <w:bottom w:w="0" w:type="dxa"/>
          </w:tblCellMar>
        </w:tblPrEx>
        <w:tc>
          <w:tcPr>
            <w:tcW w:w="1980" w:type="dxa"/>
            <w:tcMar>
              <w:top w:w="60" w:type="dxa"/>
              <w:left w:w="100" w:type="dxa"/>
              <w:bottom w:w="60" w:type="dxa"/>
              <w:right w:w="100" w:type="dxa"/>
            </w:tcMar>
          </w:tcPr>
          <w:p w14:paraId="074BC5E7" w14:textId="77777777" w:rsidR="00A50601" w:rsidRDefault="00A50601">
            <w:pPr>
              <w:spacing w:before="40" w:after="40"/>
            </w:pPr>
            <w:r>
              <w:rPr>
                <w:rFonts w:eastAsia="Calibri"/>
                <w:color w:val="000000"/>
                <w:sz w:val="18"/>
                <w:szCs w:val="18"/>
              </w:rPr>
              <w:t>Individual factor</w:t>
            </w:r>
          </w:p>
        </w:tc>
        <w:tc>
          <w:tcPr>
            <w:tcW w:w="7654" w:type="dxa"/>
            <w:tcMar>
              <w:top w:w="60" w:type="dxa"/>
              <w:left w:w="100" w:type="dxa"/>
              <w:bottom w:w="60" w:type="dxa"/>
              <w:right w:w="100" w:type="dxa"/>
            </w:tcMar>
          </w:tcPr>
          <w:p w14:paraId="00F3EADD" w14:textId="2403167E" w:rsidR="00A50601" w:rsidRDefault="00A50601">
            <w:pPr>
              <w:spacing w:before="40" w:after="40"/>
              <w:rPr>
                <w:rFonts w:hint="eastAsia"/>
                <w:lang w:eastAsia="zh-TW"/>
              </w:rPr>
            </w:pPr>
            <w:r>
              <w:rPr>
                <w:rFonts w:eastAsia="Calibri"/>
                <w:color w:val="000000"/>
                <w:sz w:val="18"/>
                <w:szCs w:val="18"/>
              </w:rPr>
              <w:t>Size, and</w:t>
            </w:r>
            <w:r w:rsidR="002542ED">
              <w:rPr>
                <w:rFonts w:eastAsia="Calibri" w:hint="eastAsia"/>
                <w:color w:val="000000"/>
                <w:sz w:val="18"/>
                <w:szCs w:val="18"/>
                <w:lang w:eastAsia="zh-TW"/>
              </w:rPr>
              <w:t xml:space="preserve"> all the vital rates of each </w:t>
            </w:r>
            <w:r w:rsidR="002542ED">
              <w:rPr>
                <w:rFonts w:eastAsia="Calibri"/>
                <w:color w:val="000000"/>
                <w:sz w:val="18"/>
                <w:szCs w:val="18"/>
                <w:lang w:eastAsia="zh-TW"/>
              </w:rPr>
              <w:t>individual</w:t>
            </w:r>
            <w:r w:rsidR="002542ED">
              <w:rPr>
                <w:rFonts w:eastAsia="Calibri" w:hint="eastAsia"/>
                <w:color w:val="000000"/>
                <w:sz w:val="18"/>
                <w:szCs w:val="18"/>
                <w:lang w:eastAsia="zh-TW"/>
              </w:rPr>
              <w:t xml:space="preserve"> every year</w:t>
            </w:r>
          </w:p>
        </w:tc>
      </w:tr>
      <w:tr w:rsidR="00A50601" w14:paraId="147A1CA7" w14:textId="77777777" w:rsidTr="00A50601">
        <w:tblPrEx>
          <w:tblCellMar>
            <w:top w:w="0" w:type="dxa"/>
            <w:bottom w:w="0" w:type="dxa"/>
          </w:tblCellMar>
        </w:tblPrEx>
        <w:tc>
          <w:tcPr>
            <w:tcW w:w="1980" w:type="dxa"/>
            <w:tcMar>
              <w:top w:w="60" w:type="dxa"/>
              <w:left w:w="100" w:type="dxa"/>
              <w:bottom w:w="60" w:type="dxa"/>
              <w:right w:w="100" w:type="dxa"/>
            </w:tcMar>
          </w:tcPr>
          <w:p w14:paraId="2DBE01FD" w14:textId="77777777" w:rsidR="00A50601" w:rsidRDefault="00A50601">
            <w:pPr>
              <w:spacing w:before="40" w:after="40"/>
            </w:pPr>
            <w:r>
              <w:rPr>
                <w:rFonts w:eastAsia="Calibri"/>
                <w:color w:val="000000"/>
                <w:sz w:val="18"/>
                <w:szCs w:val="18"/>
              </w:rPr>
              <w:t>Individual factor</w:t>
            </w:r>
          </w:p>
        </w:tc>
        <w:tc>
          <w:tcPr>
            <w:tcW w:w="7654" w:type="dxa"/>
            <w:tcMar>
              <w:top w:w="60" w:type="dxa"/>
              <w:left w:w="100" w:type="dxa"/>
              <w:bottom w:w="60" w:type="dxa"/>
              <w:right w:w="100" w:type="dxa"/>
            </w:tcMar>
          </w:tcPr>
          <w:p w14:paraId="6D5F12FF" w14:textId="77777777" w:rsidR="00A50601" w:rsidRDefault="00A50601">
            <w:pPr>
              <w:spacing w:before="40" w:after="40"/>
            </w:pPr>
            <w:r>
              <w:rPr>
                <w:rFonts w:eastAsia="Calibri"/>
                <w:color w:val="000000"/>
                <w:sz w:val="18"/>
                <w:szCs w:val="18"/>
              </w:rPr>
              <w:t>Position in the plot, and site-wide coordinates recovered from the constant per-plot offset</w:t>
            </w:r>
          </w:p>
        </w:tc>
      </w:tr>
      <w:tr w:rsidR="00A50601" w14:paraId="4A9750E0" w14:textId="77777777" w:rsidTr="00A50601">
        <w:tblPrEx>
          <w:tblCellMar>
            <w:top w:w="0" w:type="dxa"/>
            <w:bottom w:w="0" w:type="dxa"/>
          </w:tblCellMar>
        </w:tblPrEx>
        <w:tc>
          <w:tcPr>
            <w:tcW w:w="1980" w:type="dxa"/>
            <w:tcMar>
              <w:top w:w="60" w:type="dxa"/>
              <w:left w:w="100" w:type="dxa"/>
              <w:bottom w:w="60" w:type="dxa"/>
              <w:right w:w="100" w:type="dxa"/>
            </w:tcMar>
          </w:tcPr>
          <w:p w14:paraId="228A5FAF" w14:textId="77777777" w:rsidR="00A50601" w:rsidRDefault="00A50601">
            <w:pPr>
              <w:spacing w:before="40" w:after="40"/>
            </w:pPr>
            <w:r>
              <w:rPr>
                <w:rFonts w:eastAsia="Calibri"/>
                <w:color w:val="000000"/>
                <w:sz w:val="18"/>
                <w:szCs w:val="18"/>
              </w:rPr>
              <w:t>Population factor</w:t>
            </w:r>
          </w:p>
        </w:tc>
        <w:tc>
          <w:tcPr>
            <w:tcW w:w="7654" w:type="dxa"/>
            <w:tcMar>
              <w:top w:w="60" w:type="dxa"/>
              <w:left w:w="100" w:type="dxa"/>
              <w:bottom w:w="60" w:type="dxa"/>
              <w:right w:w="100" w:type="dxa"/>
            </w:tcMar>
          </w:tcPr>
          <w:p w14:paraId="3185882E" w14:textId="0CD8E153" w:rsidR="00A50601" w:rsidRPr="00CB75E1" w:rsidRDefault="00A50601">
            <w:pPr>
              <w:spacing w:before="40" w:after="40"/>
              <w:rPr>
                <w:rFonts w:hint="eastAsia"/>
                <w:lang w:eastAsia="zh-TW"/>
              </w:rPr>
            </w:pPr>
            <w:r>
              <w:rPr>
                <w:rFonts w:eastAsia="Calibri"/>
                <w:color w:val="000000"/>
                <w:sz w:val="18"/>
                <w:szCs w:val="18"/>
              </w:rPr>
              <w:t>Thirty mean functional traits per species</w:t>
            </w:r>
            <w:r w:rsidR="002542ED">
              <w:rPr>
                <w:rFonts w:eastAsia="Calibri" w:hint="eastAsia"/>
                <w:color w:val="000000"/>
                <w:sz w:val="18"/>
                <w:szCs w:val="18"/>
                <w:lang w:eastAsia="zh-TW"/>
              </w:rPr>
              <w:t xml:space="preserve"> (optional)</w:t>
            </w:r>
            <w:r w:rsidR="00CB75E1">
              <w:rPr>
                <w:rFonts w:eastAsia="Calibri" w:hint="eastAsia"/>
                <w:color w:val="000000"/>
                <w:sz w:val="18"/>
                <w:szCs w:val="18"/>
                <w:lang w:eastAsia="zh-TW"/>
              </w:rPr>
              <w:t>, in case I did not find a best life-history trait</w:t>
            </w:r>
          </w:p>
        </w:tc>
      </w:tr>
      <w:tr w:rsidR="00A50601" w14:paraId="42183812" w14:textId="77777777" w:rsidTr="00A50601">
        <w:tblPrEx>
          <w:tblCellMar>
            <w:top w:w="0" w:type="dxa"/>
            <w:bottom w:w="0" w:type="dxa"/>
          </w:tblCellMar>
        </w:tblPrEx>
        <w:tc>
          <w:tcPr>
            <w:tcW w:w="1980" w:type="dxa"/>
            <w:tcMar>
              <w:top w:w="60" w:type="dxa"/>
              <w:left w:w="100" w:type="dxa"/>
              <w:bottom w:w="60" w:type="dxa"/>
              <w:right w:w="100" w:type="dxa"/>
            </w:tcMar>
          </w:tcPr>
          <w:p w14:paraId="234EBA15" w14:textId="38C8359B" w:rsidR="00A50601" w:rsidRDefault="000D11A9">
            <w:pPr>
              <w:spacing w:before="40" w:after="40"/>
            </w:pPr>
            <w:r>
              <w:rPr>
                <w:rFonts w:eastAsia="Calibri"/>
                <w:color w:val="000000"/>
                <w:sz w:val="18"/>
                <w:szCs w:val="18"/>
              </w:rPr>
              <w:t>Micro</w:t>
            </w:r>
            <w:r>
              <w:rPr>
                <w:rFonts w:eastAsia="Calibri" w:hint="eastAsia"/>
                <w:color w:val="000000"/>
                <w:sz w:val="18"/>
                <w:szCs w:val="18"/>
                <w:lang w:eastAsia="zh-TW"/>
              </w:rPr>
              <w:t xml:space="preserve"> </w:t>
            </w:r>
            <w:r>
              <w:rPr>
                <w:rFonts w:eastAsia="Calibri"/>
                <w:color w:val="000000"/>
                <w:sz w:val="18"/>
                <w:szCs w:val="18"/>
                <w:lang w:eastAsia="zh-TW"/>
              </w:rPr>
              <w:t>environment</w:t>
            </w:r>
          </w:p>
        </w:tc>
        <w:tc>
          <w:tcPr>
            <w:tcW w:w="7654" w:type="dxa"/>
            <w:tcMar>
              <w:top w:w="60" w:type="dxa"/>
              <w:left w:w="100" w:type="dxa"/>
              <w:bottom w:w="60" w:type="dxa"/>
              <w:right w:w="100" w:type="dxa"/>
            </w:tcMar>
          </w:tcPr>
          <w:p w14:paraId="1E458269" w14:textId="5BBFC8BA" w:rsidR="00A50601" w:rsidRDefault="00A50601">
            <w:pPr>
              <w:spacing w:before="40" w:after="40"/>
            </w:pPr>
            <w:r>
              <w:rPr>
                <w:rFonts w:eastAsia="Calibri"/>
                <w:color w:val="000000"/>
                <w:sz w:val="18"/>
                <w:szCs w:val="18"/>
              </w:rPr>
              <w:t>27-layer raster at 10 cm resolution</w:t>
            </w:r>
          </w:p>
        </w:tc>
      </w:tr>
      <w:tr w:rsidR="00A50601" w14:paraId="36DCDDEB" w14:textId="77777777" w:rsidTr="00A50601">
        <w:tblPrEx>
          <w:tblCellMar>
            <w:top w:w="0" w:type="dxa"/>
            <w:bottom w:w="0" w:type="dxa"/>
          </w:tblCellMar>
        </w:tblPrEx>
        <w:tc>
          <w:tcPr>
            <w:tcW w:w="1980" w:type="dxa"/>
            <w:tcMar>
              <w:top w:w="60" w:type="dxa"/>
              <w:left w:w="100" w:type="dxa"/>
              <w:bottom w:w="60" w:type="dxa"/>
              <w:right w:w="100" w:type="dxa"/>
            </w:tcMar>
          </w:tcPr>
          <w:p w14:paraId="362BDA30" w14:textId="77777777" w:rsidR="00A50601" w:rsidRDefault="00A50601">
            <w:pPr>
              <w:spacing w:before="40" w:after="40"/>
            </w:pPr>
            <w:r>
              <w:rPr>
                <w:rFonts w:eastAsia="Calibri"/>
                <w:color w:val="000000"/>
                <w:sz w:val="18"/>
                <w:szCs w:val="18"/>
              </w:rPr>
              <w:t>Macro environment</w:t>
            </w:r>
          </w:p>
        </w:tc>
        <w:tc>
          <w:tcPr>
            <w:tcW w:w="7654" w:type="dxa"/>
            <w:tcMar>
              <w:top w:w="60" w:type="dxa"/>
              <w:left w:w="100" w:type="dxa"/>
              <w:bottom w:w="60" w:type="dxa"/>
              <w:right w:w="100" w:type="dxa"/>
            </w:tcMar>
          </w:tcPr>
          <w:p w14:paraId="4B5E4080" w14:textId="77777777" w:rsidR="00A50601" w:rsidRDefault="00A50601">
            <w:pPr>
              <w:spacing w:before="40" w:after="40"/>
            </w:pPr>
            <w:r>
              <w:rPr>
                <w:rFonts w:eastAsia="Calibri"/>
                <w:color w:val="000000"/>
                <w:sz w:val="18"/>
                <w:szCs w:val="18"/>
              </w:rPr>
              <w:t>Site climate by year: precipitation, air and soil temperature, soil water, radiation</w:t>
            </w:r>
          </w:p>
        </w:tc>
      </w:tr>
      <w:tr w:rsidR="00A50601" w14:paraId="733CC538" w14:textId="77777777" w:rsidTr="00A1782C">
        <w:tblPrEx>
          <w:tblCellMar>
            <w:top w:w="0" w:type="dxa"/>
            <w:bottom w:w="0" w:type="dxa"/>
          </w:tblCellMar>
        </w:tblPrEx>
        <w:tc>
          <w:tcPr>
            <w:tcW w:w="1980" w:type="dxa"/>
            <w:tcMar>
              <w:top w:w="60" w:type="dxa"/>
              <w:left w:w="100" w:type="dxa"/>
              <w:bottom w:w="60" w:type="dxa"/>
              <w:right w:w="100" w:type="dxa"/>
            </w:tcMar>
          </w:tcPr>
          <w:p w14:paraId="3BB628ED" w14:textId="77777777" w:rsidR="00A50601" w:rsidRPr="00A1782C" w:rsidRDefault="00A50601">
            <w:pPr>
              <w:spacing w:before="40" w:after="40"/>
            </w:pPr>
            <w:r w:rsidRPr="00A1782C">
              <w:rPr>
                <w:rFonts w:eastAsia="Calibri"/>
                <w:color w:val="000000"/>
                <w:sz w:val="18"/>
                <w:szCs w:val="18"/>
              </w:rPr>
              <w:t>Macro environment</w:t>
            </w:r>
          </w:p>
        </w:tc>
        <w:tc>
          <w:tcPr>
            <w:tcW w:w="7654" w:type="dxa"/>
            <w:tcMar>
              <w:top w:w="60" w:type="dxa"/>
              <w:left w:w="100" w:type="dxa"/>
              <w:bottom w:w="60" w:type="dxa"/>
              <w:right w:w="100" w:type="dxa"/>
            </w:tcMar>
          </w:tcPr>
          <w:p w14:paraId="564CCF62" w14:textId="3BED1BC7" w:rsidR="00A50601" w:rsidRPr="00A1782C" w:rsidRDefault="00A50601">
            <w:pPr>
              <w:spacing w:before="40" w:after="40"/>
              <w:rPr>
                <w:rFonts w:hint="eastAsia"/>
                <w:lang w:eastAsia="zh-TW"/>
              </w:rPr>
            </w:pPr>
            <w:r w:rsidRPr="00A1782C">
              <w:rPr>
                <w:rFonts w:eastAsia="Calibri"/>
                <w:color w:val="000000"/>
                <w:sz w:val="18"/>
                <w:szCs w:val="18"/>
              </w:rPr>
              <w:t>A multi-decadal record, so each year can be placed as a departure from a long-term mean</w:t>
            </w:r>
            <w:r w:rsidR="000D11A9">
              <w:rPr>
                <w:rFonts w:eastAsia="Calibri" w:hint="eastAsia"/>
                <w:color w:val="000000"/>
                <w:sz w:val="18"/>
                <w:szCs w:val="18"/>
                <w:lang w:eastAsia="zh-TW"/>
              </w:rPr>
              <w:t xml:space="preserve"> (optional)</w:t>
            </w:r>
          </w:p>
        </w:tc>
      </w:tr>
    </w:tbl>
    <w:p w14:paraId="5CA41969" w14:textId="6708D2E3" w:rsidR="00925561" w:rsidRDefault="007124C2">
      <w:pPr>
        <w:pStyle w:val="Heading1"/>
        <w:spacing w:before="240" w:after="110"/>
        <w:rPr>
          <w:rFonts w:hint="eastAsia"/>
          <w:lang w:eastAsia="zh-TW"/>
        </w:rPr>
      </w:pPr>
      <w:r>
        <w:rPr>
          <w:rFonts w:eastAsia="Calibri" w:hint="eastAsia"/>
          <w:b/>
          <w:bCs/>
          <w:color w:val="1F3864"/>
          <w:sz w:val="26"/>
          <w:szCs w:val="26"/>
          <w:lang w:eastAsia="zh-TW"/>
        </w:rPr>
        <w:t>5</w:t>
      </w:r>
      <w:r w:rsidR="00000000">
        <w:rPr>
          <w:rFonts w:eastAsia="Calibri"/>
          <w:b/>
          <w:bCs/>
          <w:color w:val="1F3864"/>
          <w:sz w:val="26"/>
          <w:szCs w:val="26"/>
        </w:rPr>
        <w:t xml:space="preserve"> </w:t>
      </w:r>
      <w:r w:rsidR="00C846C1">
        <w:rPr>
          <w:rFonts w:eastAsia="Calibri" w:hint="eastAsia"/>
          <w:b/>
          <w:bCs/>
          <w:color w:val="1F3864"/>
          <w:sz w:val="26"/>
          <w:szCs w:val="26"/>
          <w:lang w:eastAsia="zh-TW"/>
        </w:rPr>
        <w:t>C</w:t>
      </w:r>
      <w:r w:rsidR="00C846C1" w:rsidRPr="00C846C1">
        <w:rPr>
          <w:rFonts w:eastAsia="Calibri"/>
          <w:b/>
          <w:bCs/>
          <w:color w:val="1F3864"/>
          <w:sz w:val="26"/>
          <w:szCs w:val="26"/>
          <w:lang w:eastAsia="zh-TW"/>
        </w:rPr>
        <w:t xml:space="preserve">ontingency </w:t>
      </w:r>
      <w:proofErr w:type="gramStart"/>
      <w:r w:rsidR="00C846C1" w:rsidRPr="00C846C1">
        <w:rPr>
          <w:rFonts w:eastAsia="Calibri"/>
          <w:b/>
          <w:bCs/>
          <w:color w:val="1F3864"/>
          <w:sz w:val="26"/>
          <w:szCs w:val="26"/>
          <w:lang w:eastAsia="zh-TW"/>
        </w:rPr>
        <w:t>plan</w:t>
      </w:r>
      <w:proofErr w:type="gramEnd"/>
    </w:p>
    <w:p w14:paraId="40F62092" w14:textId="3039466F" w:rsidR="00925561" w:rsidRDefault="00C846C1" w:rsidP="00C846C1">
      <w:pPr>
        <w:spacing w:after="110" w:line="264" w:lineRule="auto"/>
        <w:jc w:val="both"/>
      </w:pPr>
      <w:r w:rsidRPr="00C846C1">
        <w:rPr>
          <w:rFonts w:eastAsia="Calibri"/>
        </w:rPr>
        <w:t>The focus of Q2 will initially be on the contribution of time-varying intraspecific and interspecific interactions to community resilience, as I consider these two mechanisms to provide important links between individuals and populations, and between populations and communities. However, if the results indicate that these interactions are relatively insensitive to environmental conditions and make only a limited contribution to resilience, I can instead use counterfactual simulations of community dynamics to investigate the consequences of fixing other factors that show significant effects in the model. These could include differences among individuals or populations, as well as temporal variation. This alternative approach would still allow me to examine how different factors operating from the individual to community level contribute to community resilience.</w:t>
      </w:r>
    </w:p>
    <w:sectPr w:rsidR="00925561">
      <w:pgSz w:w="11906" w:h="16838"/>
      <w:pgMar w:top="1000" w:right="1080" w:bottom="100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roman"/>
    <w:notTrueType/>
    <w:pitch w:val="default"/>
  </w:font>
  <w:font w:name="Aptos Display">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modern"/>
    <w:pitch w:val="fixed"/>
    <w:sig w:usb0="00000001" w:usb1="080E0000" w:usb2="00000010" w:usb3="00000000" w:csb0="00040000"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4E905A8"/>
    <w:multiLevelType w:val="hybridMultilevel"/>
    <w:tmpl w:val="52E23A70"/>
    <w:lvl w:ilvl="0" w:tplc="4612A83A">
      <w:start w:val="1"/>
      <w:numFmt w:val="bullet"/>
      <w:lvlText w:val="●"/>
      <w:lvlJc w:val="left"/>
      <w:pPr>
        <w:ind w:left="720" w:hanging="360"/>
      </w:pPr>
    </w:lvl>
    <w:lvl w:ilvl="1" w:tplc="317CE8D8">
      <w:start w:val="1"/>
      <w:numFmt w:val="bullet"/>
      <w:lvlText w:val="○"/>
      <w:lvlJc w:val="left"/>
      <w:pPr>
        <w:ind w:left="1440" w:hanging="360"/>
      </w:pPr>
    </w:lvl>
    <w:lvl w:ilvl="2" w:tplc="5D02A56C">
      <w:start w:val="1"/>
      <w:numFmt w:val="bullet"/>
      <w:lvlText w:val="■"/>
      <w:lvlJc w:val="left"/>
      <w:pPr>
        <w:ind w:left="2160" w:hanging="360"/>
      </w:pPr>
    </w:lvl>
    <w:lvl w:ilvl="3" w:tplc="AB706948">
      <w:start w:val="1"/>
      <w:numFmt w:val="bullet"/>
      <w:lvlText w:val="●"/>
      <w:lvlJc w:val="left"/>
      <w:pPr>
        <w:ind w:left="2880" w:hanging="360"/>
      </w:pPr>
    </w:lvl>
    <w:lvl w:ilvl="4" w:tplc="86E20540">
      <w:start w:val="1"/>
      <w:numFmt w:val="bullet"/>
      <w:lvlText w:val="○"/>
      <w:lvlJc w:val="left"/>
      <w:pPr>
        <w:ind w:left="3600" w:hanging="360"/>
      </w:pPr>
    </w:lvl>
    <w:lvl w:ilvl="5" w:tplc="C04468A2">
      <w:start w:val="1"/>
      <w:numFmt w:val="bullet"/>
      <w:lvlText w:val="■"/>
      <w:lvlJc w:val="left"/>
      <w:pPr>
        <w:ind w:left="4320" w:hanging="360"/>
      </w:pPr>
    </w:lvl>
    <w:lvl w:ilvl="6" w:tplc="7B861F44">
      <w:start w:val="1"/>
      <w:numFmt w:val="bullet"/>
      <w:lvlText w:val="●"/>
      <w:lvlJc w:val="left"/>
      <w:pPr>
        <w:ind w:left="5040" w:hanging="360"/>
      </w:pPr>
    </w:lvl>
    <w:lvl w:ilvl="7" w:tplc="B88EA892">
      <w:start w:val="1"/>
      <w:numFmt w:val="bullet"/>
      <w:lvlText w:val="●"/>
      <w:lvlJc w:val="left"/>
      <w:pPr>
        <w:ind w:left="5760" w:hanging="360"/>
      </w:pPr>
    </w:lvl>
    <w:lvl w:ilvl="8" w:tplc="845663CE">
      <w:start w:val="1"/>
      <w:numFmt w:val="bullet"/>
      <w:lvlText w:val="●"/>
      <w:lvlJc w:val="left"/>
      <w:pPr>
        <w:ind w:left="6480" w:hanging="360"/>
      </w:pPr>
    </w:lvl>
  </w:abstractNum>
  <w:num w:numId="1" w16cid:durableId="475922842">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2"/>
  <w:displayBackgroundShape/>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5561"/>
    <w:rsid w:val="00003E41"/>
    <w:rsid w:val="00056BAE"/>
    <w:rsid w:val="000D11A9"/>
    <w:rsid w:val="00182BF4"/>
    <w:rsid w:val="001C1D0E"/>
    <w:rsid w:val="001E0795"/>
    <w:rsid w:val="002200E3"/>
    <w:rsid w:val="002434FC"/>
    <w:rsid w:val="002542ED"/>
    <w:rsid w:val="002B2FD0"/>
    <w:rsid w:val="002D6A18"/>
    <w:rsid w:val="003D1375"/>
    <w:rsid w:val="00487D89"/>
    <w:rsid w:val="00541B1C"/>
    <w:rsid w:val="005C60B4"/>
    <w:rsid w:val="00613F22"/>
    <w:rsid w:val="006C1C56"/>
    <w:rsid w:val="007124C2"/>
    <w:rsid w:val="0071657F"/>
    <w:rsid w:val="00732FA3"/>
    <w:rsid w:val="007C6EC2"/>
    <w:rsid w:val="00810E23"/>
    <w:rsid w:val="00816EF7"/>
    <w:rsid w:val="008E70D3"/>
    <w:rsid w:val="00925561"/>
    <w:rsid w:val="009B1577"/>
    <w:rsid w:val="00A1782C"/>
    <w:rsid w:val="00A50601"/>
    <w:rsid w:val="00AA5376"/>
    <w:rsid w:val="00AD409B"/>
    <w:rsid w:val="00B028EC"/>
    <w:rsid w:val="00B7629A"/>
    <w:rsid w:val="00C846C1"/>
    <w:rsid w:val="00CB75E1"/>
    <w:rsid w:val="00CF1EA8"/>
    <w:rsid w:val="00E23992"/>
    <w:rsid w:val="00E37037"/>
    <w:rsid w:val="00E6539C"/>
    <w:rsid w:val="00EA7BE1"/>
    <w:rsid w:val="00F323CD"/>
    <w:rsid w:val="00FE11AF"/>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0FF09BA8"/>
  <w15:docId w15:val="{81D82D02-A3B8-AD49-91BD-9D8E8E3C61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PMingLiU" w:hAnsi="Calibri" w:cs="Calibri"/>
        <w:sz w:val="21"/>
        <w:szCs w:val="21"/>
        <w:lang w:val="en-GB"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31</TotalTime>
  <Pages>2</Pages>
  <Words>647</Words>
  <Characters>3691</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Integrating resilience from individual to community</vt:lpstr>
    </vt:vector>
  </TitlesOfParts>
  <Company/>
  <LinksUpToDate>false</LinksUpToDate>
  <CharactersWithSpaces>4330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Integrating resilience from individual to community</dc:title>
  <dc:creator>Hung-wei Lin</dc:creator>
  <cp:lastModifiedBy>Hung-Wei Lin</cp:lastModifiedBy>
  <cp:revision>40</cp:revision>
  <dcterms:created xsi:type="dcterms:W3CDTF">2026-09-21T18:43:00Z</dcterms:created>
  <dcterms:modified xsi:type="dcterms:W3CDTF">2026-09-21T21:45:00Z</dcterms:modified>
</cp:coreProperties>
</file>