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为什么我长期看好银行股：从招商银行的五年持仓说起</w:t>
      </w:r>
    </w:p>
    <w:p>
      <w:r>
        <w:rPr>
          <w:b/>
        </w:rPr>
        <w:t>复盘我从 2021 年开始持有招行的完整逻辑。</w:t>
      </w:r>
    </w:p>
    <w:p>
      <w:pPr>
        <w:pStyle w:val="Heading2"/>
      </w:pPr>
      <w:r>
        <w:t>一、最初的买入逻辑</w:t>
      </w:r>
    </w:p>
    <w:p>
      <w:r>
        <w:t>2021 年我第一次买入招商银行，核心逻辑有三点：高 ROE、稳定分红、零售银行护城河。</w:t>
      </w:r>
    </w:p>
    <w:p>
      <w:pPr>
        <w:pStyle w:val="Heading2"/>
      </w:pPr>
      <w:r>
        <w:t>二、中间经历的波动</w:t>
      </w:r>
    </w:p>
    <w:p>
      <w:r>
        <w:t>2022 年银行板块大跌，招行从高点回撤超过 30%。当时很多人问我为什么不卖，我的回答很简单：</w:t>
      </w:r>
    </w:p>
    <w:p>
      <w:r>
        <w:rPr>
          <w:b/>
        </w:rPr>
        <w:t>好公司+好价格，波动是买入机会而不是卖出理由。</w:t>
      </w:r>
    </w:p>
    <w:p>
      <w:pPr>
        <w:pStyle w:val="Heading2"/>
      </w:pPr>
      <w:r>
        <w:t>三、现在的持仓思考</w:t>
      </w:r>
    </w:p>
    <w:p>
      <w:r>
        <w:t>五年下来，招行给我的分红已经覆盖了最初投入的三分之一。长期持有的关键在于：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年份</w:t>
            </w:r>
          </w:p>
        </w:tc>
        <w:tc>
          <w:tcPr>
            <w:tcW w:type="dxa" w:w="4320"/>
          </w:tcPr>
          <w:p>
            <w:r>
              <w:t>股息率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5.2%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5.8%</w:t>
            </w:r>
          </w:p>
        </w:tc>
      </w:tr>
    </w:tbl>
    <w:p>
      <w:r>
        <w:t>这就是我的投资随笔第一篇，写给未来的自己。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