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44"/>
          <w:szCs w:val="44"/>
        </w:rPr>
        <w:t xml:space="preserve">HOJA DE RUTA</w:t>
      </w:r>
    </w:p>
    <w:p>
      <w:pPr>
        <w:spacing w:after="60"/>
        <w:jc w:val="center"/>
      </w:pPr>
      <w:r>
        <w:rPr>
          <w:b/>
          <w:bCs/>
          <w:color w:val="404040"/>
          <w:sz w:val="26"/>
          <w:szCs w:val="26"/>
        </w:rPr>
        <w:t xml:space="preserve">Arbitraje P2P en Binance Venezuela: capital necesario para una meta de $30 USD/día</w:t>
      </w:r>
    </w:p>
    <w:p>
      <w:pPr>
        <w:spacing w:after="300"/>
        <w:jc w:val="center"/>
      </w:pPr>
      <w:r>
        <w:rPr>
          <w:i/>
          <w:iCs/>
          <w:color w:val="595959"/>
          <w:sz w:val="20"/>
          <w:szCs w:val="20"/>
        </w:rPr>
        <w:t xml:space="preserve">Actualizado con referencias de mercado al 5 de agosto de 2026</w:t>
      </w:r>
    </w:p>
    <w:p>
      <w:pPr>
        <w:spacing w:after="80"/>
      </w:pPr>
      <w:r>
        <w:rPr>
          <w:b/>
          <w:bCs/>
          <w:color w:val="C00000"/>
          <w:sz w:val="22"/>
          <w:szCs w:val="22"/>
        </w:rPr>
        <w:t xml:space="preserve">⚠ Aviso importante</w:t>
      </w:r>
    </w:p>
    <w:p>
      <w:pPr>
        <w:spacing w:after="160"/>
      </w:pPr>
      <w:r>
        <w:rPr>
          <w:sz w:val="20"/>
          <w:szCs w:val="20"/>
        </w:rPr>
        <w:t xml:space="preserve">No soy asesor financiero y esto no es una recomendación de inversión. El arbitraje P2P no ofrece ganancias garantizadas: el spread (diferencia entre precio de compra y de venta) cambia todo el día según oferta y demanda, y depende de tu capacidad real de ejecutar operaciones rápido. Las cifras de este documento son estimaciones basadas en spreads típicos observados en el mercado P2P de Binance Venezuela; úsalas como punto de partida, no como promesa de resultado.</w:t>
      </w:r>
    </w:p>
    <w:p>
      <w:pPr>
        <w:pStyle w:val="Heading1"/>
        <w:spacing w:after="160" w:before="320"/>
      </w:pPr>
      <w:r>
        <w:t xml:space="preserve">1. Cómo funciona el arbitraje P2P</w:t>
      </w:r>
    </w:p>
    <w:p>
      <w:pPr>
        <w:spacing w:after="160"/>
      </w:pPr>
      <w:r>
        <w:t xml:space="preserve">El arbitraje P2P consiste en comprar una criptomoneda (normalmente USDT) a un anunciante que vende barato, y venderla casi de inmediato a otro anunciante que compra más caro, quedándote con la diferencia (el "spread"). En Binance P2P Venezuela, ese spread suele moverse entre 0.5% y 2% en condiciones normales de mercado; en momentos de alta volatilidad cambiaria puede ampliarse por encima de eso, aunque no es lo habitual.</w:t>
      </w:r>
    </w:p>
    <w:p>
      <w:pPr>
        <w:spacing w:after="160"/>
      </w:pPr>
      <w:r>
        <w:t xml:space="preserve">La plataforma no cobra comisión directa al comprador ni al vendedor en P2P: tu ganancia es exactamente ese spread, menos el tiempo que te toma ejecutar cada ciclo (comprar → recibir USDT en custodia → publicar o buscar venta → recibir el pago en bolívares).</w:t>
      </w:r>
    </w:p>
    <w:p>
      <w:pPr>
        <w:pStyle w:val="Heading1"/>
        <w:spacing w:after="160" w:before="320"/>
      </w:pPr>
      <w:r>
        <w:t xml:space="preserve">2. La fórmula del capital necesario</w:t>
      </w:r>
    </w:p>
    <w:p>
      <w:pPr>
        <w:spacing w:after="160"/>
      </w:pPr>
      <w:r>
        <w:t xml:space="preserve">La ganancia diaria depende de tres variables:</w:t>
      </w:r>
    </w:p>
    <w:p>
      <w:pPr>
        <w:pStyle w:val="ListParagraph"/>
        <w:numPr>
          <w:ilvl w:val="0"/>
          <w:numId w:val="1"/>
        </w:numPr>
        <w:spacing w:after="80"/>
      </w:pPr>
      <w:r>
        <w:t xml:space="preserve">Capital que rotas (cuánto dinero usas en cada ciclo de compra-venta).</w:t>
      </w:r>
    </w:p>
    <w:p>
      <w:pPr>
        <w:pStyle w:val="ListParagraph"/>
        <w:numPr>
          <w:ilvl w:val="0"/>
          <w:numId w:val="1"/>
        </w:numPr>
        <w:spacing w:after="80"/>
      </w:pPr>
      <w:r>
        <w:t xml:space="preserve">Spread promedio que consigues por operación.</w:t>
      </w:r>
    </w:p>
    <w:p>
      <w:pPr>
        <w:pStyle w:val="ListParagraph"/>
        <w:numPr>
          <w:ilvl w:val="0"/>
          <w:numId w:val="1"/>
        </w:numPr>
        <w:spacing w:after="80"/>
      </w:pPr>
      <w:r>
        <w:t xml:space="preserve">Número de rotaciones que logras hacer en un día (cuántas veces reutilizas el mismo capital).</w:t>
      </w:r>
    </w:p>
    <w:p>
      <w:pPr>
        <w:spacing w:after="200" w:before="120"/>
        <w:jc w:val="center"/>
      </w:pPr>
      <w:r>
        <w:rPr>
          <w:b/>
          <w:bCs/>
          <w:color w:val="1F4E78"/>
          <w:sz w:val="24"/>
          <w:szCs w:val="24"/>
        </w:rPr>
        <w:t xml:space="preserve">Ganancia diaria = Capital × Spread × N.º de rotaciones al día</w:t>
      </w:r>
    </w:p>
    <w:p>
      <w:pPr>
        <w:spacing w:after="160"/>
      </w:pPr>
      <w:r>
        <w:t xml:space="preserve">Despejando el capital para una meta de $30 USD/día:</w:t>
      </w:r>
    </w:p>
    <w:p>
      <w:pPr>
        <w:spacing w:after="240" w:before="60"/>
        <w:jc w:val="center"/>
      </w:pPr>
      <w:r>
        <w:rPr>
          <w:b/>
          <w:bCs/>
          <w:color w:val="1F4E78"/>
          <w:sz w:val="24"/>
          <w:szCs w:val="24"/>
        </w:rPr>
        <w:t xml:space="preserve">Capital necesario = $30 ÷ (Spread × N.º de rotaciones al día)</w:t>
      </w:r>
    </w:p>
    <w:p>
      <w:pPr>
        <w:pStyle w:val="Heading1"/>
        <w:spacing w:after="160" w:before="320"/>
      </w:pPr>
      <w:r>
        <w:t xml:space="preserve">3. Tabla: capital necesario según spread y rotaciones diarias</w:t>
      </w:r>
    </w:p>
    <w:p>
      <w:pPr>
        <w:spacing w:after="160"/>
      </w:pPr>
      <w:r>
        <w:rPr>
          <w:sz w:val="20"/>
          <w:szCs w:val="20"/>
        </w:rPr>
        <w:t xml:space="preserve">Esta tabla asume que puedes reutilizar el mismo capital varias veces al día (comprar, vender, volver a comprar). En la práctica, cada rotación completa —incluyendo encontrar contraparte, transferencia bancaria y confirmación— suele tomar entre 15 y 45 minutos, así que 2-4 rotaciones por día es un rango realista para alguien que le dedica varias horas activas.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5"/>
      </w:tblGrid>
      <w:tr>
        <w:trPr>
          <w:tblHeader/>
        </w:trPr>
        <w:tc>
          <w:tcPr>
            <w:tcW w:type="dxa" w:w="2621"/>
            <w:shd w:fill="1F4E78" w:val="clear"/>
            <w:vAlign w:val="center"/>
          </w:tcPr>
          <w:p>
            <w:pPr>
              <w:jc w:val="center"/>
            </w:pPr>
            <w:r>
              <w:rPr>
                <w:b/>
                <w:bCs/>
                <w:color w:val="FFFFFF"/>
                <w:sz w:val="20"/>
                <w:szCs w:val="20"/>
              </w:rPr>
              <w:t xml:space="preserve">Spread por operación</w:t>
            </w:r>
          </w:p>
        </w:tc>
        <w:tc>
          <w:tcPr>
            <w:tcW w:type="dxa" w:w="1685"/>
            <w:shd w:fill="1F4E78" w:val="clear"/>
            <w:vAlign w:val="center"/>
          </w:tcPr>
          <w:p>
            <w:pPr>
              <w:jc w:val="center"/>
            </w:pPr>
            <w:r>
              <w:rPr>
                <w:b/>
                <w:bCs/>
                <w:color w:val="FFFFFF"/>
                <w:sz w:val="20"/>
                <w:szCs w:val="20"/>
              </w:rPr>
              <w:t xml:space="preserve">1 rotación/día</w:t>
            </w:r>
          </w:p>
        </w:tc>
        <w:tc>
          <w:tcPr>
            <w:tcW w:type="dxa" w:w="1685"/>
            <w:shd w:fill="1F4E78" w:val="clear"/>
            <w:vAlign w:val="center"/>
          </w:tcPr>
          <w:p>
            <w:pPr>
              <w:jc w:val="center"/>
            </w:pPr>
            <w:r>
              <w:rPr>
                <w:b/>
                <w:bCs/>
                <w:color w:val="FFFFFF"/>
                <w:sz w:val="20"/>
                <w:szCs w:val="20"/>
              </w:rPr>
              <w:t xml:space="preserve">2 rotaciónes/día</w:t>
            </w:r>
          </w:p>
        </w:tc>
        <w:tc>
          <w:tcPr>
            <w:tcW w:type="dxa" w:w="1685"/>
            <w:shd w:fill="1F4E78" w:val="clear"/>
            <w:vAlign w:val="center"/>
          </w:tcPr>
          <w:p>
            <w:pPr>
              <w:jc w:val="center"/>
            </w:pPr>
            <w:r>
              <w:rPr>
                <w:b/>
                <w:bCs/>
                <w:color w:val="FFFFFF"/>
                <w:sz w:val="20"/>
                <w:szCs w:val="20"/>
              </w:rPr>
              <w:t xml:space="preserve">3 rotaciónes/día</w:t>
            </w:r>
          </w:p>
        </w:tc>
        <w:tc>
          <w:tcPr>
            <w:tcW w:type="dxa" w:w="1685"/>
            <w:shd w:fill="1F4E78" w:val="clear"/>
            <w:vAlign w:val="center"/>
          </w:tcPr>
          <w:p>
            <w:pPr>
              <w:jc w:val="center"/>
            </w:pPr>
            <w:r>
              <w:rPr>
                <w:b/>
                <w:bCs/>
                <w:color w:val="FFFFFF"/>
                <w:sz w:val="20"/>
                <w:szCs w:val="20"/>
              </w:rPr>
              <w:t xml:space="preserve">4 rotaciónes/día</w:t>
            </w:r>
          </w:p>
        </w:tc>
      </w:tr>
      <w:tr>
        <w:tc>
          <w:tcPr>
            <w:tcW w:type="dxa" w:w="2621"/>
            <w:shd w:fill="D9E1F2" w:val="clear"/>
            <w:vAlign w:val="center"/>
          </w:tcPr>
          <w:p>
            <w:pPr>
              <w:jc w:val="center"/>
            </w:pPr>
            <w:r>
              <w:rPr>
                <w:b/>
                <w:bCs/>
                <w:sz w:val="20"/>
                <w:szCs w:val="20"/>
              </w:rPr>
              <w:t xml:space="preserve">0.5%</w:t>
            </w:r>
          </w:p>
        </w:tc>
        <w:tc>
          <w:tcPr>
            <w:tcW w:type="dxa" w:w="1685"/>
            <w:vAlign w:val="center"/>
          </w:tcPr>
          <w:p>
            <w:pPr>
              <w:jc w:val="center"/>
            </w:pPr>
            <w:r>
              <w:rPr>
                <w:b w:val="false"/>
                <w:bCs w:val="false"/>
                <w:sz w:val="20"/>
                <w:szCs w:val="20"/>
              </w:rPr>
              <w:t xml:space="preserve">$6,000</w:t>
            </w:r>
          </w:p>
        </w:tc>
        <w:tc>
          <w:tcPr>
            <w:tcW w:type="dxa" w:w="1685"/>
            <w:vAlign w:val="center"/>
          </w:tcPr>
          <w:p>
            <w:pPr>
              <w:jc w:val="center"/>
            </w:pPr>
            <w:r>
              <w:rPr>
                <w:b w:val="false"/>
                <w:bCs w:val="false"/>
                <w:sz w:val="20"/>
                <w:szCs w:val="20"/>
              </w:rPr>
              <w:t xml:space="preserve">$3,000</w:t>
            </w:r>
          </w:p>
        </w:tc>
        <w:tc>
          <w:tcPr>
            <w:tcW w:type="dxa" w:w="1685"/>
            <w:vAlign w:val="center"/>
          </w:tcPr>
          <w:p>
            <w:pPr>
              <w:jc w:val="center"/>
            </w:pPr>
            <w:r>
              <w:rPr>
                <w:b w:val="false"/>
                <w:bCs w:val="false"/>
                <w:sz w:val="20"/>
                <w:szCs w:val="20"/>
              </w:rPr>
              <w:t xml:space="preserve">$2,000</w:t>
            </w:r>
          </w:p>
        </w:tc>
        <w:tc>
          <w:tcPr>
            <w:tcW w:type="dxa" w:w="1685"/>
            <w:vAlign w:val="center"/>
          </w:tcPr>
          <w:p>
            <w:pPr>
              <w:jc w:val="center"/>
            </w:pPr>
            <w:r>
              <w:rPr>
                <w:b w:val="false"/>
                <w:bCs w:val="false"/>
                <w:sz w:val="20"/>
                <w:szCs w:val="20"/>
              </w:rPr>
              <w:t xml:space="preserve">$1,500</w:t>
            </w:r>
          </w:p>
        </w:tc>
      </w:tr>
      <w:tr>
        <w:tc>
          <w:tcPr>
            <w:tcW w:type="dxa" w:w="2621"/>
            <w:shd w:fill="D9E1F2" w:val="clear"/>
            <w:vAlign w:val="center"/>
          </w:tcPr>
          <w:p>
            <w:pPr>
              <w:jc w:val="center"/>
            </w:pPr>
            <w:r>
              <w:rPr>
                <w:b/>
                <w:bCs/>
                <w:sz w:val="20"/>
                <w:szCs w:val="20"/>
              </w:rPr>
              <w:t xml:space="preserve">1.0%</w:t>
            </w:r>
          </w:p>
        </w:tc>
        <w:tc>
          <w:tcPr>
            <w:tcW w:type="dxa" w:w="1685"/>
            <w:vAlign w:val="center"/>
          </w:tcPr>
          <w:p>
            <w:pPr>
              <w:jc w:val="center"/>
            </w:pPr>
            <w:r>
              <w:rPr>
                <w:b w:val="false"/>
                <w:bCs w:val="false"/>
                <w:sz w:val="20"/>
                <w:szCs w:val="20"/>
              </w:rPr>
              <w:t xml:space="preserve">$3,000</w:t>
            </w:r>
          </w:p>
        </w:tc>
        <w:tc>
          <w:tcPr>
            <w:tcW w:type="dxa" w:w="1685"/>
            <w:vAlign w:val="center"/>
          </w:tcPr>
          <w:p>
            <w:pPr>
              <w:jc w:val="center"/>
            </w:pPr>
            <w:r>
              <w:rPr>
                <w:b w:val="false"/>
                <w:bCs w:val="false"/>
                <w:sz w:val="20"/>
                <w:szCs w:val="20"/>
              </w:rPr>
              <w:t xml:space="preserve">$1,500</w:t>
            </w:r>
          </w:p>
        </w:tc>
        <w:tc>
          <w:tcPr>
            <w:tcW w:type="dxa" w:w="1685"/>
            <w:vAlign w:val="center"/>
          </w:tcPr>
          <w:p>
            <w:pPr>
              <w:jc w:val="center"/>
            </w:pPr>
            <w:r>
              <w:rPr>
                <w:b w:val="false"/>
                <w:bCs w:val="false"/>
                <w:sz w:val="20"/>
                <w:szCs w:val="20"/>
              </w:rPr>
              <w:t xml:space="preserve">$1,000</w:t>
            </w:r>
          </w:p>
        </w:tc>
        <w:tc>
          <w:tcPr>
            <w:tcW w:type="dxa" w:w="1685"/>
            <w:vAlign w:val="center"/>
          </w:tcPr>
          <w:p>
            <w:pPr>
              <w:jc w:val="center"/>
            </w:pPr>
            <w:r>
              <w:rPr>
                <w:b w:val="false"/>
                <w:bCs w:val="false"/>
                <w:sz w:val="20"/>
                <w:szCs w:val="20"/>
              </w:rPr>
              <w:t xml:space="preserve">$750</w:t>
            </w:r>
          </w:p>
        </w:tc>
      </w:tr>
      <w:tr>
        <w:tc>
          <w:tcPr>
            <w:tcW w:type="dxa" w:w="2621"/>
            <w:shd w:fill="D9E1F2" w:val="clear"/>
            <w:vAlign w:val="center"/>
          </w:tcPr>
          <w:p>
            <w:pPr>
              <w:jc w:val="center"/>
            </w:pPr>
            <w:r>
              <w:rPr>
                <w:b/>
                <w:bCs/>
                <w:sz w:val="20"/>
                <w:szCs w:val="20"/>
              </w:rPr>
              <w:t xml:space="preserve">1.5%</w:t>
            </w:r>
          </w:p>
        </w:tc>
        <w:tc>
          <w:tcPr>
            <w:tcW w:type="dxa" w:w="1685"/>
            <w:vAlign w:val="center"/>
          </w:tcPr>
          <w:p>
            <w:pPr>
              <w:jc w:val="center"/>
            </w:pPr>
            <w:r>
              <w:rPr>
                <w:b w:val="false"/>
                <w:bCs w:val="false"/>
                <w:sz w:val="20"/>
                <w:szCs w:val="20"/>
              </w:rPr>
              <w:t xml:space="preserve">$2,000</w:t>
            </w:r>
          </w:p>
        </w:tc>
        <w:tc>
          <w:tcPr>
            <w:tcW w:type="dxa" w:w="1685"/>
            <w:vAlign w:val="center"/>
          </w:tcPr>
          <w:p>
            <w:pPr>
              <w:jc w:val="center"/>
            </w:pPr>
            <w:r>
              <w:rPr>
                <w:b w:val="false"/>
                <w:bCs w:val="false"/>
                <w:sz w:val="20"/>
                <w:szCs w:val="20"/>
              </w:rPr>
              <w:t xml:space="preserve">$1,000</w:t>
            </w:r>
          </w:p>
        </w:tc>
        <w:tc>
          <w:tcPr>
            <w:tcW w:type="dxa" w:w="1685"/>
            <w:vAlign w:val="center"/>
          </w:tcPr>
          <w:p>
            <w:pPr>
              <w:jc w:val="center"/>
            </w:pPr>
            <w:r>
              <w:rPr>
                <w:b w:val="false"/>
                <w:bCs w:val="false"/>
                <w:sz w:val="20"/>
                <w:szCs w:val="20"/>
              </w:rPr>
              <w:t xml:space="preserve">$670</w:t>
            </w:r>
          </w:p>
        </w:tc>
        <w:tc>
          <w:tcPr>
            <w:tcW w:type="dxa" w:w="1685"/>
            <w:vAlign w:val="center"/>
          </w:tcPr>
          <w:p>
            <w:pPr>
              <w:jc w:val="center"/>
            </w:pPr>
            <w:r>
              <w:rPr>
                <w:b w:val="false"/>
                <w:bCs w:val="false"/>
                <w:sz w:val="20"/>
                <w:szCs w:val="20"/>
              </w:rPr>
              <w:t xml:space="preserve">$500</w:t>
            </w:r>
          </w:p>
        </w:tc>
      </w:tr>
      <w:tr>
        <w:tc>
          <w:tcPr>
            <w:tcW w:type="dxa" w:w="2621"/>
            <w:shd w:fill="D9E1F2" w:val="clear"/>
            <w:vAlign w:val="center"/>
          </w:tcPr>
          <w:p>
            <w:pPr>
              <w:jc w:val="center"/>
            </w:pPr>
            <w:r>
              <w:rPr>
                <w:b/>
                <w:bCs/>
                <w:sz w:val="20"/>
                <w:szCs w:val="20"/>
              </w:rPr>
              <w:t xml:space="preserve">2.0%</w:t>
            </w:r>
          </w:p>
        </w:tc>
        <w:tc>
          <w:tcPr>
            <w:tcW w:type="dxa" w:w="1685"/>
            <w:vAlign w:val="center"/>
          </w:tcPr>
          <w:p>
            <w:pPr>
              <w:jc w:val="center"/>
            </w:pPr>
            <w:r>
              <w:rPr>
                <w:b w:val="false"/>
                <w:bCs w:val="false"/>
                <w:sz w:val="20"/>
                <w:szCs w:val="20"/>
              </w:rPr>
              <w:t xml:space="preserve">$1,500</w:t>
            </w:r>
          </w:p>
        </w:tc>
        <w:tc>
          <w:tcPr>
            <w:tcW w:type="dxa" w:w="1685"/>
            <w:vAlign w:val="center"/>
          </w:tcPr>
          <w:p>
            <w:pPr>
              <w:jc w:val="center"/>
            </w:pPr>
            <w:r>
              <w:rPr>
                <w:b w:val="false"/>
                <w:bCs w:val="false"/>
                <w:sz w:val="20"/>
                <w:szCs w:val="20"/>
              </w:rPr>
              <w:t xml:space="preserve">$750</w:t>
            </w:r>
          </w:p>
        </w:tc>
        <w:tc>
          <w:tcPr>
            <w:tcW w:type="dxa" w:w="1685"/>
            <w:vAlign w:val="center"/>
          </w:tcPr>
          <w:p>
            <w:pPr>
              <w:jc w:val="center"/>
            </w:pPr>
            <w:r>
              <w:rPr>
                <w:b w:val="false"/>
                <w:bCs w:val="false"/>
                <w:sz w:val="20"/>
                <w:szCs w:val="20"/>
              </w:rPr>
              <w:t xml:space="preserve">$500</w:t>
            </w:r>
          </w:p>
        </w:tc>
        <w:tc>
          <w:tcPr>
            <w:tcW w:type="dxa" w:w="1685"/>
            <w:vAlign w:val="center"/>
          </w:tcPr>
          <w:p>
            <w:pPr>
              <w:jc w:val="center"/>
            </w:pPr>
            <w:r>
              <w:rPr>
                <w:b w:val="false"/>
                <w:bCs w:val="false"/>
                <w:sz w:val="20"/>
                <w:szCs w:val="20"/>
              </w:rPr>
              <w:t xml:space="preserve">$380</w:t>
            </w:r>
          </w:p>
        </w:tc>
      </w:tr>
      <w:tr>
        <w:tc>
          <w:tcPr>
            <w:tcW w:type="dxa" w:w="2621"/>
            <w:shd w:fill="D9E1F2" w:val="clear"/>
            <w:vAlign w:val="center"/>
          </w:tcPr>
          <w:p>
            <w:pPr>
              <w:jc w:val="center"/>
            </w:pPr>
            <w:r>
              <w:rPr>
                <w:b/>
                <w:bCs/>
                <w:sz w:val="20"/>
                <w:szCs w:val="20"/>
              </w:rPr>
              <w:t xml:space="preserve">3.0%</w:t>
            </w:r>
          </w:p>
        </w:tc>
        <w:tc>
          <w:tcPr>
            <w:tcW w:type="dxa" w:w="1685"/>
            <w:vAlign w:val="center"/>
          </w:tcPr>
          <w:p>
            <w:pPr>
              <w:jc w:val="center"/>
            </w:pPr>
            <w:r>
              <w:rPr>
                <w:b w:val="false"/>
                <w:bCs w:val="false"/>
                <w:sz w:val="20"/>
                <w:szCs w:val="20"/>
              </w:rPr>
              <w:t xml:space="preserve">$1,000</w:t>
            </w:r>
          </w:p>
        </w:tc>
        <w:tc>
          <w:tcPr>
            <w:tcW w:type="dxa" w:w="1685"/>
            <w:vAlign w:val="center"/>
          </w:tcPr>
          <w:p>
            <w:pPr>
              <w:jc w:val="center"/>
            </w:pPr>
            <w:r>
              <w:rPr>
                <w:b w:val="false"/>
                <w:bCs w:val="false"/>
                <w:sz w:val="20"/>
                <w:szCs w:val="20"/>
              </w:rPr>
              <w:t xml:space="preserve">$500</w:t>
            </w:r>
          </w:p>
        </w:tc>
        <w:tc>
          <w:tcPr>
            <w:tcW w:type="dxa" w:w="1685"/>
            <w:vAlign w:val="center"/>
          </w:tcPr>
          <w:p>
            <w:pPr>
              <w:jc w:val="center"/>
            </w:pPr>
            <w:r>
              <w:rPr>
                <w:b w:val="false"/>
                <w:bCs w:val="false"/>
                <w:sz w:val="20"/>
                <w:szCs w:val="20"/>
              </w:rPr>
              <w:t xml:space="preserve">$330</w:t>
            </w:r>
          </w:p>
        </w:tc>
        <w:tc>
          <w:tcPr>
            <w:tcW w:type="dxa" w:w="1685"/>
            <w:vAlign w:val="center"/>
          </w:tcPr>
          <w:p>
            <w:pPr>
              <w:jc w:val="center"/>
            </w:pPr>
            <w:r>
              <w:rPr>
                <w:b w:val="false"/>
                <w:bCs w:val="false"/>
                <w:sz w:val="20"/>
                <w:szCs w:val="20"/>
              </w:rPr>
              <w:t xml:space="preserve">$250</w:t>
            </w:r>
          </w:p>
        </w:tc>
      </w:tr>
    </w:tbl>
    <w:p>
      <w:pPr>
        <w:spacing w:after="160"/>
      </w:pPr>
      <w:r>
        <w:rPr>
          <w:i/>
          <w:iCs/>
          <w:color w:val="595959"/>
          <w:sz w:val="19"/>
          <w:szCs w:val="19"/>
        </w:rPr>
        <w:t xml:space="preserve">Ejemplo de lectura: con un spread de 1% y 3 rotaciones diarias, necesitarías aproximadamente $1,000 en capital de trabajo para apuntar a $30/día. Cifras redondeadas; no incluyen posibles caídas de spread por debajo del promedio ni días de menor liquidez.</w:t>
      </w:r>
    </w:p>
    <w:p>
      <w:pPr>
        <w:pStyle w:val="Heading1"/>
        <w:spacing w:after="160" w:before="320"/>
      </w:pPr>
      <w:r>
        <w:t xml:space="preserve">4. Hoja de ruta paso a paso</w:t>
      </w:r>
    </w:p>
    <w:p>
      <w:pPr>
        <w:spacing w:after="100" w:before="280"/>
      </w:pPr>
      <w:r>
        <w:rPr>
          <w:b/>
          <w:bCs/>
          <w:color w:val="1F4E78"/>
          <w:sz w:val="24"/>
          <w:szCs w:val="24"/>
        </w:rPr>
        <w:t xml:space="preserve">Paso 1. </w:t>
      </w:r>
      <w:r>
        <w:rPr>
          <w:b/>
          <w:bCs/>
          <w:color w:val="1F4E78"/>
          <w:sz w:val="24"/>
          <w:szCs w:val="24"/>
        </w:rPr>
        <w:t xml:space="preserve">Verifica tu cuenta y prepárala para operar</w:t>
      </w:r>
    </w:p>
    <w:p>
      <w:pPr>
        <w:spacing w:after="160"/>
      </w:pPr>
      <w:r>
        <w:rPr>
          <w:sz w:val="20"/>
          <w:szCs w:val="20"/>
        </w:rPr>
        <w:t xml:space="preserve">Completa el KYC completo en Binance (cédula + verificación facial). Sin esto no puedes operar en P2P. Empieza también a construir tu reputación (historial de órdenes completadas), porque muchos anunciantes con mejores tasas solo operan con contrapartes de reputación alta.</w:t>
      </w:r>
    </w:p>
    <w:p>
      <w:pPr>
        <w:spacing w:after="100" w:before="280"/>
      </w:pPr>
      <w:r>
        <w:rPr>
          <w:b/>
          <w:bCs/>
          <w:color w:val="1F4E78"/>
          <w:sz w:val="24"/>
          <w:szCs w:val="24"/>
        </w:rPr>
        <w:t xml:space="preserve">Paso 2. </w:t>
      </w:r>
      <w:r>
        <w:rPr>
          <w:b/>
          <w:bCs/>
          <w:color w:val="1F4E78"/>
          <w:sz w:val="24"/>
          <w:szCs w:val="24"/>
        </w:rPr>
        <w:t xml:space="preserve">Aprende a leer el libro de ofertas P2P</w:t>
      </w:r>
    </w:p>
    <w:p>
      <w:pPr>
        <w:spacing w:after="160"/>
      </w:pPr>
      <w:r>
        <w:rPr>
          <w:sz w:val="20"/>
          <w:szCs w:val="20"/>
        </w:rPr>
        <w:t xml:space="preserve">En la pantalla de P2P, ordena los anuncios de compra y de venta por precio. Antes de operar con alguien revisa: % de finalización (idealmente +95%), número de órdenes completadas, límites mínimo/máximo, y método de pago disponible. Esto reduce el riesgo de quedarte atascado en una orden con alguien poco confiable.</w:t>
      </w:r>
    </w:p>
    <w:p>
      <w:pPr>
        <w:spacing w:after="100" w:before="280"/>
      </w:pPr>
      <w:r>
        <w:rPr>
          <w:b/>
          <w:bCs/>
          <w:color w:val="1F4E78"/>
          <w:sz w:val="24"/>
          <w:szCs w:val="24"/>
        </w:rPr>
        <w:t xml:space="preserve">Paso 3. </w:t>
      </w:r>
      <w:r>
        <w:rPr>
          <w:b/>
          <w:bCs/>
          <w:color w:val="1F4E78"/>
          <w:sz w:val="24"/>
          <w:szCs w:val="24"/>
        </w:rPr>
        <w:t xml:space="preserve">Elige tu método de pago con mejor liquidez</w:t>
      </w:r>
    </w:p>
    <w:p>
      <w:pPr>
        <w:spacing w:after="160"/>
      </w:pPr>
      <w:r>
        <w:rPr>
          <w:sz w:val="20"/>
          <w:szCs w:val="20"/>
        </w:rPr>
        <w:t xml:space="preserve">Pago Móvil suele ser el método más rápido en Venezuela para confirmar transferencias en minutos; los bancos con más volumen en Binance P2P (por ejemplo Banesco, Mercantil, Banco de Venezuela) suelen tener más anuncios y mejores tasas. Concentra tu operativa en 1-2 métodos que domines bien.</w:t>
      </w:r>
    </w:p>
    <w:p>
      <w:pPr>
        <w:spacing w:after="100" w:before="280"/>
      </w:pPr>
      <w:r>
        <w:rPr>
          <w:b/>
          <w:bCs/>
          <w:color w:val="1F4E78"/>
          <w:sz w:val="24"/>
          <w:szCs w:val="24"/>
        </w:rPr>
        <w:t xml:space="preserve">Paso 4. </w:t>
      </w:r>
      <w:r>
        <w:rPr>
          <w:b/>
          <w:bCs/>
          <w:color w:val="1F4E78"/>
          <w:sz w:val="24"/>
          <w:szCs w:val="24"/>
        </w:rPr>
        <w:t xml:space="preserve">Haz una fase de prueba con capital pequeño</w:t>
      </w:r>
    </w:p>
    <w:p>
      <w:pPr>
        <w:spacing w:after="160"/>
      </w:pPr>
      <w:r>
        <w:rPr>
          <w:sz w:val="20"/>
          <w:szCs w:val="20"/>
        </w:rPr>
        <w:t xml:space="preserve">Antes de comprometer capital grande, opera 3-5 días con $100-300 (o el equivalente en Bs) para medir tu spread REAL neto (no el spread teórico) y cuántas rotaciones puedes hacer de forma realista sin apresurarte ni cometer errores. Esta fase te da tus propios números para usar la tabla de la sección 3, en vez de asumir un spread genérico.</w:t>
      </w:r>
    </w:p>
    <w:p>
      <w:pPr>
        <w:spacing w:after="100" w:before="280"/>
      </w:pPr>
      <w:r>
        <w:rPr>
          <w:b/>
          <w:bCs/>
          <w:color w:val="1F4E78"/>
          <w:sz w:val="24"/>
          <w:szCs w:val="24"/>
        </w:rPr>
        <w:t xml:space="preserve">Paso 5. </w:t>
      </w:r>
      <w:r>
        <w:rPr>
          <w:b/>
          <w:bCs/>
          <w:color w:val="1F4E78"/>
          <w:sz w:val="24"/>
          <w:szCs w:val="24"/>
        </w:rPr>
        <w:t xml:space="preserve">Calcula tu capital objetivo</w:t>
      </w:r>
    </w:p>
    <w:p>
      <w:pPr>
        <w:spacing w:after="160"/>
      </w:pPr>
      <w:r>
        <w:rPr>
          <w:sz w:val="20"/>
          <w:szCs w:val="20"/>
        </w:rPr>
        <w:t xml:space="preserve">Con el spread y las rotaciones que mediste en la prueba, busca en la tabla (o aplica la fórmula) cuánto capital necesitas para tu meta de $30/día. Si el número te queda muy alto para lo que tienes disponible, es más realista ajustar la meta diaria mientras creces, en vez de forzar más capital del que puedes respaldar.</w:t>
      </w:r>
    </w:p>
    <w:p>
      <w:pPr>
        <w:spacing w:after="100" w:before="280"/>
      </w:pPr>
      <w:r>
        <w:rPr>
          <w:b/>
          <w:bCs/>
          <w:color w:val="1F4E78"/>
          <w:sz w:val="24"/>
          <w:szCs w:val="24"/>
        </w:rPr>
        <w:t xml:space="preserve">Paso 6. </w:t>
      </w:r>
      <w:r>
        <w:rPr>
          <w:b/>
          <w:bCs/>
          <w:color w:val="1F4E78"/>
          <w:sz w:val="24"/>
          <w:szCs w:val="24"/>
        </w:rPr>
        <w:t xml:space="preserve">Escala el capital de forma gradual</w:t>
      </w:r>
    </w:p>
    <w:p>
      <w:pPr>
        <w:spacing w:after="160"/>
      </w:pPr>
      <w:r>
        <w:rPr>
          <w:sz w:val="20"/>
          <w:szCs w:val="20"/>
        </w:rPr>
        <w:t xml:space="preserve">Aumenta el capital de trabajo por tramos (por ejemplo, +20-30% cada 1-2 semanas) en vez de invertir todo de golpe. Esto te da margen para ajustar el proceso si algo falla (una disputa, una caída del spread, un banco con fallas) sin comprometer todo tu capital a la vez.</w:t>
      </w:r>
    </w:p>
    <w:p>
      <w:pPr>
        <w:spacing w:after="100" w:before="280"/>
      </w:pPr>
      <w:r>
        <w:rPr>
          <w:b/>
          <w:bCs/>
          <w:color w:val="1F4E78"/>
          <w:sz w:val="24"/>
          <w:szCs w:val="24"/>
        </w:rPr>
        <w:t xml:space="preserve">Paso 7. </w:t>
      </w:r>
      <w:r>
        <w:rPr>
          <w:b/>
          <w:bCs/>
          <w:color w:val="1F4E78"/>
          <w:sz w:val="24"/>
          <w:szCs w:val="24"/>
        </w:rPr>
        <w:t xml:space="preserve">Diversifica contrapartes y protege tu capital</w:t>
      </w:r>
    </w:p>
    <w:p>
      <w:pPr>
        <w:spacing w:after="160"/>
      </w:pPr>
      <w:r>
        <w:rPr>
          <w:sz w:val="20"/>
          <w:szCs w:val="20"/>
        </w:rPr>
        <w:t xml:space="preserve">Evita concentrar una operación grande en un solo anunciante nuevo; divide montos grandes entre varios anunciantes de alta reputación. Mantén una reserva de liquidez fuera de operación para cubrir el tiempo en que el capital queda "atrapado" en una disputa. Nunca confirmes el pago fuera del chat/escrow de Binance ni aceptes presión para liberar fondos antes de verificar que el dinero llegó a tu cuenta.</w:t>
      </w:r>
    </w:p>
    <w:p>
      <w:pPr>
        <w:spacing w:after="100" w:before="280"/>
      </w:pPr>
      <w:r>
        <w:rPr>
          <w:b/>
          <w:bCs/>
          <w:color w:val="1F4E78"/>
          <w:sz w:val="24"/>
          <w:szCs w:val="24"/>
        </w:rPr>
        <w:t xml:space="preserve">Paso 8. </w:t>
      </w:r>
      <w:r>
        <w:rPr>
          <w:b/>
          <w:bCs/>
          <w:color w:val="1F4E78"/>
          <w:sz w:val="24"/>
          <w:szCs w:val="24"/>
        </w:rPr>
        <w:t xml:space="preserve">Registra y controla tu rentabilidad real</w:t>
      </w:r>
    </w:p>
    <w:p>
      <w:pPr>
        <w:spacing w:after="160"/>
      </w:pPr>
      <w:r>
        <w:rPr>
          <w:sz w:val="20"/>
          <w:szCs w:val="20"/>
        </w:rPr>
        <w:t xml:space="preserve">Usa una planilla (como la que ya armamos en Excel) para registrar cada operación: precio de compra, precio de venta, comisión, spread neto y tiempo que tomó. El spread de mercado cambia semana a semana, así que revisa periódicamente si sigues necesitando el mismo capital para tu meta o si el mercado te permite bajarlo o te obliga a subirlo.</w:t>
      </w:r>
    </w:p>
    <w:p>
      <w:pPr>
        <w:spacing w:after="100" w:before="280"/>
      </w:pPr>
      <w:r>
        <w:rPr>
          <w:b/>
          <w:bCs/>
          <w:color w:val="1F4E78"/>
          <w:sz w:val="24"/>
          <w:szCs w:val="24"/>
        </w:rPr>
        <w:t xml:space="preserve">Paso 9. </w:t>
      </w:r>
      <w:r>
        <w:rPr>
          <w:b/>
          <w:bCs/>
          <w:color w:val="1F4E78"/>
          <w:sz w:val="24"/>
          <w:szCs w:val="24"/>
        </w:rPr>
        <w:t xml:space="preserve">Entiende tus obligaciones fiscales</w:t>
      </w:r>
    </w:p>
    <w:p>
      <w:pPr>
        <w:spacing w:after="160"/>
      </w:pPr>
      <w:r>
        <w:rPr>
          <w:sz w:val="20"/>
          <w:szCs w:val="20"/>
        </w:rPr>
        <w:t xml:space="preserve">Las ganancias que generes son ingreso gravable a efectos del ISLR. El IGTF (3% general) aplica principalmente a operaciones en divisas realizadas por "contribuyentes especiales" o pagos bancarizados en moneda extranjera; una transferencia entre personas naturales en bolívares (Pago Móvil) normalmente no cae en ese supuesto, pero si mueves montos grandes o usas cuentas en divisas conviene confirmarlo con un contador, ya que la normativa se ha modificado varias veces. Esto no es asesoría legal ni fiscal.</w:t>
      </w:r>
    </w:p>
    <w:p>
      <w:pPr>
        <w:spacing w:after="100" w:before="280"/>
      </w:pPr>
      <w:r>
        <w:rPr>
          <w:b/>
          <w:bCs/>
          <w:color w:val="1F4E78"/>
          <w:sz w:val="24"/>
          <w:szCs w:val="24"/>
        </w:rPr>
        <w:t xml:space="preserve">Paso 10. </w:t>
      </w:r>
      <w:r>
        <w:rPr>
          <w:b/>
          <w:bCs/>
          <w:color w:val="1F4E78"/>
          <w:sz w:val="24"/>
          <w:szCs w:val="24"/>
        </w:rPr>
        <w:t xml:space="preserve">Reinvierte y ajusta la meta con el tiempo</w:t>
      </w:r>
    </w:p>
    <w:p>
      <w:pPr>
        <w:spacing w:after="160"/>
      </w:pPr>
      <w:r>
        <w:rPr>
          <w:sz w:val="20"/>
          <w:szCs w:val="20"/>
        </w:rPr>
        <w:t xml:space="preserve">Si $30/día requiere más capital del que tienes hoy, tres caminos razonables son: (a) empezar con una meta diaria menor mientras acumulas capital con las ganancias, (b) dedicar más horas activas para aumentar el número de rotaciones, o (c) mejorar tu spread comparando más anuncios y operando en horarios de mayor movimiento cambiario. Evita forzar el capital pidiendo prestado para "llegar más rápido" a la meta: el spread no está garantizado día a día.</w:t>
      </w:r>
    </w:p>
    <w:p>
      <w:pPr>
        <w:pStyle w:val="Heading1"/>
        <w:spacing w:after="160" w:before="320"/>
      </w:pPr>
      <w:r>
        <w:t xml:space="preserve">5. Riesgos a tener en cuenta</w:t>
      </w:r>
    </w:p>
    <w:p>
      <w:pPr>
        <w:pStyle w:val="ListParagraph"/>
        <w:numPr>
          <w:ilvl w:val="0"/>
          <w:numId w:val="1"/>
        </w:numPr>
        <w:spacing w:after="80"/>
      </w:pPr>
      <w:r>
        <w:t xml:space="preserve">Riesgo de contraparte/estafa: siempre opera dentro del escrow de Binance; nunca liberes cripto o marques "pagado" sin confirmar el ingreso real del dinero.</w:t>
      </w:r>
    </w:p>
    <w:p>
      <w:pPr>
        <w:pStyle w:val="ListParagraph"/>
        <w:numPr>
          <w:ilvl w:val="0"/>
          <w:numId w:val="1"/>
        </w:numPr>
        <w:spacing w:after="80"/>
      </w:pPr>
      <w:r>
        <w:t xml:space="preserve">Riesgo cambiario: mientras el capital está en bolívares (esperando comprar o entre operaciones), pierde valor rápido frente al dólar por la depreciación del Bs; minimiza el tiempo que mantienes saldo en bolívares.</w:t>
      </w:r>
    </w:p>
    <w:p>
      <w:pPr>
        <w:pStyle w:val="ListParagraph"/>
        <w:numPr>
          <w:ilvl w:val="0"/>
          <w:numId w:val="1"/>
        </w:numPr>
        <w:spacing w:after="80"/>
      </w:pPr>
      <w:r>
        <w:t xml:space="preserve">Riesgo de liquidez: fallas de Pago Móvil o de la banca (algo frecuente en Venezuela) pueden alargar una rotación más de lo previsto, reduciendo tus rotaciones reales por día.</w:t>
      </w:r>
    </w:p>
    <w:p>
      <w:pPr>
        <w:pStyle w:val="ListParagraph"/>
        <w:numPr>
          <w:ilvl w:val="0"/>
          <w:numId w:val="1"/>
        </w:numPr>
        <w:spacing w:after="80"/>
      </w:pPr>
      <w:r>
        <w:t xml:space="preserve">Riesgo de spread: el spread de mercado puede comprimirse (más competencia entre arbitrajistas) y volver más lenta tu meta de $30/día con el mismo capital.</w:t>
      </w:r>
    </w:p>
    <w:p>
      <w:pPr>
        <w:pStyle w:val="ListParagraph"/>
        <w:numPr>
          <w:ilvl w:val="0"/>
          <w:numId w:val="1"/>
        </w:numPr>
        <w:spacing w:after="80"/>
      </w:pPr>
      <w:r>
        <w:t xml:space="preserve">Riesgo regulatorio: las reglas cambiarias y fiscales en Venezuela han cambiado varias veces en los últimos años; conviene revisar noticias del BCV/Seniat periódicamente.</w:t>
      </w:r>
    </w:p>
    <w:p>
      <w:pPr>
        <w:pStyle w:val="Heading1"/>
        <w:spacing w:after="160" w:before="320"/>
      </w:pPr>
      <w:r>
        <w:t xml:space="preserve">6. Resumen rápido</w:t>
      </w:r>
    </w:p>
    <w:p>
      <w:pPr>
        <w:pStyle w:val="ListParagraph"/>
        <w:numPr>
          <w:ilvl w:val="0"/>
          <w:numId w:val="1"/>
        </w:numPr>
        <w:spacing w:after="80"/>
      </w:pPr>
      <w:r>
        <w:t xml:space="preserve">Fórmula clave: Capital necesario = Meta diaria ÷ (Spread × Rotaciones/día).</w:t>
      </w:r>
    </w:p>
    <w:p>
      <w:pPr>
        <w:pStyle w:val="ListParagraph"/>
        <w:numPr>
          <w:ilvl w:val="0"/>
          <w:numId w:val="1"/>
        </w:numPr>
        <w:spacing w:after="80"/>
      </w:pPr>
      <w:r>
        <w:t xml:space="preserve">Con spreads típicos (0.5%-2%) y 2-3 rotaciones/día, la meta de $30/día suele requerir entre ~$500 y ~$3,000 de capital de trabajo.</w:t>
      </w:r>
    </w:p>
    <w:p>
      <w:pPr>
        <w:pStyle w:val="ListParagraph"/>
        <w:numPr>
          <w:ilvl w:val="0"/>
          <w:numId w:val="1"/>
        </w:numPr>
        <w:spacing w:after="80"/>
      </w:pPr>
      <w:r>
        <w:t xml:space="preserve">Empieza pequeño, mide tu spread y velocidad reales, y escala gradualmente.</w:t>
      </w:r>
    </w:p>
    <w:p>
      <w:pPr>
        <w:pStyle w:val="ListParagraph"/>
        <w:numPr>
          <w:ilvl w:val="0"/>
          <w:numId w:val="1"/>
        </w:numPr>
        <w:spacing w:after="80"/>
      </w:pPr>
      <w:r>
        <w:t xml:space="preserve">Protege el capital: reputación, escrow, diversificación de contrapartes y reserva de liquidez.</w:t>
      </w:r>
    </w:p>
    <w:p>
      <w:pPr>
        <w:pStyle w:val="ListParagraph"/>
        <w:numPr>
          <w:ilvl w:val="0"/>
          <w:numId w:val="1"/>
        </w:numPr>
        <w:spacing w:after="80"/>
      </w:pPr>
      <w:r>
        <w:t xml:space="preserve">Lleva registro de cada operación y revisa tus obligaciones fiscales.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2026-08-06T18:09:43.957Z</dcterms:created>
  <dcterms:modified xsi:type="dcterms:W3CDTF">2026-08-06T18:09:43.968Z</dcterms:modified>
</cp:coreProperties>
</file>

<file path=docProps/custom.xml><?xml version="1.0" encoding="utf-8"?>
<Properties xmlns="http://schemas.openxmlformats.org/officeDocument/2006/custom-properties" xmlns:vt="http://schemas.openxmlformats.org/officeDocument/2006/docPropsVTypes"/>
</file>