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Философская ясность</w:t>
      </w:r>
    </w:p>
    <w:p>
      <w:pPr>
        <w:pStyle w:val="Subtitle"/>
        <w:jc w:val="center"/>
        <w:rPr/>
      </w:pPr>
      <w:r>
        <w:rPr/>
        <w:t>О смысле понятий, постановке вопросов и ложных философских проблем</w:t>
      </w:r>
    </w:p>
    <w:p>
      <w:pPr>
        <w:pStyle w:val="Heading1"/>
        <w:ind w:hanging="0" w:left="0"/>
        <w:rPr/>
      </w:pPr>
      <w:r>
        <w:rPr/>
        <w:t>Введение</w:t>
      </w:r>
    </w:p>
    <w:p>
      <w:pPr>
        <w:pStyle w:val="Normal"/>
        <w:rPr/>
      </w:pPr>
      <w:r>
        <w:rPr/>
        <w:t>Философия стремится понять действительность. Но исследование невозможно, если мы не знаем, о чём именно говорим. Прежде чем спорить о существовании чего-либо, доказывать или опровергать тезис, необходимо установить смысл употребляемых понятий. Иначе вместо исследования действительности возникает исследование путаницы, созданной самим языком.</w:t>
      </w:r>
    </w:p>
    <w:p>
      <w:pPr>
        <w:pStyle w:val="Normal"/>
        <w:rPr/>
      </w:pPr>
      <w:r>
        <w:rPr/>
        <w:t>Не всякая фраза, заканчивающаяся вопросительным знаком, является осмысленным вопросом. Грамматическая правильность ещё не гарантирует смысловой определённости. Если вопрос неясен, отвечающий не обязан выбирать между «да» и «нет». Сначала следует потребовать ясной формулировки.</w:t>
      </w:r>
    </w:p>
    <w:p>
      <w:pPr>
        <w:pStyle w:val="Heading1"/>
        <w:ind w:hanging="0" w:left="0"/>
        <w:rPr/>
      </w:pPr>
      <w:r>
        <w:rPr/>
        <w:t>Многозначность и смешение понятий</w:t>
      </w:r>
    </w:p>
    <w:p>
      <w:pPr>
        <w:pStyle w:val="Normal"/>
        <w:rPr/>
      </w:pPr>
      <w:r>
        <w:rPr/>
        <w:t>В повседневной речи одно слово часто служит для обозначения разных вещей. Это удобно в разговоре, где значение помогает установить контекст. Но в философском рассуждении незаметная смена значения превращается в источник ошибок.</w:t>
      </w:r>
    </w:p>
    <w:p>
      <w:pPr>
        <w:pStyle w:val="Normal"/>
        <w:rPr/>
      </w:pPr>
      <w:r>
        <w:rPr/>
        <w:t>Слово «случайность», например, может означать непредвиденное событие, незнание причин, совпадение независимых процессов или отсутствие однозначной причинной обусловленности. Эти значения не тождественны. Если один участник спора говорит о незнании причин, а другой — об устройстве природы, они могут долго возражать друг другу, даже не обсуждая один предмет.</w:t>
      </w:r>
    </w:p>
    <w:p>
      <w:pPr>
        <w:pStyle w:val="Normal"/>
        <w:rPr/>
      </w:pPr>
      <w:r>
        <w:rPr/>
        <w:t>Многозначное слово не следует автоматически объявлять запретным. Но каждое его значение необходимо отделить от остальных и определить. Там, где такое разделение невозможно или не выполнено, термин не годится для строгого рассуждения.</w:t>
      </w:r>
    </w:p>
    <w:p>
      <w:pPr>
        <w:pStyle w:val="Heading1"/>
        <w:ind w:hanging="0" w:left="0"/>
        <w:rPr/>
      </w:pPr>
      <w:r>
        <w:rPr/>
        <w:t>Когда вопрос создаёт путаницу</w:t>
      </w:r>
    </w:p>
    <w:p>
      <w:pPr>
        <w:pStyle w:val="Normal"/>
        <w:rPr/>
      </w:pPr>
      <w:r>
        <w:rPr/>
        <w:t>Рассмотрим вопрос: «Существует ли объективная случайность?» Он кажется философски значительным, однако в нём сразу два слова требуют уточнения. Что означает «объективная»? Независимая от чьего сознания? Независимая от знания наблюдателя? И какое именно значение приписано «случайности»?</w:t>
      </w:r>
    </w:p>
    <w:p>
      <w:pPr>
        <w:pStyle w:val="Normal"/>
        <w:rPr/>
      </w:pPr>
      <w:r>
        <w:rPr/>
        <w:t>Пока это не установлено, вопрос допускает несколько несовместимых прочтений. Ответ «да» или «нет» не устраняет неопределённость: он лишь скрывает её под видом решения.</w:t>
      </w:r>
    </w:p>
    <w:p>
      <w:pPr>
        <w:pStyle w:val="Normal"/>
        <w:rPr/>
      </w:pPr>
      <w:r>
        <w:rPr/>
        <w:t>Похожая трудность возникает в вопросе «Существует ли объективная реальность?». Если речь идёт о существовании мира независимо от индивидуального сознания, это нужно сказать прямо. Добавление слова «объективная» без определения не делает вопрос глубже. Оно может лишь создавать впечатление особой проблемы там, где необходимо сначала назвать предмет исследования.</w:t>
      </w:r>
    </w:p>
    <w:p>
      <w:pPr>
        <w:pStyle w:val="Heading1"/>
        <w:ind w:hanging="0" w:left="0"/>
        <w:rPr/>
      </w:pPr>
      <w:r>
        <w:rPr/>
        <w:t>Ответственность за постановку вопроса</w:t>
      </w:r>
    </w:p>
    <w:p>
      <w:pPr>
        <w:pStyle w:val="Normal"/>
        <w:rPr/>
      </w:pPr>
      <w:r>
        <w:rPr/>
        <w:t>Тот, кто задаёт вопрос, несёт ответственность за его смысл. Он должен по возможности определить ключевые понятия, не смешивать различные значения и не прятать предпосылки внутри формулировки.</w:t>
      </w:r>
    </w:p>
    <w:p>
      <w:pPr>
        <w:pStyle w:val="Normal"/>
        <w:rPr/>
      </w:pPr>
      <w:r>
        <w:rPr/>
        <w:t>Это не означает, что всякий вопрос должен быть сразу окончательно решён в отношении терминов. Определения тоже могут обсуждаться и уточняться. Однако нельзя требовать содержательного ответа на вопрос, смысл которого ещё не установлен.</w:t>
      </w:r>
    </w:p>
    <w:p>
      <w:pPr>
        <w:pStyle w:val="Normal"/>
        <w:rPr/>
      </w:pPr>
      <w:r>
        <w:rPr/>
        <w:t>Отказ отвечать на такой вопрос — не уклонение от философии. Напротив, это требование философской дисциплины. Иногда наиболее точный ответ звучит так: «Сначала объясните, что именно вы спрашиваете».</w:t>
      </w:r>
    </w:p>
    <w:p>
      <w:pPr>
        <w:pStyle w:val="Heading1"/>
        <w:ind w:hanging="0" w:left="0"/>
        <w:rPr/>
      </w:pPr>
      <w:r>
        <w:rPr/>
        <w:t>Ложная предпосылка и неопределённое значение</w:t>
      </w:r>
    </w:p>
    <w:p>
      <w:pPr>
        <w:pStyle w:val="Normal"/>
        <w:rPr/>
      </w:pPr>
      <w:r>
        <w:rPr/>
        <w:t>Необходимо различать два недостатка. В одном случае вопрос содержит ложную предпосылку: он предполагает как установленное то, что ещё нужно доказать. В другом случае его слова имеют неопределённые значения. Эти ошибки различны, хотя иногда встречаются вместе.</w:t>
      </w:r>
    </w:p>
    <w:p>
      <w:pPr>
        <w:pStyle w:val="Normal"/>
        <w:rPr/>
      </w:pPr>
      <w:r>
        <w:rPr/>
        <w:t>Поэтому задача философской ясности состоит не в том, чтобы заранее объявлять неудобные вопросы бессмысленными, а в том, чтобы проверять их устройство. Если смысл можно прояснить, вопрос следует переформулировать. Если после уточнений не остаётся определённого предмета, спор теряет основание.</w:t>
      </w:r>
    </w:p>
    <w:p>
      <w:pPr>
        <w:pStyle w:val="Heading1"/>
        <w:ind w:hanging="0" w:left="0"/>
        <w:rPr/>
      </w:pPr>
      <w:r>
        <w:rPr/>
        <w:t>От спора о словах — к исследованию действительности</w:t>
      </w:r>
    </w:p>
    <w:p>
      <w:pPr>
        <w:pStyle w:val="Normal"/>
        <w:rPr/>
      </w:pPr>
      <w:r>
        <w:rPr/>
        <w:t>Вместо вопроса о «случайности» можно спросить: «Могут ли при полностью одинаковых предшествующих физических условиях возникнуть разные последующие состояния?» Это уже более определённая постановка проблемы. Она не предрешает ответа, но позволяет понять, о чём идёт речь.</w:t>
      </w:r>
    </w:p>
    <w:p>
      <w:pPr>
        <w:pStyle w:val="Normal"/>
        <w:rPr/>
      </w:pPr>
      <w:r>
        <w:rPr/>
        <w:t>Точность вопроса не гарантирует истинного ответа. Однако без точности нельзя даже установить, что именно подтверждается или опровергается. Ясность — не замена исследованию, а его необходимое условие.</w:t>
      </w:r>
    </w:p>
    <w:p>
      <w:pPr>
        <w:pStyle w:val="Normal"/>
        <w:rPr/>
      </w:pPr>
      <w:r>
        <w:rPr/>
        <w:t>Философский язык должен стремиться к тому, чтобы каждому строго определённому понятию соответствовало ясное обозначение. Когда одно слово скрывает несколько понятий, их следует разделить. Когда слово ничего не добавляет к смыслу, от него можно отказаться. Такая работа не обедняет философию: она освобождает её от ненужных споров.</w:t>
      </w:r>
    </w:p>
    <w:p>
      <w:pPr>
        <w:pStyle w:val="Heading1"/>
        <w:ind w:hanging="0" w:left="0"/>
        <w:rPr/>
      </w:pPr>
      <w:r>
        <w:rPr/>
        <w:t>Заключение</w:t>
      </w:r>
    </w:p>
    <w:p>
      <w:pPr>
        <w:pStyle w:val="Normal"/>
        <w:rPr/>
      </w:pPr>
      <w:r>
        <w:rPr/>
        <w:t>Философия не обязана отвечать на всякий произнесённый вопрос. Она обязана прежде всего отличать вопросы, имеющие определённый смысл, от вопросов, построенных на смешении значений или ложных предпосылках.</w:t>
      </w:r>
    </w:p>
    <w:p>
      <w:pPr>
        <w:pStyle w:val="Normal"/>
        <w:rPr/>
      </w:pPr>
      <w:r>
        <w:rPr/>
        <w:t>Требование ясности не уничтожает философских проблем. Оно помогает увидеть, какие проблемы действительно относятся к действительности, а какие существуют лишь благодаря небрежному обращению со словами.</w:t>
      </w:r>
    </w:p>
    <w:p>
      <w:pPr>
        <w:pStyle w:val="Normal"/>
        <w:widowControl/>
        <w:bidi w:val="0"/>
        <w:spacing w:lineRule="auto" w:line="276" w:before="0" w:after="160"/>
        <w:jc w:val="left"/>
        <w:rPr/>
      </w:pPr>
      <w:r>
        <w:rPr/>
        <w:t>Прежде чем искать ответ, нужно понять вопрос. Прежде чем спорить о понятии, нужно определить его. Философская ясность начинается именно с этой ответственности перед смыслом.</w:t>
      </w:r>
    </w:p>
    <w:sectPr>
      <w:type w:val="nextPage"/>
      <w:pgSz w:w="12240" w:h="15840"/>
      <w:pgMar w:left="1531" w:right="1417" w:gutter="0" w:header="0" w:top="1304"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2"/>
    <w:family w:val="auto"/>
    <w:pitch w:val="default"/>
  </w:font>
  <w:font w:name="Courier">
    <w:altName w:val="Courier New"/>
    <w:charset w:val="00"/>
    <w:family w:val="roman"/>
    <w:pitch w:val="variable"/>
  </w:font>
  <w:font w:name="Liberation Sans">
    <w:altName w:val="Arial"/>
    <w:charset w:val="00"/>
    <w:family w:val="swiss"/>
    <w:pitch w:val="variable"/>
  </w:font>
  <w:font w:name="Cambri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60"/>
      <w:jc w:val="left"/>
    </w:pPr>
    <w:rPr>
      <w:rFonts w:ascii="Liberation Serif;Times New Roman" w:hAnsi="Liberation Serif;Times New Roman" w:eastAsia="ＭＳ 明朝" w:cs=""/>
      <w:color w:val="auto"/>
      <w:kern w:val="0"/>
      <w:sz w:val="24"/>
      <w:szCs w:val="22"/>
      <w:lang w:val="en-US" w:eastAsia="en-US" w:bidi="ar-SA"/>
    </w:rPr>
  </w:style>
  <w:style w:type="paragraph" w:styleId="Heading1">
    <w:name w:val="heading 1"/>
    <w:basedOn w:val="Normal"/>
    <w:next w:val="Normal"/>
    <w:qFormat/>
    <w:pPr>
      <w:keepNext w:val="true"/>
      <w:keepLines/>
      <w:numPr>
        <w:ilvl w:val="0"/>
        <w:numId w:val="1"/>
      </w:numPr>
      <w:spacing w:before="480" w:after="0"/>
      <w:outlineLvl w:val="0"/>
    </w:pPr>
    <w:rPr>
      <w:rFonts w:ascii="Calibri" w:hAnsi="Calibri" w:eastAsia="ＭＳ ゴシック" w:cs=""/>
      <w:b/>
      <w:bCs/>
      <w:color w:val="365F91"/>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libri" w:hAnsi="Calibri" w:eastAsia="ＭＳ ゴシック" w:cs=""/>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libri" w:hAnsi="Calibri" w:eastAsia="ＭＳ ゴシック" w:cs=""/>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libri" w:hAnsi="Calibri" w:eastAsia="ＭＳ ゴシック" w:cs=""/>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libri" w:hAnsi="Calibri" w:eastAsia="ＭＳ ゴシック" w:cs=""/>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libri" w:hAnsi="Calibri" w:eastAsia="ＭＳ ゴシック" w:cs=""/>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libri" w:hAnsi="Calibri" w:eastAsia="ＭＳ ゴシック" w:cs=""/>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libri" w:hAnsi="Calibri" w:eastAsia="ＭＳ ゴシック" w:cs=""/>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libri" w:hAnsi="Calibri" w:eastAsia="ＭＳ ゴシック" w:cs=""/>
      <w:i/>
      <w:iCs/>
      <w:color w:val="404040"/>
      <w:sz w:val="20"/>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eading1Char">
    <w:name w:val="Heading 1 Char"/>
    <w:basedOn w:val="DefaultParagraphFont"/>
    <w:qFormat/>
    <w:rPr>
      <w:rFonts w:ascii="Calibri" w:hAnsi="Calibri" w:eastAsia="ＭＳ ゴシック" w:cs=""/>
      <w:b/>
      <w:bCs/>
      <w:color w:val="365F91"/>
      <w:sz w:val="28"/>
      <w:szCs w:val="28"/>
    </w:rPr>
  </w:style>
  <w:style w:type="character" w:styleId="Heading2Char">
    <w:name w:val="Heading 2 Char"/>
    <w:basedOn w:val="DefaultParagraphFont"/>
    <w:qFormat/>
    <w:rPr>
      <w:rFonts w:ascii="Calibri" w:hAnsi="Calibri" w:eastAsia="ＭＳ ゴシック" w:cs=""/>
      <w:b/>
      <w:bCs/>
      <w:color w:val="4F81BD"/>
      <w:sz w:val="26"/>
      <w:szCs w:val="26"/>
    </w:rPr>
  </w:style>
  <w:style w:type="character" w:styleId="Heading3Char">
    <w:name w:val="Heading 3 Char"/>
    <w:basedOn w:val="DefaultParagraphFont"/>
    <w:qFormat/>
    <w:rPr>
      <w:rFonts w:ascii="Calibri" w:hAnsi="Calibri" w:eastAsia="ＭＳ ゴシック" w:cs=""/>
      <w:b/>
      <w:bCs/>
      <w:color w:val="4F81BD"/>
    </w:rPr>
  </w:style>
  <w:style w:type="character" w:styleId="TitleChar">
    <w:name w:val="Title Char"/>
    <w:basedOn w:val="DefaultParagraphFont"/>
    <w:qFormat/>
    <w:rPr>
      <w:rFonts w:ascii="Calibri" w:hAnsi="Calibri" w:eastAsia="ＭＳ ゴシック" w:cs=""/>
      <w:color w:val="17365D"/>
      <w:spacing w:val="5"/>
      <w:kern w:val="2"/>
      <w:sz w:val="52"/>
      <w:szCs w:val="52"/>
    </w:rPr>
  </w:style>
  <w:style w:type="character" w:styleId="SubtitleChar">
    <w:name w:val="Subtitle Char"/>
    <w:basedOn w:val="DefaultParagraphFont"/>
    <w:qFormat/>
    <w:rPr>
      <w:rFonts w:ascii="Calibri" w:hAnsi="Calibri" w:eastAsia="ＭＳ ゴシック" w:c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Courier New" w:hAnsi="Courier;Courier New" w:cs="Courier;Courier New"/>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
      <w:b/>
      <w:bCs/>
      <w:i/>
      <w:iCs/>
      <w:color w:val="4F81BD"/>
    </w:rPr>
  </w:style>
  <w:style w:type="character" w:styleId="Heading5Char">
    <w:name w:val="Heading 5 Char"/>
    <w:basedOn w:val="DefaultParagraphFont"/>
    <w:qFormat/>
    <w:rPr>
      <w:rFonts w:ascii="Calibri" w:hAnsi="Calibri" w:eastAsia="ＭＳ ゴシック" w:cs=""/>
      <w:color w:val="243F60"/>
    </w:rPr>
  </w:style>
  <w:style w:type="character" w:styleId="Heading6Char">
    <w:name w:val="Heading 6 Char"/>
    <w:basedOn w:val="DefaultParagraphFont"/>
    <w:qFormat/>
    <w:rPr>
      <w:rFonts w:ascii="Calibri" w:hAnsi="Calibri" w:eastAsia="ＭＳ ゴシック" w:cs=""/>
      <w:i/>
      <w:iCs/>
      <w:color w:val="243F60"/>
    </w:rPr>
  </w:style>
  <w:style w:type="character" w:styleId="Heading7Char">
    <w:name w:val="Heading 7 Char"/>
    <w:basedOn w:val="DefaultParagraphFont"/>
    <w:qFormat/>
    <w:rPr>
      <w:rFonts w:ascii="Calibri" w:hAnsi="Calibri" w:eastAsia="ＭＳ ゴシック" w:cs=""/>
      <w:i/>
      <w:iCs/>
      <w:color w:val="404040"/>
    </w:rPr>
  </w:style>
  <w:style w:type="character" w:styleId="Heading8Char">
    <w:name w:val="Heading 8 Char"/>
    <w:basedOn w:val="DefaultParagraphFont"/>
    <w:qFormat/>
    <w:rPr>
      <w:rFonts w:ascii="Calibri" w:hAnsi="Calibri" w:eastAsia="ＭＳ ゴシック" w:cs=""/>
      <w:color w:val="4F81BD"/>
      <w:sz w:val="20"/>
      <w:szCs w:val="20"/>
    </w:rPr>
  </w:style>
  <w:style w:type="character" w:styleId="Heading9Char">
    <w:name w:val="Heading 9 Char"/>
    <w:basedOn w:val="DefaultParagraphFont"/>
    <w:qFormat/>
    <w:rPr>
      <w:rFonts w:ascii="Calibri" w:hAnsi="Calibri" w:eastAsia="ＭＳ ゴシック" w:c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spacing w:before="0" w:after="120"/>
    </w:pPr>
    <w:rPr/>
  </w:style>
  <w:style w:type="paragraph" w:styleId="List">
    <w:name w:val="List"/>
    <w:basedOn w:val="Normal"/>
    <w:pPr>
      <w:spacing w:before="0" w:after="160"/>
      <w:ind w:hanging="360" w:left="360" w:right="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1"/>
    <w:basedOn w:val="Normal"/>
    <w:next w:val="Normal"/>
    <w:qFormat/>
    <w:pPr>
      <w:spacing w:lineRule="auto" w:line="240"/>
    </w:pPr>
    <w:rPr>
      <w:b/>
      <w:bCs/>
      <w:color w:val="4F81BD"/>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bidi w:val="0"/>
      <w:spacing w:lineRule="auto" w:line="240" w:before="0" w:after="0"/>
      <w:jc w:val="left"/>
    </w:pPr>
    <w:rPr>
      <w:rFonts w:ascii="Cambria" w:hAnsi="Cambria" w:eastAsia="ＭＳ 明朝" w:cs=""/>
      <w:color w:val="auto"/>
      <w:kern w:val="0"/>
      <w:sz w:val="22"/>
      <w:szCs w:val="22"/>
      <w:lang w:val="en-US" w:eastAsia="en-US" w:bidi="ar-SA"/>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
      <w:color w:val="17365D"/>
      <w:spacing w:val="5"/>
      <w:kern w:val="2"/>
      <w:sz w:val="52"/>
      <w:szCs w:val="52"/>
    </w:rPr>
  </w:style>
  <w:style w:type="paragraph" w:styleId="Subtitle">
    <w:name w:val="Subtitle"/>
    <w:basedOn w:val="Normal"/>
    <w:next w:val="Normal"/>
    <w:qFormat/>
    <w:pPr/>
    <w:rPr>
      <w:rFonts w:ascii="Calibri" w:hAnsi="Calibri" w:eastAsia="ＭＳ ゴシック" w:cs=""/>
      <w:i/>
      <w:iCs/>
      <w:color w:val="4F81BD"/>
      <w:spacing w:val="15"/>
      <w:sz w:val="24"/>
      <w:szCs w:val="24"/>
    </w:rPr>
  </w:style>
  <w:style w:type="paragraph" w:styleId="ListParagraph">
    <w:name w:val="List Paragraph"/>
    <w:basedOn w:val="Normal"/>
    <w:qFormat/>
    <w:pPr>
      <w:spacing w:before="0" w:after="160"/>
      <w:ind w:hanging="0" w:left="720" w:right="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Bullet2">
    <w:name w:val="List Bullet 2"/>
    <w:basedOn w:val="Normal"/>
    <w:pPr>
      <w:spacing w:before="0" w:after="160"/>
      <w:ind w:hanging="360" w:left="720" w:right="0"/>
      <w:contextualSpacing/>
    </w:pPr>
    <w:rPr/>
  </w:style>
  <w:style w:type="paragraph" w:styleId="ListBullet3">
    <w:name w:val="List Bullet 3"/>
    <w:basedOn w:val="Normal"/>
    <w:pPr>
      <w:spacing w:before="0" w:after="160"/>
      <w:ind w:hanging="360" w:left="1080" w:right="0"/>
      <w:contextualSpacing/>
    </w:pPr>
    <w:rPr/>
  </w:style>
  <w:style w:type="paragraph" w:styleId="ListBullet">
    <w:name w:val="List Bullet"/>
    <w:basedOn w:val="Normal"/>
    <w:qFormat/>
    <w:pPr>
      <w:numPr>
        <w:ilvl w:val="0"/>
        <w:numId w:val="2"/>
      </w:numPr>
      <w:spacing w:before="0" w:after="160"/>
      <w:contextualSpacing/>
    </w:pPr>
    <w:rPr/>
  </w:style>
  <w:style w:type="paragraph" w:styleId="ListBullet21">
    <w:name w:val="List Bullet 21"/>
    <w:basedOn w:val="Normal"/>
    <w:qFormat/>
    <w:pPr>
      <w:numPr>
        <w:ilvl w:val="0"/>
        <w:numId w:val="3"/>
      </w:numPr>
      <w:spacing w:before="0" w:after="160"/>
      <w:contextualSpacing/>
    </w:pPr>
    <w:rPr/>
  </w:style>
  <w:style w:type="paragraph" w:styleId="ListBullet31">
    <w:name w:val="List Bullet 31"/>
    <w:basedOn w:val="Normal"/>
    <w:qFormat/>
    <w:pPr>
      <w:numPr>
        <w:ilvl w:val="0"/>
        <w:numId w:val="4"/>
      </w:numPr>
      <w:spacing w:before="0" w:after="160"/>
      <w:contextualSpacing/>
    </w:pPr>
    <w:rPr/>
  </w:style>
  <w:style w:type="paragraph" w:styleId="ListNumber">
    <w:name w:val="List Number"/>
    <w:basedOn w:val="Normal"/>
    <w:qFormat/>
    <w:pPr>
      <w:numPr>
        <w:ilvl w:val="0"/>
        <w:numId w:val="5"/>
      </w:numPr>
      <w:spacing w:before="0" w:after="160"/>
      <w:contextualSpacing/>
    </w:pPr>
    <w:rPr/>
  </w:style>
  <w:style w:type="paragraph" w:styleId="ListNumber2">
    <w:name w:val="List Number 2"/>
    <w:basedOn w:val="Normal"/>
    <w:qFormat/>
    <w:pPr>
      <w:numPr>
        <w:ilvl w:val="0"/>
        <w:numId w:val="6"/>
      </w:numPr>
      <w:spacing w:before="0" w:after="160"/>
      <w:contextualSpacing/>
    </w:pPr>
    <w:rPr/>
  </w:style>
  <w:style w:type="paragraph" w:styleId="ListNumber3">
    <w:name w:val="List Number 3"/>
    <w:basedOn w:val="Normal"/>
    <w:qFormat/>
    <w:pPr>
      <w:numPr>
        <w:ilvl w:val="0"/>
        <w:numId w:val="7"/>
      </w:numPr>
      <w:spacing w:before="0" w:after="160"/>
      <w:contextualSpacing/>
    </w:pPr>
    <w:rPr/>
  </w:style>
  <w:style w:type="paragraph" w:styleId="ListContinue">
    <w:name w:val="List Continue"/>
    <w:basedOn w:val="Normal"/>
    <w:qFormat/>
    <w:pPr>
      <w:spacing w:before="0" w:after="120"/>
      <w:ind w:hanging="0" w:left="360" w:right="0"/>
      <w:contextualSpacing/>
    </w:pPr>
    <w:rPr/>
  </w:style>
  <w:style w:type="paragraph" w:styleId="ListContinue2">
    <w:name w:val="List Continue 2"/>
    <w:basedOn w:val="Normal"/>
    <w:qFormat/>
    <w:pPr>
      <w:spacing w:before="0" w:after="120"/>
      <w:ind w:hanging="0" w:left="720" w:right="0"/>
      <w:contextualSpacing/>
    </w:pPr>
    <w:rPr/>
  </w:style>
  <w:style w:type="paragraph" w:styleId="ListContinue3">
    <w:name w:val="List Continue 3"/>
    <w:basedOn w:val="Normal"/>
    <w:qFormat/>
    <w:pPr>
      <w:spacing w:before="0" w:after="120"/>
      <w:ind w:hanging="0" w:left="1080" w:right="0"/>
      <w:contextualSpacing/>
    </w:pPr>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Courier New" w:hAnsi="Courier;Courier New" w:eastAsia="ＭＳ 明朝" w:cs=""/>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IntenseQuote">
    <w:name w:val="Intense Quote"/>
    <w:basedOn w:val="Normal"/>
    <w:next w:val="Normal"/>
    <w:qFormat/>
    <w:pPr>
      <w:pBdr>
        <w:bottom w:val="single" w:sz="4" w:space="4" w:color="4F81BD"/>
      </w:pBdr>
      <w:spacing w:before="200" w:after="280"/>
      <w:ind w:hanging="0" w:left="936" w:right="936"/>
    </w:pPr>
    <w:rPr>
      <w:b/>
      <w:bCs/>
      <w:i/>
      <w:iCs/>
      <w:color w:val="4F81BD"/>
    </w:rPr>
  </w:style>
  <w:style w:type="paragraph" w:styleId="IndexHeading">
    <w:name w:val="index heading"/>
    <w:basedOn w:val="Heading"/>
    <w:pPr/>
    <w:rPr/>
  </w:style>
  <w:style w:type="paragraph" w:styleId="TOCHeading">
    <w:name w:val="TOC Heading"/>
    <w:basedOn w:val="Heading1"/>
    <w:next w:val="Normal"/>
    <w:qFormat/>
    <w:pPr>
      <w:numPr>
        <w:ilvl w:val="0"/>
        <w:numId w:val="0"/>
      </w:numPr>
      <w:outlineLvl w:val="9"/>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