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60" w:after="100"/>
        <w:rPr>
          <w:rFonts w:ascii="Liberation Sans;Arial" w:hAnsi="Liberation Sans;Arial" w:cs="Liberation Sans;Arial"/>
          <w:color w:val="1A6673"/>
          <w:sz w:val="24"/>
        </w:rPr>
      </w:pPr>
      <w:r>
        <w:rPr>
          <w:rFonts w:cs="Liberation Sans;Arial" w:ascii="Liberation Sans;Arial" w:hAnsi="Liberation Sans;Arial"/>
          <w:b/>
          <w:color w:val="182939"/>
          <w:sz w:val="48"/>
        </w:rPr>
        <w:t>МЕЖДУНАРОДНОЕ</w:t>
        <w:br/>
        <w:t>ФИЛОСОФСКОЕ СООБЩЕСТВО</w:t>
      </w:r>
    </w:p>
    <w:p>
      <w:pPr>
        <w:pStyle w:val="Normal"/>
        <w:spacing w:before="0" w:after="280"/>
        <w:rPr>
          <w:rFonts w:ascii="Liberation Sans;Arial" w:hAnsi="Liberation Sans;Arial" w:cs="Liberation Sans;Arial"/>
          <w:color w:val="606C75"/>
          <w:sz w:val="18"/>
        </w:rPr>
      </w:pPr>
      <w:r>
        <w:rPr>
          <w:rFonts w:cs="Liberation Sans;Arial" w:ascii="Liberation Sans;Arial" w:hAnsi="Liberation Sans;Arial"/>
          <w:color w:val="1A6673"/>
          <w:sz w:val="24"/>
        </w:rPr>
        <w:t>Единство свободных людей и местных общин без собственного государства</w:t>
      </w:r>
    </w:p>
    <w:p>
      <w:pPr>
        <w:pStyle w:val="Normal"/>
        <w:spacing w:before="0" w:after="260"/>
        <w:rPr>
          <w:rFonts w:ascii="Liberation Sans;Arial" w:hAnsi="Liberation Sans;Arial" w:cs="Liberation Sans;Arial"/>
          <w:color w:val="606C75"/>
          <w:sz w:val="18"/>
        </w:rPr>
      </w:pPr>
      <w:r>
        <w:rPr>
          <w:rFonts w:cs="Liberation Sans;Arial" w:ascii="Liberation Sans;Arial" w:hAnsi="Liberation Sans;Arial"/>
          <w:color w:val="606C75"/>
          <w:sz w:val="18"/>
        </w:rPr>
        <w:t>Концепция Ramon Eyquem  •  Homo Provincialis</w:t>
      </w:r>
    </w:p>
    <w:p>
      <w:pPr>
        <w:pStyle w:val="Standfirst"/>
        <w:rPr/>
      </w:pPr>
      <w:r>
        <w:rPr/>
        <w:t>Люди могут объединяться поверх государственных границ, не создавая нового государства и не подчиняясь общей власти. Основанием такого союза становится волюнтаризм — добровольность участия, сотрудничества и принятия взаимных обязательств.</w:t>
      </w:r>
    </w:p>
    <w:p>
      <w:pPr>
        <w:pStyle w:val="Heading1"/>
        <w:ind w:hanging="0" w:left="0"/>
        <w:rPr/>
      </w:pPr>
      <w:r>
        <w:rPr/>
        <w:t>Идея международного сообщества</w:t>
      </w:r>
    </w:p>
    <w:p>
      <w:pPr>
        <w:pStyle w:val="Normal"/>
        <w:rPr/>
      </w:pPr>
      <w:r>
        <w:rPr/>
        <w:t>Предлагается создать единое международное философское сообщество, участники которого живут в разных странах, общаются, обсуждают фундаментальные вопросы человеческой жизни, совместно разрабатывают идеи и помогают друг другу воплощать их на практике. Оно может объединять как отдельных людей, так и местные группы, постоянные коммуны и другие формы добровольной совместной жизни.</w:t>
      </w:r>
    </w:p>
    <w:p>
      <w:pPr>
        <w:pStyle w:val="Normal"/>
        <w:rPr/>
      </w:pPr>
      <w:r>
        <w:rPr/>
        <w:t>Такое сообщество не привязано к одной стране, языку или национальности. У него могут быть участники в десятках городов и местные общины с собственным образом жизни. Единство обеспечивает не территория и не государственная власть, а общая готовность к философскому поиску, честному сотрудничеству и уважению свободы человека.</w:t>
      </w:r>
    </w:p>
    <w:p>
      <w:pPr>
        <w:pStyle w:val="Heading1"/>
        <w:ind w:hanging="0" w:left="0"/>
        <w:rPr/>
      </w:pPr>
      <w:r>
        <w:rPr/>
        <w:t>Волюнтаризм — основополагающий принцип</w:t>
      </w:r>
    </w:p>
    <w:p>
      <w:pPr>
        <w:pStyle w:val="Normal"/>
        <w:rPr/>
      </w:pPr>
      <w:r>
        <w:rPr/>
        <w:t>Главное правило этой концепции: всё строится исключительно на добровольных отношениях. Под волюнтаризмом здесь понимается принцип свободного согласия людей на объединение и совместную деятельность, а не право одного человека навязывать свою волю другим.</w:t>
      </w:r>
    </w:p>
    <w:p>
      <w:pPr>
        <w:pStyle w:val="Normal"/>
        <w:rPr/>
      </w:pPr>
      <w:r>
        <w:rPr/>
        <w:t>Человек самостоятельно решает, вступать ли в сообщество, участвовать ли в конкретной инициативе, выделять ли деньги или время, присоединяться ли к местной общине. Никто не должен быть обязан разделять чьё-либо мировоззрение, трудиться без согласия или оставаться участником против своей воли.</w:t>
      </w:r>
    </w:p>
    <w:p>
      <w:pPr>
        <w:pStyle w:val="Normal"/>
        <w:rPr/>
      </w:pPr>
      <w:r>
        <w:rPr/>
        <w:t>Свобода выхода столь же существенна, как свобода вступления. Вместе с тем добровольность не отменяет ответственности за уже принятые обязательства, уважения прав других людей и действия законов страны, в которой находится участник или община.</w:t>
      </w:r>
    </w:p>
    <w:p>
      <w:pPr>
        <w:pStyle w:val="Heading1"/>
        <w:ind w:hanging="0" w:left="0"/>
        <w:rPr/>
      </w:pPr>
      <w:r>
        <w:rPr/>
        <w:t>Что объединяет участников</w:t>
      </w:r>
    </w:p>
    <w:p>
      <w:pPr>
        <w:pStyle w:val="Normal"/>
        <w:rPr/>
      </w:pPr>
      <w:r>
        <w:rPr/>
        <w:t>Объединяющим началом может стать интерес к философии как к свободному, критическому исследованию действительности и человека. Справедливость, личная свобода, равенство, братство и взаимное уважение способны служить предметом общего обсуждения и добровольно разделяемыми ориентирами.</w:t>
      </w:r>
    </w:p>
    <w:p>
      <w:pPr>
        <w:pStyle w:val="Normal"/>
        <w:rPr/>
      </w:pPr>
      <w:r>
        <w:rPr/>
        <w:t>Единство не означает обязательного единомыслия. Участники могут спорить о морали, обществе, экономике, устройстве общин и самих целях движения. Содержание общих соглашений должно быть ясным, доступным для критики и добровольно принимаемым; несогласие само по себе не должно превращаться в основание для принуждения.</w:t>
      </w:r>
    </w:p>
    <w:p>
      <w:pPr>
        <w:pStyle w:val="Heading1"/>
        <w:ind w:hanging="0" w:left="0"/>
        <w:rPr/>
      </w:pPr>
      <w:r>
        <w:rPr/>
        <w:t>Сеть общин вместо нового государства</w:t>
      </w:r>
    </w:p>
    <w:p>
      <w:pPr>
        <w:pStyle w:val="Normal"/>
        <w:rPr/>
      </w:pPr>
      <w:r>
        <w:rPr/>
        <w:t>Задача заключается не в захвате территории, учреждении нового суверенного государства или создании системы власти над населением. Международное сообщество может существовать как сеть добровольных объединений внутри уже существующих государств.</w:t>
      </w:r>
    </w:p>
    <w:p>
      <w:pPr>
        <w:pStyle w:val="Normal"/>
        <w:rPr/>
      </w:pPr>
      <w:r>
        <w:rPr/>
        <w:t>В одном городе это будет небольшой философский клуб, в другом — пространство для встреч и обучения, в третьем — постоянная коммуна с совместным хозяйством. У каждой общины могут быть собственные правила проживания и способы организации, если они заранее понятны и приняты её участниками и соответствуют местному законодательству.</w:t>
      </w:r>
    </w:p>
    <w:p>
      <w:pPr>
        <w:pStyle w:val="Normal"/>
        <w:rPr/>
      </w:pPr>
      <w:r>
        <w:rPr/>
        <w:t>Наличие сети создаёт для путешествующего человека возможность находить единомышленников и знакомые принципы сотрудничества в разных странах. Однако членство в сообществе не заменяет гражданства, виз, разрешений на проживание и других правовых требований государств.</w:t>
      </w:r>
    </w:p>
    <w:p>
      <w:pPr>
        <w:pStyle w:val="Heading1"/>
        <w:ind w:hanging="0" w:left="0"/>
        <w:rPr/>
      </w:pPr>
      <w:r>
        <w:rPr/>
        <w:t>Цифровой центр и реальные человеческие связи</w:t>
      </w:r>
    </w:p>
    <w:p>
      <w:pPr>
        <w:pStyle w:val="Normal"/>
        <w:rPr/>
      </w:pPr>
      <w:r>
        <w:rPr/>
        <w:t>Сайт homoprovincialis.com может служить общим информационным центром: местом знакомства с философской основой, проектами, дискуссиями, предложениями о сотрудничестве и деятельностью местных групп. Но цифровое пространство — средство, а не конечная цель.</w:t>
      </w:r>
    </w:p>
    <w:p>
      <w:pPr>
        <w:pStyle w:val="Normal"/>
        <w:rPr/>
      </w:pPr>
      <w:r>
        <w:rPr/>
        <w:t>Настоящее сообщество возникает, когда люди находят друг друга, знакомятся лично, обсуждают свои убеждения, создают совместные проекты и при желании организуют устойчивые формы взаимопомощи. Поэтому интернет-общение и реальные встречи должны дополнять друг друга.</w:t>
      </w:r>
    </w:p>
    <w:p>
      <w:pPr>
        <w:pStyle w:val="Heading1"/>
        <w:ind w:hanging="0" w:left="0"/>
        <w:rPr/>
      </w:pPr>
      <w:r>
        <w:rPr/>
        <w:t>Инструменты и связанные проекты Homo Provincialis</w:t>
      </w:r>
    </w:p>
    <w:p>
      <w:pPr>
        <w:pStyle w:val="Normal"/>
        <w:rPr>
          <w:color w:val="1A6673"/>
        </w:rPr>
      </w:pPr>
      <w:r>
        <w:rPr/>
        <w:t>Для практического развития сообщества могут использоваться проекты, уже задуманные в рамках Homo Provincialis. Их задача — помогать людям договариваться и действовать вместе, а не формировать обязательную над ними власть.</w:t>
      </w:r>
    </w:p>
    <w:p>
      <w:pPr>
        <w:pStyle w:val="BulletsEditorial"/>
        <w:rPr>
          <w:color w:val="1A6673"/>
        </w:rPr>
      </w:pPr>
      <w:r>
        <w:rPr>
          <w:color w:val="1A6673"/>
        </w:rPr>
        <w:t>•</w:t>
      </w:r>
      <w:r>
        <w:rPr>
          <w:rFonts w:eastAsia="Liberation Serif;Times New Roman" w:cs="Liberation Serif;Times New Roman"/>
          <w:color w:val="1A6673"/>
        </w:rPr>
        <w:t xml:space="preserve">  </w:t>
      </w:r>
      <w:r>
        <w:rPr>
          <w:b/>
        </w:rPr>
        <w:t>База данных коммун и сообществ</w:t>
      </w:r>
      <w:r>
        <w:rPr/>
        <w:t xml:space="preserve"> — открытый каталог местных философских групп и общин, их принципов, контактов и условий участия.</w:t>
      </w:r>
    </w:p>
    <w:p>
      <w:pPr>
        <w:pStyle w:val="BulletsEditorial"/>
        <w:rPr>
          <w:color w:val="1A6673"/>
        </w:rPr>
      </w:pPr>
      <w:r>
        <w:rPr>
          <w:color w:val="1A6673"/>
        </w:rPr>
        <w:t>•</w:t>
      </w:r>
      <w:r>
        <w:rPr>
          <w:rFonts w:eastAsia="Liberation Serif;Times New Roman" w:cs="Liberation Serif;Times New Roman"/>
          <w:color w:val="1A6673"/>
        </w:rPr>
        <w:t xml:space="preserve">  </w:t>
      </w:r>
      <w:r>
        <w:rPr>
          <w:b/>
        </w:rPr>
        <w:t>Философский монастырь</w:t>
      </w:r>
      <w:r>
        <w:rPr/>
        <w:t xml:space="preserve"> — модель пространства для совместной жизни, труда, исследования и философских дискуссий на добровольной основе.</w:t>
      </w:r>
    </w:p>
    <w:p>
      <w:pPr>
        <w:pStyle w:val="BulletsEditorial"/>
        <w:rPr>
          <w:color w:val="1A6673"/>
        </w:rPr>
      </w:pPr>
      <w:r>
        <w:rPr>
          <w:color w:val="1A6673"/>
        </w:rPr>
        <w:t>•</w:t>
      </w:r>
      <w:r>
        <w:rPr>
          <w:rFonts w:eastAsia="Liberation Serif;Times New Roman" w:cs="Liberation Serif;Times New Roman"/>
          <w:color w:val="1A6673"/>
        </w:rPr>
        <w:t xml:space="preserve">  </w:t>
      </w:r>
      <w:r>
        <w:rPr>
          <w:b/>
        </w:rPr>
        <w:t>Всемирная система прямой демократии</w:t>
      </w:r>
      <w:r>
        <w:rPr/>
        <w:t xml:space="preserve"> — возможный инструмент коллективного обсуждения и принятия решений по заранее согласованным правилам.</w:t>
      </w:r>
    </w:p>
    <w:p>
      <w:pPr>
        <w:pStyle w:val="BulletsEditorial"/>
        <w:rPr>
          <w:color w:val="1A6673"/>
        </w:rPr>
      </w:pPr>
      <w:r>
        <w:rPr>
          <w:color w:val="1A6673"/>
        </w:rPr>
        <w:t>•</w:t>
      </w:r>
      <w:r>
        <w:rPr>
          <w:rFonts w:eastAsia="Liberation Serif;Times New Roman" w:cs="Liberation Serif;Times New Roman"/>
          <w:color w:val="1A6673"/>
        </w:rPr>
        <w:t xml:space="preserve">  </w:t>
      </w:r>
      <w:r>
        <w:rPr>
          <w:b/>
        </w:rPr>
        <w:t>Универсальный философский язык</w:t>
      </w:r>
      <w:r>
        <w:rPr/>
        <w:t xml:space="preserve"> — работа над более точным пониманием понятий между людьми с разными родными языками.</w:t>
      </w:r>
    </w:p>
    <w:p>
      <w:pPr>
        <w:pStyle w:val="BulletsEditorial"/>
        <w:rPr/>
      </w:pPr>
      <w:r>
        <w:rPr>
          <w:color w:val="1A6673"/>
        </w:rPr>
        <w:t>•</w:t>
      </w:r>
      <w:r>
        <w:rPr>
          <w:rFonts w:eastAsia="Liberation Serif;Times New Roman" w:cs="Liberation Serif;Times New Roman"/>
          <w:color w:val="1A6673"/>
        </w:rPr>
        <w:t xml:space="preserve">  </w:t>
      </w:r>
      <w:r>
        <w:rPr>
          <w:b/>
        </w:rPr>
        <w:t>Платформа справедливого труда и магазин без прибыли</w:t>
      </w:r>
      <w:r>
        <w:rPr/>
        <w:t xml:space="preserve"> — способы организовать взаимовыгодную работу, обмен и поддержку без навязывания участия.</w:t>
      </w:r>
    </w:p>
    <w:p>
      <w:pPr>
        <w:pStyle w:val="Heading1"/>
        <w:ind w:hanging="0" w:left="0"/>
        <w:rPr/>
      </w:pPr>
      <w:r>
        <w:rPr/>
        <w:t>Экономика добровольного сотрудничества</w:t>
      </w:r>
    </w:p>
    <w:p>
      <w:pPr>
        <w:pStyle w:val="Normal"/>
        <w:rPr/>
      </w:pPr>
      <w:r>
        <w:rPr/>
        <w:t>Реальные сообщества нуждаются в помещениях, средствах связи, материалах, труде и заботе об участниках. Эти задачи можно решать через добровольные пожертвования, прозрачные соглашения о совместных расходах, кооперативные проекты и свободный обмен услугами.</w:t>
      </w:r>
    </w:p>
    <w:p>
      <w:pPr>
        <w:pStyle w:val="Normal"/>
        <w:rPr/>
      </w:pPr>
      <w:r>
        <w:rPr/>
        <w:t>Добровольность не означает отсутствие правил: например, участники совместно арендуемого помещения могут заранее договориться о распределении расходов и последствиях невыполнения обязательств. Существенно, чтобы человек знал условия до согласия на них и мог отказаться от новых условий, не подвергаясь принуждению.</w:t>
      </w:r>
    </w:p>
    <w:p>
      <w:pPr>
        <w:pStyle w:val="Heading1"/>
        <w:ind w:hanging="0" w:left="0"/>
        <w:rPr/>
      </w:pPr>
      <w:r>
        <w:rPr/>
        <w:t>Самоуправление и разрешение разногласий</w:t>
      </w:r>
    </w:p>
    <w:p>
      <w:pPr>
        <w:pStyle w:val="Normal"/>
        <w:rPr/>
      </w:pPr>
      <w:r>
        <w:rPr/>
        <w:t>Местным общинам потребуется обсуждать практические вопросы: приём участников, использование общего имущества, распределение обязанностей, способы принятия решений и разрешение споров. Необязательно навязывать всем общинам одну модель управления. Возможны разные процедуры, если их участники свободно договорились об условиях.</w:t>
      </w:r>
    </w:p>
    <w:p>
      <w:pPr>
        <w:pStyle w:val="Normal"/>
        <w:rPr/>
      </w:pPr>
      <w:r>
        <w:rPr/>
        <w:t>Общие механизмы обсуждения и голосования могут помогать принимать решения, но само по себе большинство не делает допустимым принуждение несогласных к участию в добровольном проекте. Для урегулирования конфликтов важны ясные соглашения, справедливые процедуры и уважение прав всех затронутых людей, в том числе не состоящих в сообществе.</w:t>
      </w:r>
    </w:p>
    <w:p>
      <w:pPr>
        <w:pStyle w:val="Heading1"/>
        <w:ind w:hanging="0" w:left="0"/>
        <w:rPr/>
      </w:pPr>
      <w:r>
        <w:rPr/>
        <w:t>Как идея может стать реальностью</w:t>
      </w:r>
    </w:p>
    <w:p>
      <w:pPr>
        <w:pStyle w:val="Normal"/>
        <w:rPr/>
      </w:pPr>
      <w:r>
        <w:rPr/>
        <w:t>Начать можно без территории, крупного капитала и политического статуса. Сначала формулируются принципы и создаётся доступное описание сообщества. Затем появляются открытые интернет-дискуссии, небольшие местные философские встречи и каталог участников и инициатив. Из устойчивых групп могут постепенно вырасти постоянные общины и совместные экономические проекты.</w:t>
      </w:r>
    </w:p>
    <w:p>
      <w:pPr>
        <w:pStyle w:val="Normal"/>
        <w:rPr/>
      </w:pPr>
      <w:r>
        <w:rPr/>
        <w:t>У каждой стадии есть самостоятельная ценность: философский клуб не обязан становиться коммуной, а коммуна не обязана превращаться в государство. Масштаб развития определяется свободной инициативой участников, их возможностями и реальными результатами сотрудничества.</w:t>
      </w:r>
    </w:p>
    <w:p>
      <w:pPr>
        <w:pStyle w:val="Heading1"/>
        <w:ind w:hanging="0" w:left="0"/>
        <w:rPr/>
      </w:pPr>
      <w:r>
        <w:rPr/>
        <w:t>Заключение</w:t>
      </w:r>
    </w:p>
    <w:p>
      <w:pPr>
        <w:pStyle w:val="Normal"/>
        <w:rPr/>
      </w:pPr>
      <w:r>
        <w:rPr/>
        <w:t>Международное философское сообщество Homo Provincialis мыслится как объединение людей, которые хотят искать истину, развивать человеческие отношения и создавать формы совместной жизни без принуждения. Его участники могут жить в разных странах, принадлежать к разным культурам и иметь разные философские взгляды — при условии уважения принципа добровольного взаимодействия.</w:t>
      </w:r>
    </w:p>
    <w:p>
      <w:pPr>
        <w:pStyle w:val="Normal"/>
        <w:widowControl/>
        <w:bidi w:val="0"/>
        <w:spacing w:lineRule="auto" w:line="276" w:before="0" w:after="120"/>
        <w:jc w:val="left"/>
        <w:rPr/>
      </w:pPr>
      <w:r>
        <w:rPr/>
        <w:t>Смысл проекта — не заменить одно государство другим и не подчинить человека новой коллективной идеологии. Смысл в том, чтобы сделать возможным свободное международное сотрудничество людей и общин, где связь между ними определяется не властью, а их собственным согласием.</w:t>
      </w:r>
    </w:p>
    <w:sectPr>
      <w:headerReference w:type="default" r:id="rId2"/>
      <w:footerReference w:type="default" r:id="rId3"/>
      <w:type w:val="nextPage"/>
      <w:pgSz w:w="11906" w:h="16838"/>
      <w:pgMar w:left="1502" w:right="1389" w:gutter="0" w:header="652" w:top="1276" w:footer="624" w:bottom="121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ymbol">
    <w:charset w:val="02"/>
    <w:family w:val="auto"/>
    <w:pitch w:val="default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cs="Liberation Sans;Arial" w:ascii="Liberation Sans;Arial" w:hAnsi="Liberation Sans;Arial"/>
        <w:color w:val="606C75"/>
        <w:sz w:val="16"/>
      </w:rPr>
      <w:t xml:space="preserve">Homo Provincialis  •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right"/>
      <w:rPr>
        <w:rFonts w:ascii="Liberation Sans;Arial" w:hAnsi="Liberation Sans;Arial" w:cs="Liberation Sans;Arial"/>
        <w:b/>
        <w:color w:val="606C75"/>
        <w:sz w:val="16"/>
      </w:rPr>
    </w:pPr>
    <w:r>
      <w:rPr>
        <w:rFonts w:cs="Liberation Sans;Arial" w:ascii="Liberation Sans;Arial" w:hAnsi="Liberation Sans;Arial"/>
        <w:b/>
        <w:color w:val="606C75"/>
        <w:sz w:val="16"/>
      </w:rPr>
      <w:t>HOMO PROVINCIALIS  /  ФИЛОСОФСКИЕ ПРОЕКТЫ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120"/>
      <w:jc w:val="left"/>
    </w:pPr>
    <w:rPr>
      <w:rFonts w:ascii="Liberation Serif;Times New Roman" w:hAnsi="Liberation Serif;Times New Roman" w:eastAsia="ＭＳ 明朝" w:cs=""/>
      <w:color w:val="182939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300" w:after="120"/>
      <w:outlineLvl w:val="0"/>
    </w:pPr>
    <w:rPr>
      <w:rFonts w:ascii="Calibri" w:hAnsi="Calibri" w:eastAsia="ＭＳ ゴシック" w:cs=""/>
      <w:b/>
      <w:bCs/>
      <w:color w:val="1A6673"/>
      <w:sz w:val="27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80" w:after="120"/>
      <w:outlineLvl w:val="1"/>
    </w:pPr>
    <w:rPr>
      <w:rFonts w:ascii="Calibri" w:hAnsi="Calibri" w:eastAsia="ＭＳ ゴシック" w:cs=""/>
      <w:b/>
      <w:bCs/>
      <w:color w:val="1A6673"/>
      <w:sz w:val="24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libri" w:hAnsi="Calibri" w:eastAsia="ＭＳ ゴシック" w:cs="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libri" w:hAnsi="Calibri" w:eastAsia="ＭＳ ゴシック" w:cs="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libri" w:hAnsi="Calibri" w:eastAsia="ＭＳ ゴシック" w:cs=""/>
      <w:color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libri" w:hAnsi="Calibri" w:eastAsia="ＭＳ ゴシック" w:cs="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libri" w:hAnsi="Calibri" w:eastAsia="ＭＳ ゴシック" w:cs=""/>
      <w:i/>
      <w:iCs/>
      <w:color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libri" w:hAnsi="Calibri" w:eastAsia="ＭＳ ゴシック" w:cs=""/>
      <w:color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libri" w:hAnsi="Calibri" w:eastAsia="ＭＳ ゴシック" w:cs=""/>
      <w:i/>
      <w:iCs/>
      <w:color w:val="404040"/>
      <w:sz w:val="20"/>
      <w:szCs w:val="20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ＭＳ ゴシック" w:cs=""/>
      <w:b/>
      <w:bCs/>
      <w:color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"/>
      <w:b/>
      <w:bCs/>
      <w:color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"/>
      <w:b/>
      <w:bCs/>
      <w:color w:val="4F81BD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"/>
      <w:color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ＭＳ ゴシック" w:cs=""/>
      <w:i/>
      <w:iCs/>
      <w:color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qFormat/>
    <w:rPr/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MacroTextChar">
    <w:name w:val="Macro Text Char"/>
    <w:basedOn w:val="DefaultParagraphFont"/>
    <w:qFormat/>
    <w:rPr>
      <w:rFonts w:ascii="Courier;Courier New" w:hAnsi="Courier;Courier New" w:cs="Courier;Courier New"/>
      <w:sz w:val="20"/>
      <w:szCs w:val="20"/>
    </w:rPr>
  </w:style>
  <w:style w:type="character" w:styleId="QuoteChar">
    <w:name w:val="Quote Char"/>
    <w:basedOn w:val="DefaultParagraphFont"/>
    <w:qFormat/>
    <w:rPr>
      <w:i/>
      <w:iCs/>
      <w:color w:val="00000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"/>
      <w:b/>
      <w:bCs/>
      <w:i/>
      <w:iCs/>
      <w:color w:val="4F81BD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"/>
      <w:color w:val="243F6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"/>
      <w:i/>
      <w:iCs/>
      <w:color w:val="243F6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"/>
      <w:i/>
      <w:iCs/>
      <w:color w:val="40404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"/>
      <w:color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"/>
      <w:i/>
      <w:iCs/>
      <w:color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qFormat/>
    <w:rPr>
      <w:b/>
      <w:bCs/>
      <w:i/>
      <w:iCs/>
      <w:color w:val="4F81BD"/>
    </w:rPr>
  </w:style>
  <w:style w:type="character" w:styleId="SubtleEmphasis">
    <w:name w:val="Subtle Emphasis"/>
    <w:basedOn w:val="DefaultParagraphFont"/>
    <w:qFormat/>
    <w:rPr>
      <w:i/>
      <w:iCs/>
      <w:color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Normal"/>
    <w:pPr>
      <w:spacing w:before="0" w:after="120"/>
      <w:ind w:hanging="360" w:left="360" w:right="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1"/>
    <w:basedOn w:val="Normal"/>
    <w:next w:val="Normal"/>
    <w:qFormat/>
    <w:pPr>
      <w:spacing w:lineRule="auto" w:line="240"/>
    </w:pPr>
    <w:rPr>
      <w:b/>
      <w:bCs/>
      <w:color w:val="4F81BD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qFormat/>
    <w:pPr/>
    <w:rPr>
      <w:rFonts w:ascii="Calibri" w:hAnsi="Calibri" w:eastAsia="ＭＳ ゴシック" w:cs="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120"/>
      <w:ind w:hanging="0" w:left="720" w:right="0"/>
      <w:contextualSpacing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ListBullet2">
    <w:name w:val="List Bullet 2"/>
    <w:basedOn w:val="Normal"/>
    <w:pPr>
      <w:spacing w:before="0" w:after="120"/>
      <w:ind w:hanging="360" w:left="720" w:right="0"/>
      <w:contextualSpacing/>
    </w:pPr>
    <w:rPr/>
  </w:style>
  <w:style w:type="paragraph" w:styleId="ListBullet3">
    <w:name w:val="List Bullet 3"/>
    <w:basedOn w:val="Normal"/>
    <w:pPr>
      <w:spacing w:before="0" w:after="120"/>
      <w:ind w:hanging="360" w:left="1080" w:right="0"/>
      <w:contextualSpacing/>
    </w:pPr>
    <w:rPr/>
  </w:style>
  <w:style w:type="paragraph" w:styleId="ListBullet">
    <w:name w:val="List Bullet"/>
    <w:basedOn w:val="Normal"/>
    <w:qFormat/>
    <w:pPr>
      <w:numPr>
        <w:ilvl w:val="0"/>
        <w:numId w:val="2"/>
      </w:numPr>
      <w:spacing w:before="0" w:after="120"/>
      <w:contextualSpacing/>
    </w:pPr>
    <w:rPr/>
  </w:style>
  <w:style w:type="paragraph" w:styleId="ListBullet21">
    <w:name w:val="List Bullet 21"/>
    <w:basedOn w:val="Normal"/>
    <w:qFormat/>
    <w:pPr>
      <w:numPr>
        <w:ilvl w:val="0"/>
        <w:numId w:val="3"/>
      </w:numPr>
      <w:spacing w:before="0" w:after="120"/>
      <w:contextualSpacing/>
    </w:pPr>
    <w:rPr/>
  </w:style>
  <w:style w:type="paragraph" w:styleId="ListBullet31">
    <w:name w:val="List Bullet 31"/>
    <w:basedOn w:val="Normal"/>
    <w:qFormat/>
    <w:pPr>
      <w:numPr>
        <w:ilvl w:val="0"/>
        <w:numId w:val="4"/>
      </w:numPr>
      <w:spacing w:before="0" w:after="120"/>
      <w:contextualSpacing/>
    </w:pPr>
    <w:rPr/>
  </w:style>
  <w:style w:type="paragraph" w:styleId="ListNumber">
    <w:name w:val="List Number"/>
    <w:basedOn w:val="Normal"/>
    <w:qFormat/>
    <w:pPr>
      <w:numPr>
        <w:ilvl w:val="0"/>
        <w:numId w:val="5"/>
      </w:numPr>
      <w:spacing w:before="0" w:after="120"/>
      <w:contextualSpacing/>
    </w:pPr>
    <w:rPr/>
  </w:style>
  <w:style w:type="paragraph" w:styleId="ListNumber2">
    <w:name w:val="List Number 2"/>
    <w:basedOn w:val="Normal"/>
    <w:qFormat/>
    <w:pPr>
      <w:numPr>
        <w:ilvl w:val="0"/>
        <w:numId w:val="6"/>
      </w:numPr>
      <w:spacing w:before="0" w:after="120"/>
      <w:contextualSpacing/>
    </w:pPr>
    <w:rPr/>
  </w:style>
  <w:style w:type="paragraph" w:styleId="ListNumber3">
    <w:name w:val="List Number 3"/>
    <w:basedOn w:val="Normal"/>
    <w:qFormat/>
    <w:pPr>
      <w:numPr>
        <w:ilvl w:val="0"/>
        <w:numId w:val="7"/>
      </w:numPr>
      <w:spacing w:before="0" w:after="120"/>
      <w:contextualSpacing/>
    </w:pPr>
    <w:rPr/>
  </w:style>
  <w:style w:type="paragraph" w:styleId="ListContinue">
    <w:name w:val="List Continue"/>
    <w:basedOn w:val="Normal"/>
    <w:qFormat/>
    <w:pPr>
      <w:spacing w:before="0" w:after="120"/>
      <w:ind w:hanging="0" w:left="360" w:right="0"/>
      <w:contextualSpacing/>
    </w:pPr>
    <w:rPr/>
  </w:style>
  <w:style w:type="paragraph" w:styleId="ListContinue2">
    <w:name w:val="List Continue 2"/>
    <w:basedOn w:val="Normal"/>
    <w:qFormat/>
    <w:pPr>
      <w:spacing w:before="0" w:after="120"/>
      <w:ind w:hanging="0" w:left="720" w:right="0"/>
      <w:contextualSpacing/>
    </w:pPr>
    <w:rPr/>
  </w:style>
  <w:style w:type="paragraph" w:styleId="ListContinue3">
    <w:name w:val="List Continue 3"/>
    <w:basedOn w:val="Normal"/>
    <w:qFormat/>
    <w:pPr>
      <w:spacing w:before="0" w:after="120"/>
      <w:ind w:hanging="0" w:left="1080" w:right="0"/>
      <w:contextualSpacing/>
    </w:pPr>
    <w:rPr/>
  </w:style>
  <w:style w:type="paragraph" w:styleId="MacroText">
    <w:name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;Courier New" w:hAnsi="Courier;Courier New" w:eastAsia="ＭＳ 明朝" w:cs="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qFormat/>
    <w:pPr/>
    <w:rPr>
      <w:i/>
      <w:iCs/>
      <w:color w:val="000000"/>
    </w:rPr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hanging="0" w:left="936" w:right="936"/>
    </w:pPr>
    <w:rPr>
      <w:b/>
      <w:bCs/>
      <w:i/>
      <w:iCs/>
      <w:color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numPr>
        <w:ilvl w:val="0"/>
        <w:numId w:val="0"/>
      </w:numPr>
      <w:outlineLvl w:val="9"/>
    </w:pPr>
    <w:rPr/>
  </w:style>
  <w:style w:type="paragraph" w:styleId="Standfirst">
    <w:name w:val="Standfirst"/>
    <w:basedOn w:val="Normal"/>
    <w:qFormat/>
    <w:pPr>
      <w:spacing w:lineRule="auto" w:line="300" w:before="0" w:after="240"/>
    </w:pPr>
    <w:rPr>
      <w:rFonts w:ascii="Liberation Serif;Times New Roman" w:hAnsi="Liberation Serif;Times New Roman" w:cs="Liberation Serif;Times New Roman"/>
      <w:i/>
      <w:color w:val="606C75"/>
      <w:sz w:val="24"/>
    </w:rPr>
  </w:style>
  <w:style w:type="paragraph" w:styleId="BulletsEditorial">
    <w:name w:val="Bullets Editorial"/>
    <w:basedOn w:val="Normal"/>
    <w:qFormat/>
    <w:pPr>
      <w:spacing w:before="0" w:after="80"/>
      <w:ind w:hanging="193" w:left="340" w:right="0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Ramon Eyquem</dc:creator>
  <dc:description>generated by python-docx</dc:description>
  <cp:keywords>Homo Provincialis волюнтаризм философские сообщества международные общины</cp:keywords>
  <dc:language>en-US</dc:language>
  <cp:lastModifiedBy/>
  <dcterms:modified xsi:type="dcterms:W3CDTF">2013-12-23T23:15:00Z</dcterms:modified>
  <cp:revision>1</cp:revision>
  <dc:subject>Добровольное международное объединение философских общин</dc:subject>
  <dc:title>Международное философское сообщество — концепция Homo Provincialis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