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A98" w:rsidRPr="00360A98" w:rsidRDefault="00360A98" w:rsidP="00360A98">
      <w:pPr>
        <w:spacing w:before="100" w:beforeAutospacing="1" w:after="100" w:afterAutospacing="1" w:line="240" w:lineRule="auto"/>
        <w:outlineLvl w:val="0"/>
        <w:rPr>
          <w:rFonts w:ascii="Times New Roman" w:eastAsia="Times New Roman" w:hAnsi="Times New Roman" w:cs="Times New Roman"/>
          <w:b/>
          <w:bCs/>
          <w:kern w:val="36"/>
          <w:sz w:val="48"/>
          <w:szCs w:val="48"/>
          <w:lang w:val="ru-RU" w:eastAsia="en-PH"/>
        </w:rPr>
      </w:pPr>
      <w:r w:rsidRPr="00360A98">
        <w:rPr>
          <w:rFonts w:ascii="Times New Roman" w:eastAsia="Times New Roman" w:hAnsi="Times New Roman" w:cs="Times New Roman"/>
          <w:b/>
          <w:bCs/>
          <w:kern w:val="36"/>
          <w:sz w:val="48"/>
          <w:szCs w:val="48"/>
          <w:lang w:val="ru-RU" w:eastAsia="en-PH"/>
        </w:rPr>
        <w:t>A Priori — The Previous, That Which Precedes in Relation to What Follows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b/>
          <w:bCs/>
          <w:sz w:val="24"/>
          <w:szCs w:val="24"/>
          <w:lang w:val="ru-RU" w:eastAsia="en-PH"/>
        </w:rPr>
        <w:t>Universal Philosophical Language — UFL</w:t>
      </w:r>
      <w:r w:rsidRPr="00360A98">
        <w:rPr>
          <w:rFonts w:ascii="Times New Roman" w:eastAsia="Times New Roman" w:hAnsi="Times New Roman" w:cs="Times New Roman"/>
          <w:b/>
          <w:bCs/>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b/>
          <w:bCs/>
          <w:sz w:val="24"/>
          <w:szCs w:val="24"/>
          <w:lang w:val="ru-RU" w:eastAsia="en-PH"/>
        </w:rPr>
        <w:t>Author of the Study: RAMON EYQUEM</w:t>
      </w:r>
      <w:r w:rsidRPr="00360A98">
        <w:rPr>
          <w:rFonts w:ascii="Times New Roman" w:eastAsia="Times New Roman" w:hAnsi="Times New Roman" w:cs="Times New Roman"/>
          <w:b/>
          <w:bCs/>
          <w:sz w:val="24"/>
          <w:szCs w:val="24"/>
          <w:lang w:eastAsia="en-PH"/>
        </w:rPr>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b/>
          <w:bCs/>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b/>
          <w:bCs/>
          <w:sz w:val="24"/>
          <w:szCs w:val="24"/>
          <w:lang w:val="ru-RU" w:eastAsia="en-PH"/>
        </w:rPr>
        <w:t>Concept: Apriori1</w:t>
      </w:r>
      <w:r w:rsidRPr="00360A98">
        <w:rPr>
          <w:rFonts w:ascii="Times New Roman" w:eastAsia="Times New Roman" w:hAnsi="Times New Roman" w:cs="Times New Roman"/>
          <w:b/>
          <w:bCs/>
          <w:sz w:val="24"/>
          <w:szCs w:val="24"/>
          <w:lang w:eastAsia="en-PH"/>
        </w:rPr>
      </w:r>
      <w:r w:rsidRPr="00360A98">
        <w:rPr>
          <w:rFonts w:ascii="Times New Roman" w:eastAsia="Times New Roman" w:hAnsi="Times New Roman" w:cs="Times New Roman"/>
          <w:b/>
          <w:bCs/>
          <w:sz w:val="24"/>
          <w:szCs w:val="24"/>
          <w:lang w:val="ru-RU" w:eastAsia="en-PH"/>
        </w:rPr>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1. The Meaning of the Expression “A Priori”</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Latin expression a priori literally means “from the former,” “from that which precedes.”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In our study, we examine the meaning “the previous, that which precedes in relation to what follows.”</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This is a simple relation: one thing precedes another. For example, the first branch of a tree appeared before the second. Consequently, the first branch is the earlier one in relation to the second.</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To understand the history of this expression, we must turn to original texts and old dictionaries rather than limit ourselves to the most common philosophical definitions.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Our research has identified usages related to this meaning in ancient texts, medieval philosophy, twentieth-century philosophy, and major nineteenth-century dictionaries.</w:t>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2. Pliny the Elder — Ancient Usage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Roman writer and naturalist Pliny the Elder (23/24–79) used a closely related Latin expression in his Natural History (Naturalis Historia), Book XI, §131.</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historical dictionary by Lewis and Short gives the following:</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i/>
          <w:iCs/>
          <w:sz w:val="24"/>
          <w:szCs w:val="24"/>
          <w:lang w:val="ru-RU" w:eastAsia="en-PH"/>
        </w:rPr>
        <w:t>“a priori parte capitis”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“from the front part of the head.”</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Pliny describes the appearance of gray hair: it first appears at the front and then at the back.</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Here we see the simple relation of the front to the back.</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An important textual detail: some modern editions of Pliny’s text use the form a priore parte, whereas the dictionary by Lewis and Short gives a priori parte. This is therefore an example of a historically related usage, but the exact wording must be taken into account when comparing the sources.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This evidence shows how long the Latin language has expressed the concept of what comes before, or is in front of, in relation to what comes after, or is behind.</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3. Robert Grosseteste — The Example of a Tree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English philosopher Robert Grosseteste (c. 1175–1253) used the expression a priori in his commentary on Aristotle’s Posterior Analytics, Book II, Chapter 3.</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In this work, he compares scientific reasoning to a tree.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A tree has a root from which branches grow. The author describes successive derivations and then a return to the original foundation in order to begin another chain of reasoning.</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In the Latin text, he writes: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r w:rsidRPr="00360A98">
        <w:rPr>
          <w:rFonts w:ascii="Times New Roman" w:eastAsia="Times New Roman" w:hAnsi="Times New Roman" w:cs="Times New Roman"/>
          <w:i/>
          <w:iCs/>
          <w:sz w:val="24"/>
          <w:szCs w:val="24"/>
          <w:lang w:eastAsia="en-PH"/>
        </w:rPr>
        <w:t>“necesse est iterum redire ad principium sicut ad radicem”</w:t>
      </w:r>
      <w:proofErr w:type="spellStart"/>
      <w:proofErr w:type="gramStart"/>
      <w:r w:rsidRPr="00360A98">
        <w:rPr>
          <w:rFonts w:ascii="Times New Roman" w:eastAsia="Times New Roman" w:hAnsi="Times New Roman" w:cs="Times New Roman"/>
          <w:i/>
          <w:iCs/>
          <w:sz w:val="24"/>
          <w:szCs w:val="24"/>
          <w:lang w:eastAsia="en-PH"/>
        </w:rPr>
      </w:r>
      <w:proofErr w:type="spellEnd"/>
      <w:proofErr w:type="gram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“It is necessary to return again to the beginning, as to a root.”</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360A98">
        <w:rPr>
          <w:rFonts w:ascii="Times New Roman" w:eastAsia="Times New Roman" w:hAnsi="Times New Roman" w:cs="Times New Roman"/>
          <w:sz w:val="24"/>
          <w:szCs w:val="24"/>
          <w:lang w:eastAsia="en-PH"/>
        </w:rPr>
        <w:t>The following expression then appears:</w:t>
      </w:r>
      <w:proofErr w:type="spellEnd"/>
      <w:r w:rsidRPr="00360A98">
        <w:rPr>
          <w:rFonts w:ascii="Times New Roman" w:eastAsia="Times New Roman" w:hAnsi="Times New Roman" w:cs="Times New Roman"/>
          <w:sz w:val="24"/>
          <w:szCs w:val="24"/>
          <w:lang w:eastAsia="en-PH"/>
        </w:rPr>
      </w:r>
      <w:proofErr w:type="spellStart"/>
      <w:r w:rsidRPr="00360A98">
        <w:rPr>
          <w:rFonts w:ascii="Times New Roman" w:eastAsia="Times New Roman" w:hAnsi="Times New Roman" w:cs="Times New Roman"/>
          <w:sz w:val="24"/>
          <w:szCs w:val="24"/>
          <w:lang w:eastAsia="en-PH"/>
        </w:rPr>
      </w:r>
      <w:proofErr w:type="spellEnd"/>
      <w:r w:rsidRPr="00360A98">
        <w:rPr>
          <w:rFonts w:ascii="Times New Roman" w:eastAsia="Times New Roman" w:hAnsi="Times New Roman" w:cs="Times New Roman"/>
          <w:sz w:val="24"/>
          <w:szCs w:val="24"/>
          <w:lang w:eastAsia="en-PH"/>
        </w:rPr>
      </w:r>
      <w:proofErr w:type="spellStart"/>
      <w:r w:rsidRPr="00360A98">
        <w:rPr>
          <w:rFonts w:ascii="Times New Roman" w:eastAsia="Times New Roman" w:hAnsi="Times New Roman" w:cs="Times New Roman"/>
          <w:sz w:val="24"/>
          <w:szCs w:val="24"/>
          <w:lang w:eastAsia="en-PH"/>
        </w:rPr>
      </w:r>
      <w:proofErr w:type="spellEnd"/>
      <w:r w:rsidRPr="00360A98">
        <w:rPr>
          <w:rFonts w:ascii="Times New Roman" w:eastAsia="Times New Roman" w:hAnsi="Times New Roman" w:cs="Times New Roman"/>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r w:rsidRPr="00360A98">
        <w:rPr>
          <w:rFonts w:ascii="Times New Roman" w:eastAsia="Times New Roman" w:hAnsi="Times New Roman" w:cs="Times New Roman"/>
          <w:i/>
          <w:iCs/>
          <w:sz w:val="24"/>
          <w:szCs w:val="24"/>
          <w:lang w:eastAsia="en-PH"/>
        </w:rPr>
        <w:t>“extractio alia non dependens a priori”</w:t>
      </w:r>
      <w:proofErr w:type="spellStart"/>
      <w:proofErr w:type="gramStart"/>
      <w:r w:rsidRPr="00360A98">
        <w:rPr>
          <w:rFonts w:ascii="Times New Roman" w:eastAsia="Times New Roman" w:hAnsi="Times New Roman" w:cs="Times New Roman"/>
          <w:i/>
          <w:iCs/>
          <w:sz w:val="24"/>
          <w:szCs w:val="24"/>
          <w:lang w:eastAsia="en-PH"/>
        </w:rPr>
      </w:r>
      <w:proofErr w:type="spellEnd"/>
      <w:proofErr w:type="gram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“Another derivation not dependent on the preceding one.”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Here the expression a priori refers to the preceding derivation in relation to the new one.</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It is precisely this usage that formed the basis of our concept Apriori1.</w:t>
      </w:r>
      <w:proofErr w:type="spellStart"/>
      <w:r w:rsidRPr="00360A98">
        <w:rPr>
          <w:rFonts w:ascii="Times New Roman" w:eastAsia="Times New Roman" w:hAnsi="Times New Roman" w:cs="Times New Roman"/>
          <w:b/>
          <w:bCs/>
          <w:sz w:val="24"/>
          <w:szCs w:val="24"/>
          <w:lang w:eastAsia="en-PH"/>
        </w:rPr>
      </w:r>
      <w:proofErr w:type="spellEnd"/>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Grosseteste also uses a priori elsewhere in the same work when discussing what precedes and what follows.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Thus, this is not its only isolated occurrence in his text.</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4. Thomas Aquinas — The Previous and the Subsequent</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medieval philosopher Thomas Aquinas (1225–1274) uses a priori in his commentary on Aristotle’s Posterior Analytics, Book II, Lecture 10.</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360A98">
        <w:rPr>
          <w:rFonts w:ascii="Times New Roman" w:eastAsia="Times New Roman" w:hAnsi="Times New Roman" w:cs="Times New Roman"/>
          <w:sz w:val="24"/>
          <w:szCs w:val="24"/>
          <w:lang w:eastAsia="en-PH"/>
        </w:rPr>
        <w:t>He writes:</w:t>
      </w:r>
      <w:proofErr w:type="spellEnd"/>
      <w:r w:rsidRPr="00360A98">
        <w:rPr>
          <w:rFonts w:ascii="Times New Roman" w:eastAsia="Times New Roman" w:hAnsi="Times New Roman" w:cs="Times New Roman"/>
          <w:sz w:val="24"/>
          <w:szCs w:val="24"/>
          <w:lang w:eastAsia="en-PH"/>
        </w:rPr>
      </w:r>
      <w:proofErr w:type="spellStart"/>
      <w:r w:rsidRPr="00360A98">
        <w:rPr>
          <w:rFonts w:ascii="Times New Roman" w:eastAsia="Times New Roman" w:hAnsi="Times New Roman" w:cs="Times New Roman"/>
          <w:sz w:val="24"/>
          <w:szCs w:val="24"/>
          <w:lang w:eastAsia="en-PH"/>
        </w:rPr>
      </w:r>
      <w:proofErr w:type="spellEnd"/>
      <w:r w:rsidRPr="00360A98">
        <w:rPr>
          <w:rFonts w:ascii="Times New Roman" w:eastAsia="Times New Roman" w:hAnsi="Times New Roman" w:cs="Times New Roman"/>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360A98">
        <w:rPr>
          <w:rFonts w:ascii="Times New Roman" w:eastAsia="Times New Roman" w:hAnsi="Times New Roman" w:cs="Times New Roman"/>
          <w:i/>
          <w:iCs/>
          <w:sz w:val="24"/>
          <w:szCs w:val="24"/>
          <w:lang w:eastAsia="en-PH"/>
        </w:rPr>
        <w:t>“Sed a priori non poterit fieri syllogismus ad posterius”.</w:t>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gramEnd"/>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“But a syllogism concerning the subsequent cannot be formed from the previous.”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Thomas then gives the example of a person who has taken medicine. From the fact that the person took medicine earlier, one cannot yet conclude that the person necessarily recovered afterward.</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What interests us here is the use of the expression a priori itself: it refers to what precedes in relation to what follows.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This is another direct medieval attestation of the meaning under investigation.</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5. Pierre Larousse — A Historical French Dictionary</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French lexicographer Pierre Larousse (1817–1875), in his Grand dictionnaire universel du XIXe siècle (Great Universal Dictionary of the Nineteenth Century), 1866, explains the Latin expression a priori as follows:</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r w:rsidRPr="00360A98">
        <w:rPr>
          <w:rFonts w:ascii="Times New Roman" w:eastAsia="Times New Roman" w:hAnsi="Times New Roman" w:cs="Times New Roman"/>
          <w:i/>
          <w:iCs/>
          <w:sz w:val="24"/>
          <w:szCs w:val="24"/>
          <w:lang w:eastAsia="en-PH"/>
        </w:rPr>
        <w:t>“de ce qui est avant”</w:t>
      </w:r>
      <w:proofErr w:type="gramStart"/>
      <w:r w:rsidRPr="00360A98">
        <w:rPr>
          <w:rFonts w:ascii="Times New Roman" w:eastAsia="Times New Roman" w:hAnsi="Times New Roman" w:cs="Times New Roman"/>
          <w:i/>
          <w:iCs/>
          <w:sz w:val="24"/>
          <w:szCs w:val="24"/>
          <w:lang w:eastAsia="en-PH"/>
        </w:rPr>
      </w:r>
      <w:proofErr w:type="gram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“from that which comes before.”</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This is particularly important evidence because it is not our own reconstruction but a direct dictionary explanation of the literal meaning of the expression.</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dictionary goes on to discuss specialized philosophical uses, but its initial explanation clearly points to precedence.</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6. Émile Littré — The Meaning of the Latin Expression</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French lexicographer Émile Littré (1801–1881), in his Dictionnaire de la langue française (Dictionary of the French Language), provides the following etymological explanation:</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360A98">
        <w:rPr>
          <w:rFonts w:ascii="Times New Roman" w:eastAsia="Times New Roman" w:hAnsi="Times New Roman" w:cs="Times New Roman"/>
          <w:i/>
          <w:iCs/>
          <w:sz w:val="24"/>
          <w:szCs w:val="24"/>
          <w:lang w:eastAsia="en-PH"/>
        </w:rPr>
        <w:t>“Lat. a, de, et priori, qui est avant”.</w:t>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eastAsia="en-PH"/>
        </w:rPr>
      </w:r>
      <w:proofErr w:type="gramEnd"/>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“Latin a means ‘from,’ and priori means ‘that which comes before.’”</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Thus, Littré directly associates the expression with precedence.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His testimony independently confirms the literal meaning we are examining.</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7. William Dwight Whitney — A Nineteenth-Century English Dictionary</w:t>
      </w:r>
      <w:r w:rsidRPr="00360A98">
        <w:rPr>
          <w:rFonts w:ascii="Times New Roman" w:eastAsia="Times New Roman" w:hAnsi="Times New Roman" w:cs="Times New Roman"/>
          <w:b/>
          <w:bCs/>
          <w:sz w:val="36"/>
          <w:szCs w:val="36"/>
          <w:lang w:eastAsia="en-PH"/>
        </w:rPr>
      </w:r>
      <w:r w:rsidRPr="00360A98">
        <w:rPr>
          <w:rFonts w:ascii="Times New Roman" w:eastAsia="Times New Roman" w:hAnsi="Times New Roman" w:cs="Times New Roman"/>
          <w:b/>
          <w:bCs/>
          <w:sz w:val="36"/>
          <w:szCs w:val="36"/>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American linguist William Dwight Whitney (1827–1894) was the editor-in-chief of the major English dictionary The Century Dictionary, whose publication began in 1889.</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In its entry for a priori, the dictionary gives the explanation:</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eastAsia="en-PH"/>
        </w:rPr>
      </w:pPr>
      <w:r w:rsidRPr="00360A98">
        <w:rPr>
          <w:rFonts w:ascii="Times New Roman" w:eastAsia="Times New Roman" w:hAnsi="Times New Roman" w:cs="Times New Roman"/>
          <w:i/>
          <w:iCs/>
          <w:sz w:val="24"/>
          <w:szCs w:val="24"/>
          <w:lang w:eastAsia="en-PH"/>
        </w:rPr>
        <w:t>“From the former; from that which precedes”.</w:t>
      </w:r>
      <w:proofErr w:type="gramStart"/>
      <w:r w:rsidRPr="00360A98">
        <w:rPr>
          <w:rFonts w:ascii="Times New Roman" w:eastAsia="Times New Roman" w:hAnsi="Times New Roman" w:cs="Times New Roman"/>
          <w:i/>
          <w:iCs/>
          <w:sz w:val="24"/>
          <w:szCs w:val="24"/>
          <w:lang w:eastAsia="en-PH"/>
        </w:rPr>
      </w:r>
      <w:proofErr w:type="gramEnd"/>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Translation: “From the former; from that which precedes.”</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This corresponds almost exactly to the formulation of our concept Apriori1.</w:t>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It is important that we cite the dictionary edited by Whitney rather than attribute personal authorship of every dictionary entry to him.</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8. Charlton Lewis and Charles Short — A Latin Dictionary</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American philologists Charlton Thomas Lewis (1834–1904) and Charles Short (1821–1886) compiled A Latin Dictionary, published in 1879.</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It is in this dictionary that the reference to Pliny appears among the examples: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i/>
          <w:iCs/>
          <w:sz w:val="24"/>
          <w:szCs w:val="24"/>
          <w:lang w:val="ru-RU" w:eastAsia="en-PH"/>
        </w:rPr>
        <w:t>“a priori parte capitis”.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Here the expression refers to the front part of the head.</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dictionary is important for our study because it preserves evidence of the spatial use of the Latin expression.</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However, the ancient text of Pliny must be distinguished from the wording adopted by the dictionary’s compilers.</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val="ru-RU" w:eastAsia="en-PH"/>
        </w:rPr>
      </w:pPr>
      <w:r w:rsidRPr="00360A98">
        <w:rPr>
          <w:rFonts w:ascii="Times New Roman" w:eastAsia="Times New Roman" w:hAnsi="Times New Roman" w:cs="Times New Roman"/>
          <w:b/>
          <w:bCs/>
          <w:sz w:val="36"/>
          <w:szCs w:val="36"/>
          <w:lang w:val="ru-RU" w:eastAsia="en-PH"/>
        </w:rPr>
        <w:t>9. Martin Heidegger — Twentieth-Century Philosophy</w:t>
      </w:r>
      <w:r w:rsidRPr="00360A98">
        <w:rPr>
          <w:rFonts w:ascii="Times New Roman" w:eastAsia="Times New Roman" w:hAnsi="Times New Roman" w:cs="Times New Roman"/>
          <w:b/>
          <w:bCs/>
          <w:sz w:val="36"/>
          <w:szCs w:val="36"/>
          <w:lang w:eastAsia="en-PH"/>
        </w:rPr>
      </w:r>
      <w:r w:rsidRPr="00360A98">
        <w:rPr>
          <w:rFonts w:ascii="Times New Roman" w:eastAsia="Times New Roman" w:hAnsi="Times New Roman" w:cs="Times New Roman"/>
          <w:b/>
          <w:bCs/>
          <w:sz w:val="36"/>
          <w:szCs w:val="36"/>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German philosopher Martin Heidegger (1889–1976) also directly associated a priori with that which precedes.</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In his lectures The Basic Problems of Phenomenology (Die Grundprobleme der Phänomenologie, 1927), he explains the expression in terms of what is earlier and what precedes.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i/>
          <w:iCs/>
          <w:sz w:val="24"/>
          <w:szCs w:val="24"/>
          <w:lang w:val="ru-RU" w:eastAsia="en-PH"/>
        </w:rPr>
      </w:r>
      <w:proofErr w:type="spellStart"/>
      <w:r w:rsidRPr="00360A98">
        <w:rPr>
          <w:rFonts w:ascii="Times New Roman" w:eastAsia="Times New Roman" w:hAnsi="Times New Roman" w:cs="Times New Roman"/>
          <w:i/>
          <w:iCs/>
          <w:sz w:val="24"/>
          <w:szCs w:val="24"/>
          <w:lang w:eastAsia="en-PH"/>
        </w:rPr>
      </w:r>
      <w:proofErr w:type="spellEnd"/>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Heidegger applies this meaning in developing his own philosophy of Being.</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Thus, in twentieth-century philosophy we again find a direct appeal to the meaning of precedence.</w:t>
      </w:r>
      <w:r w:rsidRPr="00360A98">
        <w:rPr>
          <w:rFonts w:ascii="Times New Roman" w:eastAsia="Times New Roman" w:hAnsi="Times New Roman" w:cs="Times New Roman"/>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At the same time, his own philosophical theory is much broader than this literal meaning. Therefore, the agreement in explaining the expression does not mean that Heidegger and Grosseteste held the same philosophical doctrines.</w:t>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360A98">
        <w:rPr>
          <w:rFonts w:ascii="Times New Roman" w:eastAsia="Times New Roman" w:hAnsi="Times New Roman" w:cs="Times New Roman"/>
          <w:b/>
          <w:bCs/>
          <w:sz w:val="36"/>
          <w:szCs w:val="36"/>
          <w:lang w:eastAsia="en-PH"/>
        </w:rPr>
        <w:t>10. Results of Our Research</w:t>
      </w:r>
      <w:proofErr w:type="spellStart"/>
      <w:r w:rsidRPr="00360A98">
        <w:rPr>
          <w:rFonts w:ascii="Times New Roman" w:eastAsia="Times New Roman" w:hAnsi="Times New Roman" w:cs="Times New Roman"/>
          <w:b/>
          <w:bCs/>
          <w:sz w:val="36"/>
          <w:szCs w:val="36"/>
          <w:lang w:eastAsia="en-PH"/>
        </w:rPr>
      </w:r>
      <w:proofErr w:type="spellEnd"/>
      <w:r w:rsidRPr="00360A98">
        <w:rPr>
          <w:rFonts w:ascii="Times New Roman" w:eastAsia="Times New Roman" w:hAnsi="Times New Roman" w:cs="Times New Roman"/>
          <w:b/>
          <w:bCs/>
          <w:sz w:val="36"/>
          <w:szCs w:val="36"/>
          <w:lang w:eastAsia="en-PH"/>
        </w:rPr>
      </w:r>
      <w:proofErr w:type="spellStart"/>
      <w:r w:rsidRPr="00360A98">
        <w:rPr>
          <w:rFonts w:ascii="Times New Roman" w:eastAsia="Times New Roman" w:hAnsi="Times New Roman" w:cs="Times New Roman"/>
          <w:b/>
          <w:bCs/>
          <w:sz w:val="36"/>
          <w:szCs w:val="36"/>
          <w:lang w:eastAsia="en-PH"/>
        </w:rPr>
      </w:r>
      <w:proofErr w:type="spellEnd"/>
      <w:r w:rsidRPr="00360A98">
        <w:rPr>
          <w:rFonts w:ascii="Times New Roman" w:eastAsia="Times New Roman" w:hAnsi="Times New Roman" w:cs="Times New Roman"/>
          <w:b/>
          <w:bCs/>
          <w:sz w:val="36"/>
          <w:szCs w:val="36"/>
          <w:lang w:eastAsia="en-PH"/>
        </w:rPr>
      </w:r>
      <w:proofErr w:type="spellStart"/>
      <w:r w:rsidRPr="00360A98">
        <w:rPr>
          <w:rFonts w:ascii="Times New Roman" w:eastAsia="Times New Roman" w:hAnsi="Times New Roman" w:cs="Times New Roman"/>
          <w:b/>
          <w:bCs/>
          <w:sz w:val="36"/>
          <w:szCs w:val="36"/>
          <w:lang w:eastAsia="en-PH"/>
        </w:rPr>
      </w:r>
      <w:proofErr w:type="spellEnd"/>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We have examined evidence from nine historical authors and scholars of language: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b/>
          <w:bCs/>
          <w:sz w:val="24"/>
          <w:szCs w:val="24"/>
          <w:lang w:val="ru-RU" w:eastAsia="en-PH"/>
        </w:rPr>
        <w:t>Pliny the Elder, Robert Grosseteste, Thomas Aquinas, Pierre Larousse, Émile Littré, William Dwight Whitney, Charlton Thomas Lewis, Charles Short, and Martin Heidegger.</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Among them are philosophers, an ancient writer, and dictionary compilers. Their evidence varies, but taken together it shows a lasting history of the meaning of precedence.</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 most direct philosophical usages are found in Robert Grosseteste and Thomas Aquinas. Heidegger directly invokes the meaning of what precedes in his philosophy. The dictionaries of Larousse, Littré, and Whitney confirm the literal understanding of the expression.</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This evidence does not prove that all the listed authors shared a single philosophical position. It confirms something more specific: the meaning of precedence is genuinely present in the historical use and explanation of the expression a priori.</w:t>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b/>
          <w:bCs/>
          <w:sz w:val="24"/>
          <w:szCs w:val="24"/>
          <w:lang w:eastAsia="en-PH"/>
        </w:rPr>
      </w:r>
      <w:r w:rsidRPr="00360A98">
        <w:rPr>
          <w:rFonts w:ascii="Times New Roman" w:eastAsia="Times New Roman" w:hAnsi="Times New Roman" w:cs="Times New Roman"/>
          <w:b/>
          <w:bCs/>
          <w:sz w:val="24"/>
          <w:szCs w:val="24"/>
          <w:lang w:val="ru-RU" w:eastAsia="en-PH"/>
        </w:rPr>
      </w:r>
      <w:r w:rsidRPr="00360A98">
        <w:rPr>
          <w:rFonts w:ascii="Times New Roman" w:eastAsia="Times New Roman" w:hAnsi="Times New Roman" w:cs="Times New Roman"/>
          <w:b/>
          <w:bCs/>
          <w:sz w:val="24"/>
          <w:szCs w:val="24"/>
          <w:lang w:eastAsia="en-PH"/>
        </w:rPr>
      </w:r>
      <w:r w:rsidRPr="00360A98">
        <w:rPr>
          <w:rFonts w:ascii="Times New Roman" w:eastAsia="Times New Roman" w:hAnsi="Times New Roman" w:cs="Times New Roman"/>
          <w:b/>
          <w:bCs/>
          <w:sz w:val="24"/>
          <w:szCs w:val="24"/>
          <w:lang w:val="ru-RU" w:eastAsia="en-PH"/>
        </w:rPr>
      </w:r>
    </w:p>
    <w:p w:rsidR="00360A98" w:rsidRPr="00360A98" w:rsidRDefault="00360A98" w:rsidP="00360A98">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360A98">
        <w:rPr>
          <w:rFonts w:ascii="Times New Roman" w:eastAsia="Times New Roman" w:hAnsi="Times New Roman" w:cs="Times New Roman"/>
          <w:b/>
          <w:bCs/>
          <w:sz w:val="36"/>
          <w:szCs w:val="36"/>
          <w:lang w:eastAsia="en-PH"/>
        </w:rPr>
        <w:t>11. Conclusion by RAMON EYQUEM</w:t>
      </w:r>
      <w:proofErr w:type="spellStart"/>
      <w:r w:rsidRPr="00360A98">
        <w:rPr>
          <w:rFonts w:ascii="Times New Roman" w:eastAsia="Times New Roman" w:hAnsi="Times New Roman" w:cs="Times New Roman"/>
          <w:b/>
          <w:bCs/>
          <w:sz w:val="36"/>
          <w:szCs w:val="36"/>
          <w:lang w:eastAsia="en-PH"/>
        </w:rPr>
      </w:r>
      <w:proofErr w:type="spellEnd"/>
      <w:r w:rsidRPr="00360A98">
        <w:rPr>
          <w:rFonts w:ascii="Times New Roman" w:eastAsia="Times New Roman" w:hAnsi="Times New Roman" w:cs="Times New Roman"/>
          <w:b/>
          <w:bCs/>
          <w:sz w:val="36"/>
          <w:szCs w:val="36"/>
          <w:lang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 believe that when studying philosophical terms, we must first establish their original meaning in the specific text of an author, rather than replace it with meanings given by other philosophers.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In the usage by Robert Grosseteste under consideration, the Latin expression a priori means “the previous,” “that which precedes in relation to what follows.”</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Our research shows that this meaning is not an arbitrary modern interpretation. It has historical support in Latin texts and old dictionaries.</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For the Universal Philosophical Language, it is important to preserve every identified meaning and investigate each one separately.</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Therefore, we register this meaning as an independent philosophical concept:</w:t>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proofErr w:type="spellStart"/>
      <w:r w:rsidRPr="00360A98">
        <w:rPr>
          <w:rFonts w:ascii="Times New Roman" w:eastAsia="Times New Roman" w:hAnsi="Times New Roman" w:cs="Times New Roman"/>
          <w:b/>
          <w:bCs/>
          <w:sz w:val="24"/>
          <w:szCs w:val="24"/>
          <w:lang w:eastAsia="en-PH"/>
        </w:rPr>
        <w:t>Apriori1 — A Priori: “The previous, that which precedes in relation to what follows.”</w:t>
      </w:r>
      <w:proofErr w:type="spellEnd"/>
      <w:r w:rsidRPr="00360A98">
        <w:rPr>
          <w:rFonts w:ascii="Times New Roman" w:eastAsia="Times New Roman" w:hAnsi="Times New Roman" w:cs="Times New Roman"/>
          <w:b/>
          <w:bCs/>
          <w:sz w:val="24"/>
          <w:szCs w:val="24"/>
          <w:lang w:val="ru-RU" w:eastAsia="en-PH"/>
        </w:rPr>
      </w:r>
    </w:p>
    <w:p w:rsidR="00360A98" w:rsidRPr="00360A98" w:rsidRDefault="00360A98" w:rsidP="00360A98">
      <w:pPr>
        <w:spacing w:before="100" w:beforeAutospacing="1" w:after="100" w:afterAutospacing="1" w:line="240" w:lineRule="auto"/>
        <w:rPr>
          <w:rFonts w:ascii="Times New Roman" w:eastAsia="Times New Roman" w:hAnsi="Times New Roman" w:cs="Times New Roman"/>
          <w:sz w:val="24"/>
          <w:szCs w:val="24"/>
          <w:lang w:val="ru-RU" w:eastAsia="en-PH"/>
        </w:rPr>
      </w:pPr>
      <w:r w:rsidRPr="00360A98">
        <w:rPr>
          <w:rFonts w:ascii="Times New Roman" w:eastAsia="Times New Roman" w:hAnsi="Times New Roman" w:cs="Times New Roman"/>
          <w:sz w:val="24"/>
          <w:szCs w:val="24"/>
          <w:lang w:val="ru-RU" w:eastAsia="en-PH"/>
        </w:rPr>
        <w:t>Other meanings of the expression a priori will be investigated as separate concepts, regardless of how widespread or authoritative they may be in the philosophical tradition.</w:t>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i/>
          <w:iCs/>
          <w:sz w:val="24"/>
          <w:szCs w:val="24"/>
          <w:lang w:val="ru-RU" w:eastAsia="en-PH"/>
        </w:rPr>
      </w:r>
      <w:r w:rsidRPr="00360A98">
        <w:rPr>
          <w:rFonts w:ascii="Times New Roman" w:eastAsia="Times New Roman" w:hAnsi="Times New Roman" w:cs="Times New Roman"/>
          <w:i/>
          <w:iCs/>
          <w:sz w:val="24"/>
          <w:szCs w:val="24"/>
          <w:lang w:eastAsia="en-PH"/>
        </w:rPr>
      </w:r>
      <w:r w:rsidRPr="00360A98">
        <w:rPr>
          <w:rFonts w:ascii="Times New Roman" w:eastAsia="Times New Roman" w:hAnsi="Times New Roman" w:cs="Times New Roman"/>
          <w:sz w:val="24"/>
          <w:szCs w:val="24"/>
          <w:lang w:val="ru-RU" w:eastAsia="en-PH"/>
        </w:rPr>
      </w:r>
    </w:p>
    <w:p w:rsidR="00C01C96" w:rsidRPr="00360A98" w:rsidRDefault="00C01C96">
      <w:pPr>
        <w:rPr>
          <w:lang w:val="ru-RU"/>
        </w:rPr>
      </w:pPr>
      <w:bookmarkStart w:id="0" w:name="_GoBack"/>
      <w:bookmarkEnd w:id="0"/>
      <w:r/>
    </w:p>
    <w:sectPr w:rsidR="00C01C96" w:rsidRPr="00360A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960"/>
    <w:rsid w:val="00360A98"/>
    <w:rsid w:val="00C01C96"/>
    <w:rsid w:val="00E509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0A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360A98"/>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A98"/>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360A98"/>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360A9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360A98"/>
    <w:rPr>
      <w:b/>
      <w:bCs/>
    </w:rPr>
  </w:style>
  <w:style w:type="character" w:styleId="Emphasis">
    <w:name w:val="Emphasis"/>
    <w:basedOn w:val="DefaultParagraphFont"/>
    <w:uiPriority w:val="20"/>
    <w:qFormat/>
    <w:rsid w:val="00360A9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0A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360A98"/>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A98"/>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360A98"/>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360A98"/>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360A98"/>
    <w:rPr>
      <w:b/>
      <w:bCs/>
    </w:rPr>
  </w:style>
  <w:style w:type="character" w:styleId="Emphasis">
    <w:name w:val="Emphasis"/>
    <w:basedOn w:val="DefaultParagraphFont"/>
    <w:uiPriority w:val="20"/>
    <w:qFormat/>
    <w:rsid w:val="00360A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850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Priori — The Previous, That Which Precedes in Relation to What Follows</dc:title>
  <dc:subject/>
  <dc:creator>RAMON EYQUEM</dc:creator>
  <cp:keywords/>
  <dc:description/>
  <cp:lastModifiedBy>CHICA</cp:lastModifiedBy>
  <cp:revision>2</cp:revision>
  <dcterms:created xsi:type="dcterms:W3CDTF">2026-10-10T06:58:00Z</dcterms:created>
  <dcterms:modified xsi:type="dcterms:W3CDTF">2026-10-10T06:59:00Z</dcterms:modified>
</cp:coreProperties>
</file>