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t>CHULETA DE PRESENTACIÓN</w:t>
      </w:r>
    </w:p>
    <w:p>
      <w:pPr>
        <w:jc w:val="center"/>
      </w:pPr>
      <w:r>
        <w:rPr>
          <w:b/>
          <w:color w:val="C8A900"/>
          <w:sz w:val="30"/>
        </w:rPr>
        <w:t>FAMA — Foro de Apoyo Multipropósito de la Armada</w:t>
      </w:r>
    </w:p>
    <w:p>
      <w:pPr>
        <w:jc w:val="center"/>
      </w:pPr>
      <w:r>
        <w:rPr>
          <w:i/>
          <w:color w:val="555555"/>
          <w:sz w:val="22"/>
        </w:rPr>
        <w:t>Guion ampliado de orador, diapositiva por diapositiva, con explicación de los tecnicismos</w:t>
      </w:r>
    </w:p>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1 — Portada (FAMA)</w:t>
            </w:r>
            <w:r>
              <w:rPr>
                <w:i/>
                <w:color w:val="E8C43A"/>
                <w:sz w:val="20"/>
              </w:rPr>
              <w:t xml:space="preserve">   (Apertura)</w:t>
            </w:r>
          </w:p>
        </w:tc>
      </w:tr>
    </w:tbl>
    <w:p>
      <w:pPr>
        <w:spacing w:after="40"/>
      </w:pPr>
    </w:p>
    <w:p>
      <w:pPr>
        <w:pStyle w:val="ListBullet"/>
        <w:spacing w:after="120"/>
      </w:pPr>
      <w:r>
        <w:rPr>
          <w:b/>
          <w:color w:val="003366"/>
        </w:rPr>
        <w:t xml:space="preserve">Saludo: </w:t>
      </w:r>
      <w:r>
        <w:t>preséntate brevemente y agradece a la audiencia y al tribunal la oportunidad de exponer el proyecto.</w:t>
      </w:r>
    </w:p>
    <w:p>
      <w:pPr>
        <w:pStyle w:val="ListBullet"/>
        <w:spacing w:after="120"/>
      </w:pPr>
      <w:r>
        <w:rPr>
          <w:b/>
          <w:color w:val="003366"/>
        </w:rPr>
        <w:t xml:space="preserve">Qué es: </w:t>
      </w:r>
      <w:r>
        <w:t>FAMA — Foro de Apoyo Multipropósito de la Armada. Una aplicación web pensada como herramienta de apoyo al día a día del personal de la Armada Española, no como un proyecto puramente académico.</w:t>
      </w:r>
    </w:p>
    <w:p>
      <w:pPr>
        <w:pStyle w:val="ListBullet"/>
        <w:spacing w:after="120"/>
      </w:pPr>
      <w:r>
        <w:rPr>
          <w:b/>
          <w:color w:val="003366"/>
        </w:rPr>
        <w:t xml:space="preserve">Desglosa el nombre: </w:t>
      </w:r>
      <w:r>
        <w:t>"Foro" porque es un punto de encuentro entre compañeros; "Apoyo" porque la lógica es la ayuda mutua dentro del colectivo; "Multipropósito" porque resuelve varias necesidades (vivienda, movilidad, compraventa, ocio) en una sola plataforma en lugar de obligar a usar varias herramientas distintas.</w:t>
      </w:r>
    </w:p>
    <w:p>
      <w:pPr>
        <w:pStyle w:val="ListBullet"/>
        <w:spacing w:after="120"/>
      </w:pPr>
      <w:r>
        <w:rPr>
          <w:b/>
          <w:color w:val="003366"/>
        </w:rPr>
        <w:t xml:space="preserve">Marca el rumbo de la exposición: </w:t>
      </w:r>
      <w:r>
        <w:t>primero el problema que motiva el proyecto, después la solución y sus módulos, luego cómo está construida por dentro, y por último hacia dónde puede evolucionar.</w:t>
      </w:r>
    </w:p>
    <w:p>
      <w:pPr>
        <w:spacing w:before="80"/>
      </w:pPr>
      <w:r>
        <w:rPr>
          <w:i/>
          <w:color w:val="555555"/>
          <w:sz w:val="20"/>
        </w:rPr>
        <w:t>Frase puente: A continuación les explico de dónde surge la necesidad de esta aplicación.</w:t>
      </w:r>
    </w:p>
    <w:p>
      <w:pPr>
        <w:spacing w:after="80"/>
      </w:pP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2 — El problema</w:t>
            </w:r>
            <w:r>
              <w:rPr>
                <w:i/>
                <w:color w:val="E8C43A"/>
                <w:sz w:val="20"/>
              </w:rPr>
              <w:t xml:space="preserve">   (Contexto)</w:t>
            </w:r>
          </w:p>
        </w:tc>
      </w:tr>
    </w:tbl>
    <w:p>
      <w:pPr>
        <w:spacing w:after="40"/>
      </w:pPr>
    </w:p>
    <w:p>
      <w:pPr>
        <w:pStyle w:val="ListBullet"/>
        <w:spacing w:after="120"/>
      </w:pPr>
      <w:r>
        <w:rPr>
          <w:b/>
          <w:color w:val="003366"/>
        </w:rPr>
        <w:t xml:space="preserve">Movilidad constante: </w:t>
      </w:r>
      <w:r>
        <w:t>a diferencia de la mayoría de profesiones civiles, la carrera naval implica desplazamientos frecuentes por destinos, comisiones de servicio, cursos de formación y maniobras, que pueden durar desde unos días hasta varios años y que afectan directamente a la vida personal y familiar.</w:t>
      </w:r>
    </w:p>
    <w:p>
      <w:pPr>
        <w:pStyle w:val="ListBullet"/>
        <w:spacing w:after="120"/>
      </w:pPr>
      <w:r>
        <w:rPr>
          <w:b/>
          <w:color w:val="003366"/>
        </w:rPr>
        <w:t xml:space="preserve">Tablón infrautilizado: </w:t>
      </w:r>
      <w:r>
        <w:t>el tablón de anuncios del portal corporativo tiene poca actividad y un alcance muy limitado de categorías; en la práctica se reduce casi en exclusiva al alquiler de vivienda, dejando sin cubrir necesidades igual de urgentes.</w:t>
      </w:r>
    </w:p>
    <w:p>
      <w:pPr>
        <w:pStyle w:val="ListBullet"/>
        <w:spacing w:after="120"/>
      </w:pPr>
      <w:r>
        <w:rPr>
          <w:b/>
          <w:color w:val="003366"/>
        </w:rPr>
        <w:t xml:space="preserve">Canales informales y dispersos: </w:t>
      </w:r>
      <w:r>
        <w:t>ante esa carencia, el personal recurre a grupos de WhatsApp o Telegram y foros no oficiales. Son canales fragmentados, sin garantía de fiabilidad y sin ningún tipo de moderación.</w:t>
      </w:r>
    </w:p>
    <w:p>
      <w:pPr>
        <w:pStyle w:val="ListBullet"/>
        <w:spacing w:after="120"/>
      </w:pPr>
      <w:r>
        <w:rPr>
          <w:b/>
          <w:color w:val="003366"/>
        </w:rPr>
        <w:t xml:space="preserve">Consecuencia directa: </w:t>
      </w:r>
      <w:r>
        <w:t>no existe una plataforma única donde gestionar vivienda, transporte compartido, servicios entre compañeros y ocio; la falta de un entorno controlado genera desconfianza y reduce la participación, sobre todo de quien está destinado lejos de su entorno habitual.</w:t>
      </w:r>
    </w:p>
    <w:p>
      <w:pPr>
        <w:spacing w:before="80"/>
      </w:pPr>
      <w:r>
        <w:rPr>
          <w:i/>
          <w:color w:val="555555"/>
          <w:sz w:val="20"/>
        </w:rPr>
        <w:t>Frase puente: Y precisamente para resolver esta dispersión y falta de confianza nace FAMA.</w:t>
      </w:r>
    </w:p>
    <w:p>
      <w:pPr>
        <w:spacing w:after="80"/>
      </w:pP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3 — La solución: FAMA</w:t>
            </w:r>
            <w:r>
              <w:rPr>
                <w:i/>
                <w:color w:val="E8C43A"/>
                <w:sz w:val="20"/>
              </w:rPr>
              <w:t xml:space="preserve">   (Propósito)</w:t>
            </w:r>
          </w:p>
        </w:tc>
      </w:tr>
    </w:tbl>
    <w:p>
      <w:pPr>
        <w:spacing w:after="40"/>
      </w:pPr>
    </w:p>
    <w:p>
      <w:pPr>
        <w:pStyle w:val="ListBullet"/>
        <w:spacing w:after="120"/>
      </w:pPr>
      <w:r>
        <w:rPr>
          <w:b/>
          <w:color w:val="003366"/>
        </w:rPr>
        <w:t xml:space="preserve">Idea central: </w:t>
      </w:r>
      <w:r>
        <w:t>FAMA centraliza en un único punto de acceso seguro y controlado las cuatro grandes necesidades del personal: vivienda, movilidad y servicios, compraventa y ocio, complementadas con novedades y foro.</w:t>
      </w:r>
    </w:p>
    <w:p>
      <w:pPr>
        <w:pStyle w:val="ListBullet"/>
        <w:spacing w:after="120"/>
      </w:pPr>
      <w:r>
        <w:rPr>
          <w:b/>
          <w:color w:val="003366"/>
        </w:rPr>
        <w:t xml:space="preserve">Sustituye y amplía </w:t>
      </w:r>
      <w:r>
        <w:t>el Tablón de Anuncios actual, manteniendo lo que ya funcionaba (vivienda) y añadiendo todo lo que faltaba.</w:t>
      </w:r>
    </w:p>
    <w:p>
      <w:pPr>
        <w:pStyle w:val="ListBullet"/>
        <w:spacing w:after="120"/>
      </w:pPr>
      <w:r>
        <w:rPr>
          <w:b/>
          <w:color w:val="003366"/>
        </w:rPr>
        <w:t xml:space="preserve">Acceso regulado por roles: </w:t>
      </w:r>
      <w:r>
        <w:t>no es un foro abierto a cualquiera; se entra con credenciales institucionales y un sistema de roles vela por la integridad, trazabilidad y calidad de lo que se publica.</w:t>
      </w:r>
    </w:p>
    <w:p>
      <w:pPr>
        <w:pStyle w:val="ListBullet"/>
        <w:spacing w:after="120"/>
      </w:pPr>
      <w:r>
        <w:rPr>
          <w:b/>
          <w:color w:val="003366"/>
        </w:rPr>
        <w:t xml:space="preserve">Despliegue inicial en Intranet (I3D): </w:t>
      </w:r>
      <w:r>
        <w:t>se empieza en un entorno ya controlado por la institución, minimizando riesgos, antes de plantear pasos más ambiciosos.</w:t>
      </w:r>
    </w:p>
    <w:p>
      <w:pPr>
        <w:pStyle w:val="ListBullet"/>
        <w:spacing w:after="120"/>
      </w:pPr>
      <w:r>
        <w:rPr>
          <w:b/>
          <w:color w:val="003366"/>
        </w:rPr>
        <w:t xml:space="preserve">Visión de futuro: </w:t>
      </w:r>
      <w:r>
        <w:t>el diseño es deliberadamente escalable: está pensado desde el principio para poder crecer hacia Internet y hacia app móvil, como se detalla al final de la presentación.</w:t>
      </w: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4 — Módulos funcionales</w:t>
            </w:r>
            <w:r>
              <w:rPr>
                <w:i/>
                <w:color w:val="E8C43A"/>
                <w:sz w:val="20"/>
              </w:rPr>
              <w:t xml:space="preserve">   (Qué ofrece)</w:t>
            </w:r>
          </w:p>
        </w:tc>
      </w:tr>
    </w:tbl>
    <w:p>
      <w:pPr>
        <w:spacing w:after="40"/>
      </w:pPr>
    </w:p>
    <w:p>
      <w:pPr>
        <w:pStyle w:val="ListBullet"/>
        <w:spacing w:after="120"/>
      </w:pPr>
      <w:r>
        <w:rPr>
          <w:b/>
          <w:color w:val="003366"/>
        </w:rPr>
        <w:t xml:space="preserve">Vivienda: </w:t>
      </w:r>
      <w:r>
        <w:t>cuatro subsecciones: alquiler de larga estancia (destinos prolongados), alquiler de corta estancia (cursos o comisiones breves), compartir piso, e intercambio de viviendas entre personal de distintas bases para periodos vacacionales.</w:t>
      </w:r>
    </w:p>
    <w:p>
      <w:pPr>
        <w:pStyle w:val="ListBullet"/>
        <w:spacing w:after="120"/>
      </w:pPr>
      <w:r>
        <w:rPr>
          <w:b/>
          <w:color w:val="003366"/>
        </w:rPr>
        <w:t xml:space="preserve">Movilidad y Servicios: </w:t>
      </w:r>
      <w:r>
        <w:t>una sección de viajes compartidos al estilo "BlaBlaCar" institucional (origen, destino, fecha y plazas), más una bolsa de servicios entre compañeros: clases de refuerzo, preparación de oposiciones, asesoría jurídica o fiscal, reparaciones, etc.</w:t>
      </w:r>
    </w:p>
    <w:p>
      <w:pPr>
        <w:pStyle w:val="ListBullet"/>
        <w:spacing w:after="120"/>
      </w:pPr>
      <w:r>
        <w:rPr>
          <w:b/>
          <w:color w:val="003366"/>
        </w:rPr>
        <w:t xml:space="preserve">Compraventa: </w:t>
      </w:r>
      <w:r>
        <w:t>compraventa de segunda mano entre el personal, más un canal diferencial de merchandising oficial gestionado por los Jefes SEA de cada unidad (camisetas, insignias, artículos conmemorativos).</w:t>
      </w:r>
    </w:p>
    <w:p>
      <w:pPr>
        <w:pStyle w:val="ListBullet"/>
        <w:spacing w:after="120"/>
      </w:pPr>
      <w:r>
        <w:rPr>
          <w:b/>
          <w:color w:val="003366"/>
        </w:rPr>
        <w:t xml:space="preserve">Ocio y Eventos: </w:t>
      </w:r>
      <w:r>
        <w:t>el módulo más dinámico: eventos deportivos, culturales o libres, con inscripción de usuarios y geolocalización para encontrar los más próximos — pensado especialmente para quien está destinado lejos de su entorno social habitual.</w:t>
      </w:r>
    </w:p>
    <w:p>
      <w:pPr>
        <w:pStyle w:val="ListBullet"/>
        <w:spacing w:after="120"/>
      </w:pPr>
      <w:r>
        <w:rPr>
          <w:b/>
          <w:color w:val="003366"/>
        </w:rPr>
        <w:t xml:space="preserve">Novedades: </w:t>
      </w:r>
      <w:r>
        <w:t>canal oficial gestionado por los gestores: convocatorias de cursos, comisiones y publicaciones relevantes del BOD/BOE.</w:t>
      </w:r>
    </w:p>
    <w:p>
      <w:pPr>
        <w:pStyle w:val="ListBullet"/>
        <w:spacing w:after="120"/>
      </w:pPr>
      <w:r>
        <w:rPr>
          <w:b/>
          <w:color w:val="003366"/>
        </w:rPr>
        <w:t xml:space="preserve">Foro: </w:t>
      </w:r>
      <w:r>
        <w:t>espacio de participación horizontal para abrir hilos de consulta, debate o encuesta, sujeto a moderación activa de los gestores.</w:t>
      </w:r>
    </w:p>
    <w:p>
      <w:pPr>
        <w:spacing w:before="80"/>
      </w:pPr>
      <w:r>
        <w:rPr>
          <w:i/>
          <w:color w:val="555555"/>
          <w:sz w:val="20"/>
        </w:rPr>
        <w:t>Frase puente: No es necesario leer cada descripción completa: basta una idea por módulo, el detalle ya está en la diapositiva.</w:t>
      </w:r>
    </w:p>
    <w:p>
      <w:pPr>
        <w:spacing w:after="80"/>
      </w:pP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5 — Roles y seguridad</w:t>
            </w:r>
            <w:r>
              <w:rPr>
                <w:i/>
                <w:color w:val="E8C43A"/>
                <w:sz w:val="20"/>
              </w:rPr>
              <w:t xml:space="preserve">   (Control de acceso)</w:t>
            </w:r>
          </w:p>
        </w:tc>
      </w:tr>
    </w:tbl>
    <w:p>
      <w:pPr>
        <w:spacing w:after="40"/>
      </w:pPr>
    </w:p>
    <w:p>
      <w:pPr>
        <w:pStyle w:val="ListBullet"/>
        <w:spacing w:after="120"/>
      </w:pPr>
      <w:r>
        <w:rPr>
          <w:b/>
          <w:color w:val="003366"/>
        </w:rPr>
        <w:t xml:space="preserve">Modelo de roles (RBAC): </w:t>
      </w:r>
      <w:r>
        <w:t>FAMA usa control de acceso basado en roles (Role-Based Access Control). En vez de dar a todos los usuarios los mismos permisos, cada cuenta tiene asignado un rol y solo puede hacer lo que ese rol permite. Un mismo usuario puede acumular hasta dos roles a la vez (por ejemplo, Usuario + Gestor).</w:t>
      </w:r>
    </w:p>
    <w:p>
      <w:pPr>
        <w:pStyle w:val="ListBullet"/>
        <w:spacing w:after="120"/>
      </w:pPr>
      <w:r>
        <w:rPr>
          <w:b/>
          <w:color w:val="003366"/>
        </w:rPr>
        <w:t xml:space="preserve">Usuario: </w:t>
      </w:r>
      <w:r>
        <w:t>publica anuncios y solo puede editar o eliminar los suyos propios.</w:t>
      </w:r>
    </w:p>
    <w:p>
      <w:pPr>
        <w:pStyle w:val="ListBullet"/>
        <w:spacing w:after="120"/>
      </w:pPr>
      <w:r>
        <w:rPr>
          <w:b/>
          <w:color w:val="003366"/>
        </w:rPr>
        <w:t xml:space="preserve">Gestor: </w:t>
      </w:r>
      <w:r>
        <w:t>modera el foro, puede editar anuncios de cualquier usuario y gestiona el módulo de Novedades, pero no puede eliminar cuentas de administrador.</w:t>
      </w:r>
    </w:p>
    <w:p>
      <w:pPr>
        <w:pStyle w:val="ListBullet"/>
        <w:spacing w:after="120"/>
      </w:pPr>
      <w:r>
        <w:rPr>
          <w:b/>
          <w:color w:val="003366"/>
        </w:rPr>
        <w:t xml:space="preserve">Administrador: </w:t>
      </w:r>
      <w:r>
        <w:t>gestión completa: valida altas de usuarios, asigna y revoca roles, elimina usuarios o anuncios, y accede a logs y estadísticas.</w:t>
      </w:r>
    </w:p>
    <w:p>
      <w:pPr>
        <w:spacing w:before="120" w:after="40"/>
      </w:pPr>
      <w:r>
        <w:rPr>
          <w:b/>
          <w:i/>
          <w:color w:val="C8A900"/>
          <w:sz w:val="21"/>
        </w:rPr>
        <w:t>Cómo se protege la información (explicación técnica)</w:t>
      </w:r>
    </w:p>
    <w:p>
      <w:pPr>
        <w:spacing w:after="100"/>
        <w:ind w:left="340"/>
      </w:pPr>
      <w:r>
        <w:rPr>
          <w:b/>
          <w:color w:val="0055A4"/>
          <w:sz w:val="21"/>
        </w:rPr>
        <w:t xml:space="preserve">› Hash de contraseñas: </w:t>
      </w:r>
      <w:r>
        <w:rPr>
          <w:color w:val="222222"/>
          <w:sz w:val="21"/>
        </w:rPr>
        <w:t>un hash es el resultado de aplicar una función matemática que transforma la contraseña en una cadena de caracteres irreversible: no existe una operación inversa que permita recuperar la contraseña original a partir de ese resultado. FAMA usa la función generate_password_hash de la librería Werkzeug, de modo que en la base de datos nunca se guarda la contraseña real, solo su huella. Al iniciar sesión, se vuelve a aplicar la misma función a lo que el usuario escribe y se compara el resultado, sin necesitar nunca "deshacer" el hash.</w:t>
      </w:r>
    </w:p>
    <w:p>
      <w:pPr>
        <w:spacing w:after="100"/>
        <w:ind w:left="340"/>
      </w:pPr>
      <w:r>
        <w:rPr>
          <w:b/>
          <w:color w:val="0055A4"/>
          <w:sz w:val="21"/>
        </w:rPr>
        <w:t xml:space="preserve">› Validación de altas: </w:t>
      </w:r>
      <w:r>
        <w:rPr>
          <w:color w:val="222222"/>
          <w:sz w:val="21"/>
        </w:rPr>
        <w:t>todo usuario nuevo queda en estado pendiente hasta que un administrador lo valida; evita que cualquiera con un correo cualquiera entre directamente al sistema.</w:t>
      </w:r>
    </w:p>
    <w:p>
      <w:pPr>
        <w:spacing w:after="100"/>
        <w:ind w:left="340"/>
      </w:pPr>
      <w:r>
        <w:rPr>
          <w:b/>
          <w:color w:val="0055A4"/>
          <w:sz w:val="21"/>
        </w:rPr>
        <w:t xml:space="preserve">› Permisos por ruta: </w:t>
      </w:r>
      <w:r>
        <w:rPr>
          <w:color w:val="222222"/>
          <w:sz w:val="21"/>
        </w:rPr>
        <w:t>cada petición que modifica datos (crear, editar, borrar) comprueba en el servidor el rol de quien la hace antes de ejecutarla. No basta con ocultar un botón en la pantalla: el control real está en el backend, que es el único sitio donde no se puede hacer trampa.</w:t>
      </w:r>
    </w:p>
    <w:p>
      <w:pPr>
        <w:spacing w:after="100"/>
        <w:ind w:left="340"/>
      </w:pPr>
      <w:r>
        <w:rPr>
          <w:b/>
          <w:color w:val="0055A4"/>
          <w:sz w:val="21"/>
        </w:rPr>
        <w:t xml:space="preserve">› Cambio de contraseña forzado: </w:t>
      </w:r>
      <w:r>
        <w:rPr>
          <w:color w:val="222222"/>
          <w:sz w:val="21"/>
        </w:rPr>
        <w:t>cuando un administrador o gestor resetea una contraseña a la de fábrica, el usuario afectado recibe un aviso y debe cambiarla obligatoriamente en su siguiente inicio de sesión.</w:t>
      </w:r>
    </w:p>
    <w:p>
      <w:pPr>
        <w:spacing w:before="80"/>
      </w:pPr>
      <w:r>
        <w:rPr>
          <w:i/>
          <w:color w:val="555555"/>
          <w:sz w:val="20"/>
        </w:rPr>
        <w:t>Frase puente: La seguridad fue una prioridad de diseño desde el principio, no un añadido de última hora.</w:t>
      </w:r>
    </w:p>
    <w:p>
      <w:pPr>
        <w:spacing w:after="80"/>
      </w:pP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6 — Arquitectura del sistema</w:t>
            </w:r>
            <w:r>
              <w:rPr>
                <w:i/>
                <w:color w:val="E8C43A"/>
                <w:sz w:val="20"/>
              </w:rPr>
              <w:t xml:space="preserve">   (Diseño técnico)</w:t>
            </w:r>
          </w:p>
        </w:tc>
      </w:tr>
    </w:tbl>
    <w:p>
      <w:pPr>
        <w:spacing w:after="40"/>
      </w:pPr>
    </w:p>
    <w:p>
      <w:pPr>
        <w:pStyle w:val="ListBullet"/>
        <w:spacing w:after="120"/>
      </w:pPr>
      <w:r>
        <w:rPr>
          <w:b/>
          <w:color w:val="003366"/>
        </w:rPr>
        <w:t xml:space="preserve">Por qué arquitectura monolítica: </w:t>
      </w:r>
      <w:r>
        <w:t>todo el código vive en un único proyecto que se despliega como una sola unidad, frente a dividir la aplicación en microservicios independientes. Para un sistema de uso interno con un volumen de usuarios acotado, el monolito es la opción más pragmática: simplifica el despliegue, el mantenimiento y la depuración de errores, evitando la complejidad añadida de coordinar varios servicios independientes a través de la red.</w:t>
      </w:r>
    </w:p>
    <w:p>
      <w:pPr>
        <w:pStyle w:val="ListBullet"/>
        <w:spacing w:after="120"/>
      </w:pPr>
      <w:r>
        <w:rPr>
          <w:b/>
          <w:color w:val="003366"/>
        </w:rPr>
        <w:t xml:space="preserve">Patrón MVC (Modelo-Vista-Controlador): </w:t>
      </w:r>
      <w:r>
        <w:t>separa el código en tres responsabilidades independientes para que cambiar una no obligue a tocar las demás.</w:t>
      </w:r>
    </w:p>
    <w:p>
      <w:pPr>
        <w:spacing w:after="100"/>
        <w:ind w:left="340"/>
      </w:pPr>
      <w:r>
        <w:rPr>
          <w:b/>
          <w:color w:val="0055A4"/>
          <w:sz w:val="21"/>
        </w:rPr>
        <w:t xml:space="preserve">› Modelo: </w:t>
      </w:r>
      <w:r>
        <w:rPr>
          <w:color w:val="222222"/>
          <w:sz w:val="21"/>
        </w:rPr>
        <w:t>representa los datos y las reglas sobre ellos. En FAMA son las clases de la carpeta models/ (usuario, vivienda, compraventa, servicio, ocio, foro), que encapsulan cómo se guarda y se valida cada tipo de información en MongoDB.</w:t>
      </w:r>
    </w:p>
    <w:p>
      <w:pPr>
        <w:spacing w:after="100"/>
        <w:ind w:left="340"/>
      </w:pPr>
      <w:r>
        <w:rPr>
          <w:b/>
          <w:color w:val="0055A4"/>
          <w:sz w:val="21"/>
        </w:rPr>
        <w:t xml:space="preserve">› Vista: </w:t>
      </w:r>
      <w:r>
        <w:rPr>
          <w:color w:val="222222"/>
          <w:sz w:val="21"/>
        </w:rPr>
        <w:t>es lo que ve el usuario final: las plantillas HTML escritas con Jinja2 en la carpeta templates/, que reciben los datos del controlador y los muestran con el estilo de Bootstrap.</w:t>
      </w:r>
    </w:p>
    <w:p>
      <w:pPr>
        <w:spacing w:after="100"/>
        <w:ind w:left="340"/>
      </w:pPr>
      <w:r>
        <w:rPr>
          <w:b/>
          <w:color w:val="0055A4"/>
          <w:sz w:val="21"/>
        </w:rPr>
        <w:t xml:space="preserve">› Controlador: </w:t>
      </w:r>
      <w:r>
        <w:rPr>
          <w:color w:val="222222"/>
          <w:sz w:val="21"/>
        </w:rPr>
        <w:t>es la lógica que conecta ambos: en Flask son las rutas definidas en la carpeta routes/, que reciben la petición del navegador, piden o guardan datos a través del modelo, y deciden qué vista (plantilla) devolver.</w:t>
      </w:r>
    </w:p>
    <w:p>
      <w:pPr>
        <w:spacing w:before="120" w:after="40"/>
      </w:pPr>
      <w:r>
        <w:rPr>
          <w:b/>
          <w:i/>
          <w:color w:val="C8A900"/>
          <w:sz w:val="21"/>
        </w:rPr>
        <w:t>Las tres capas de FAMA y por qué se eligió cada tecnología</w:t>
      </w:r>
    </w:p>
    <w:p>
      <w:pPr>
        <w:spacing w:after="100"/>
        <w:ind w:left="340"/>
      </w:pPr>
      <w:r>
        <w:rPr>
          <w:b/>
          <w:color w:val="0055A4"/>
          <w:sz w:val="21"/>
        </w:rPr>
        <w:t xml:space="preserve">› Frontend — HTML5 + Jinja2 + Bootstrap 5: </w:t>
      </w:r>
      <w:r>
        <w:rPr>
          <w:color w:val="222222"/>
          <w:sz w:val="21"/>
        </w:rPr>
        <w:t>Jinja2 es el motor de plantillas de Flask: permite incrustar lógica (bucles, condicionales, variables) dentro del HTML para que el servidor genere páginas dinámicas antes de enviarlas al navegador. Bootstrap aporta un sistema de rejilla y componentes visuales ya hechos (botones, formularios, tarjetas), de forma que el diseño se adapta solo a móvil, tablet y escritorio (diseño responsive) sin escribir CSS desde cero.</w:t>
      </w:r>
    </w:p>
    <w:p>
      <w:pPr>
        <w:spacing w:after="100"/>
        <w:ind w:left="340"/>
      </w:pPr>
      <w:r>
        <w:rPr>
          <w:b/>
          <w:color w:val="0055A4"/>
          <w:sz w:val="21"/>
        </w:rPr>
        <w:t xml:space="preserve">› Backend — Python + Flask: </w:t>
      </w:r>
      <w:r>
        <w:rPr>
          <w:color w:val="222222"/>
          <w:sz w:val="21"/>
        </w:rPr>
        <w:t>Flask es un microframework: "micro" no significa limitado, sino que da solo lo esencial (enrutado de peticiones, plantillas, sesiones) y deja libertad para añadir exactamente lo que se necesita, sin imponer una estructura rígida como otros frameworks más grandes. Aquí es donde vive el sistema de roles y todas las reglas de negocio.</w:t>
      </w:r>
    </w:p>
    <w:p>
      <w:pPr>
        <w:spacing w:after="100"/>
        <w:ind w:left="340"/>
      </w:pPr>
      <w:r>
        <w:rPr>
          <w:b/>
          <w:color w:val="0055A4"/>
          <w:sz w:val="21"/>
        </w:rPr>
        <w:t xml:space="preserve">› Base de datos — MongoDB + PyMongo: </w:t>
      </w:r>
      <w:r>
        <w:rPr>
          <w:color w:val="222222"/>
          <w:sz w:val="21"/>
        </w:rPr>
        <w:t>MongoDB es una base de datos NoSQL orientada a documentos: en vez de tablas con filas y columnas fijas (como en MySQL o PostgreSQL), guarda la información en documentos similares a JSON, cada uno con sus propios campos. Esto encaja de forma natural con FAMA porque un anuncio de vivienda tiene campos muy distintos a uno de ocio o de compraventa, sin forzar un esquema relacional fijo ni columnas vacías. Internamente MongoDB guarda esos documentos en formato binario BSON, optimizado para tamaño y velocidad. PyMongo es la librería que permite a Python enviar consultas, insertar, actualizar y borrar esos documentos.</w:t>
      </w:r>
    </w:p>
    <w:p>
      <w:pPr>
        <w:spacing w:before="120" w:after="40"/>
      </w:pPr>
      <w:r>
        <w:rPr>
          <w:b/>
          <w:i/>
          <w:color w:val="C8A900"/>
          <w:sz w:val="21"/>
        </w:rPr>
        <w:t>Cómo se sirve la aplicación en producción</w:t>
      </w:r>
    </w:p>
    <w:p>
      <w:pPr>
        <w:spacing w:after="100"/>
        <w:ind w:left="340"/>
      </w:pPr>
      <w:r>
        <w:rPr>
          <w:b/>
          <w:color w:val="0055A4"/>
          <w:sz w:val="21"/>
        </w:rPr>
        <w:t xml:space="preserve">› WSGI y Gunicorn: </w:t>
      </w:r>
      <w:r>
        <w:rPr>
          <w:color w:val="222222"/>
          <w:sz w:val="21"/>
        </w:rPr>
        <w:t>WSGI (Web Server Gateway Interface) es la interfaz estándar de Python que define cómo un servidor web se comunica con una aplicación escrita en este lenguaje. Flask por sí solo trae un servidor de desarrollo, no pensado para producción; por eso se coloca delante Gunicorn, un servidor WSGI que ejecuta varios procesos worker de la aplicación en paralelo, dando estabilidad y capacidad de atender varias peticiones a la vez.</w:t>
      </w:r>
    </w:p>
    <w:p>
      <w:pPr>
        <w:spacing w:after="100"/>
        <w:ind w:left="340"/>
      </w:pPr>
      <w:r>
        <w:rPr>
          <w:b/>
          <w:color w:val="0055A4"/>
          <w:sz w:val="21"/>
        </w:rPr>
        <w:t xml:space="preserve">› Nginx como proxy inverso: </w:t>
      </w:r>
      <w:r>
        <w:rPr>
          <w:color w:val="222222"/>
          <w:sz w:val="21"/>
        </w:rPr>
        <w:t>Nginx se sitúa por delante de Gunicorn y actúa de "recepcionista": recibe todas las peticiones de la red en los puertos 80/443, puede gestionar el cifrado HTTPS, y reenvía el tráfico hacia la aplicación Flask interna (127.0.0.1:5000). Aporta seguridad, porque la aplicación real nunca queda expuesta directamente, y rendimiento, porque sirve los archivos estáticos de forma más eficiente que Flask.</w:t>
      </w:r>
    </w:p>
    <w:p>
      <w:pPr>
        <w:spacing w:after="100"/>
        <w:ind w:left="340"/>
      </w:pPr>
      <w:r>
        <w:rPr>
          <w:b/>
          <w:color w:val="0055A4"/>
          <w:sz w:val="21"/>
        </w:rPr>
        <w:t xml:space="preserve">› Docker y Docker Compose: </w:t>
      </w:r>
      <w:r>
        <w:rPr>
          <w:color w:val="222222"/>
          <w:sz w:val="21"/>
        </w:rPr>
        <w:t>un contenedor empaqueta la aplicación junto con todas sus dependencias (Python, librerías, configuración) en una unidad aislada y portable que funciona igual en cualquier máquina. Docker Compose permite definir y levantar de una sola vez los contenedores relacionados —en FAMA, el contenedor web (Flask/Gunicorn) y el contenedor de MongoDB— describiendo cómo se conectan entre sí, con un volumen persistente para que los datos no se pierdan al reiniciar.</w:t>
      </w: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7 — Herramientas y tecnologías</w:t>
            </w:r>
            <w:r>
              <w:rPr>
                <w:i/>
                <w:color w:val="E8C43A"/>
                <w:sz w:val="20"/>
              </w:rPr>
              <w:t xml:space="preserve">   (Stack)</w:t>
            </w:r>
          </w:p>
        </w:tc>
      </w:tr>
    </w:tbl>
    <w:p>
      <w:pPr>
        <w:spacing w:after="40"/>
      </w:pPr>
    </w:p>
    <w:p>
      <w:pPr>
        <w:pStyle w:val="ListBullet"/>
        <w:spacing w:after="120"/>
      </w:pPr>
      <w:r>
        <w:rPr>
          <w:b/>
          <w:color w:val="003366"/>
        </w:rPr>
        <w:t xml:space="preserve">Mensaje clave de esta diapositiva: </w:t>
      </w:r>
      <w:r>
        <w:t>todo el stack es software libre y estándar de la industria, sin coste de licencias, y cada pieza se eligió por una razón concreta, no por moda.</w:t>
      </w:r>
    </w:p>
    <w:p>
      <w:pPr>
        <w:spacing w:after="100"/>
        <w:ind w:left="340"/>
      </w:pPr>
      <w:r>
        <w:rPr>
          <w:b/>
          <w:color w:val="0055A4"/>
          <w:sz w:val="21"/>
        </w:rPr>
        <w:t xml:space="preserve">› Python: </w:t>
      </w:r>
      <w:r>
        <w:rPr>
          <w:color w:val="222222"/>
          <w:sz w:val="21"/>
        </w:rPr>
        <w:t>lenguaje de programación de propósito general, de sintaxis sencilla y con un ecosistema enorme de librerías; permite un desarrollo rápido y es muy habitual en aplicaciones web y de gestión de datos.</w:t>
      </w:r>
    </w:p>
    <w:p>
      <w:pPr>
        <w:spacing w:after="100"/>
        <w:ind w:left="340"/>
      </w:pPr>
      <w:r>
        <w:rPr>
          <w:b/>
          <w:color w:val="0055A4"/>
          <w:sz w:val="21"/>
        </w:rPr>
        <w:t xml:space="preserve">› Flask: </w:t>
      </w:r>
      <w:r>
        <w:rPr>
          <w:color w:val="222222"/>
          <w:sz w:val="21"/>
        </w:rPr>
        <w:t>el microframework web sobre el que se construye toda la lógica de FAMA (ver diapositiva de arquitectura).</w:t>
      </w:r>
    </w:p>
    <w:p>
      <w:pPr>
        <w:spacing w:after="100"/>
        <w:ind w:left="340"/>
      </w:pPr>
      <w:r>
        <w:rPr>
          <w:b/>
          <w:color w:val="0055A4"/>
          <w:sz w:val="21"/>
        </w:rPr>
        <w:t xml:space="preserve">› Werkzeug: </w:t>
      </w:r>
      <w:r>
        <w:rPr>
          <w:color w:val="222222"/>
          <w:sz w:val="21"/>
        </w:rPr>
        <w:t>librería de utilidades en la que se apoya Flask por debajo; en este proyecto se usa sobre todo su módulo de seguridad para crear y verificar los hashes de las contraseñas.</w:t>
      </w:r>
    </w:p>
    <w:p>
      <w:pPr>
        <w:spacing w:after="100"/>
        <w:ind w:left="340"/>
      </w:pPr>
      <w:r>
        <w:rPr>
          <w:b/>
          <w:color w:val="0055A4"/>
          <w:sz w:val="21"/>
        </w:rPr>
        <w:t xml:space="preserve">› Gunicorn: </w:t>
      </w:r>
      <w:r>
        <w:rPr>
          <w:color w:val="222222"/>
          <w:sz w:val="21"/>
        </w:rPr>
        <w:t>el servidor WSGI que ejecuta la aplicación Flask en producción (ver diapositiva de arquitectura).</w:t>
      </w:r>
    </w:p>
    <w:p>
      <w:pPr>
        <w:spacing w:after="100"/>
        <w:ind w:left="340"/>
      </w:pPr>
      <w:r>
        <w:rPr>
          <w:b/>
          <w:color w:val="0055A4"/>
          <w:sz w:val="21"/>
        </w:rPr>
        <w:t xml:space="preserve">› MongoDB y PyMongo: </w:t>
      </w:r>
      <w:r>
        <w:rPr>
          <w:color w:val="222222"/>
          <w:sz w:val="21"/>
        </w:rPr>
        <w:t>la base de datos NoSQL documental y su librería cliente para Python (ver diapositiva de arquitectura).</w:t>
      </w:r>
    </w:p>
    <w:p>
      <w:pPr>
        <w:spacing w:after="100"/>
        <w:ind w:left="340"/>
      </w:pPr>
      <w:r>
        <w:rPr>
          <w:b/>
          <w:color w:val="0055A4"/>
          <w:sz w:val="21"/>
        </w:rPr>
        <w:t xml:space="preserve">› HTML5, CSS y JavaScript: </w:t>
      </w:r>
      <w:r>
        <w:rPr>
          <w:color w:val="222222"/>
          <w:sz w:val="21"/>
        </w:rPr>
        <w:t>los tres lenguajes base de cualquier página web: HTML5 define la estructura y el contenido, CSS define la apariencia visual, y JavaScript añade interactividad dentro del navegador (validaciones de formularios, mostrar u ocultar elementos, etc.).</w:t>
      </w:r>
    </w:p>
    <w:p>
      <w:pPr>
        <w:spacing w:after="100"/>
        <w:ind w:left="340"/>
      </w:pPr>
      <w:r>
        <w:rPr>
          <w:b/>
          <w:color w:val="0055A4"/>
          <w:sz w:val="21"/>
        </w:rPr>
        <w:t xml:space="preserve">› Bootstrap 5: </w:t>
      </w:r>
      <w:r>
        <w:rPr>
          <w:color w:val="222222"/>
          <w:sz w:val="21"/>
        </w:rPr>
        <w:t>framework de CSS y JavaScript con componentes visuales ya hechos y un sistema de rejilla responsive, usado para construir la interfaz sin escribir todo el diseño desde cero.</w:t>
      </w:r>
    </w:p>
    <w:p>
      <w:pPr>
        <w:spacing w:after="100"/>
        <w:ind w:left="340"/>
      </w:pPr>
      <w:r>
        <w:rPr>
          <w:b/>
          <w:color w:val="0055A4"/>
          <w:sz w:val="21"/>
        </w:rPr>
        <w:t xml:space="preserve">› ReportLab: </w:t>
      </w:r>
      <w:r>
        <w:rPr>
          <w:color w:val="222222"/>
          <w:sz w:val="21"/>
        </w:rPr>
        <w:t>librería de Python para generar documentos PDF de forma programática; en FAMA se usa para exportar los logs de auditoría a PDF desde el panel de administración.</w:t>
      </w:r>
    </w:p>
    <w:p>
      <w:pPr>
        <w:spacing w:after="100"/>
        <w:ind w:left="340"/>
      </w:pPr>
      <w:r>
        <w:rPr>
          <w:b/>
          <w:color w:val="0055A4"/>
          <w:sz w:val="21"/>
        </w:rPr>
        <w:t xml:space="preserve">› python-docx: </w:t>
      </w:r>
      <w:r>
        <w:rPr>
          <w:color w:val="222222"/>
          <w:sz w:val="21"/>
        </w:rPr>
        <w:t>librería de Python para crear y editar documentos Word (.docx) de forma programática; se ha usado, por ejemplo, para generar parte de la documentación del propio proyecto.</w:t>
      </w:r>
    </w:p>
    <w:p>
      <w:pPr>
        <w:spacing w:after="100"/>
        <w:ind w:left="340"/>
      </w:pPr>
      <w:r>
        <w:rPr>
          <w:b/>
          <w:color w:val="0055A4"/>
          <w:sz w:val="21"/>
        </w:rPr>
        <w:t xml:space="preserve">› Docker y Docker Compose: </w:t>
      </w:r>
      <w:r>
        <w:rPr>
          <w:color w:val="222222"/>
          <w:sz w:val="21"/>
        </w:rPr>
        <w:t>el empaquetado y orquestación de contenedores que hace portable todo el despliegue (ver diapositiva de arquitectura).</w:t>
      </w:r>
    </w:p>
    <w:p>
      <w:pPr>
        <w:spacing w:after="100"/>
        <w:ind w:left="340"/>
      </w:pPr>
      <w:r>
        <w:rPr>
          <w:b/>
          <w:color w:val="0055A4"/>
          <w:sz w:val="21"/>
        </w:rPr>
        <w:t xml:space="preserve">› Nginx: </w:t>
      </w:r>
      <w:r>
        <w:rPr>
          <w:color w:val="222222"/>
          <w:sz w:val="21"/>
        </w:rPr>
        <w:t>el proxy inverso que expone la aplicación de forma segura en producción (ver diapositiva de arquitectura).</w:t>
      </w:r>
    </w:p>
    <w:p>
      <w:pPr>
        <w:spacing w:after="100"/>
        <w:ind w:left="340"/>
      </w:pPr>
      <w:r>
        <w:rPr>
          <w:b/>
          <w:color w:val="0055A4"/>
          <w:sz w:val="21"/>
        </w:rPr>
        <w:t xml:space="preserve">› Git: </w:t>
      </w:r>
      <w:r>
        <w:rPr>
          <w:color w:val="222222"/>
          <w:sz w:val="21"/>
        </w:rPr>
        <w:t>sistema de control de versiones: registra el historial de cambios del código, permite volver a versiones anteriores, comparar diferencias y que varias personas trabajen en paralelo sin pisarse el trabajo.</w:t>
      </w:r>
    </w:p>
    <w:p>
      <w:pPr>
        <w:spacing w:after="100"/>
        <w:ind w:left="340"/>
      </w:pPr>
      <w:r>
        <w:rPr>
          <w:b/>
          <w:color w:val="0055A4"/>
          <w:sz w:val="21"/>
        </w:rPr>
        <w:t xml:space="preserve">› GitHub: </w:t>
      </w:r>
      <w:r>
        <w:rPr>
          <w:color w:val="222222"/>
          <w:sz w:val="21"/>
        </w:rPr>
        <w:t>plataforma en la nube que aloja el repositorio Git del proyecto y facilita la colaboración: revisión de cambios, historial visible y control de incidencias.</w:t>
      </w: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8 — Hoja de ruta futura</w:t>
            </w:r>
            <w:r>
              <w:rPr>
                <w:i/>
                <w:color w:val="E8C43A"/>
                <w:sz w:val="20"/>
              </w:rPr>
              <w:t xml:space="preserve">   (Próximos pasos)</w:t>
            </w:r>
          </w:p>
        </w:tc>
      </w:tr>
    </w:tbl>
    <w:p>
      <w:pPr>
        <w:spacing w:after="40"/>
      </w:pPr>
    </w:p>
    <w:p>
      <w:pPr>
        <w:pStyle w:val="ListBullet"/>
        <w:spacing w:after="120"/>
      </w:pPr>
      <w:r>
        <w:rPr>
          <w:b/>
          <w:color w:val="003366"/>
        </w:rPr>
        <w:t xml:space="preserve">Mensaje clave: </w:t>
      </w:r>
      <w:r>
        <w:t>FAMA no es un proyecto cerrado: la arquitectura se ha pensado con visión de futuro para poder evolucionar sin rehacerse desde cero.</w:t>
      </w:r>
    </w:p>
    <w:p>
      <w:pPr>
        <w:spacing w:after="100"/>
        <w:ind w:left="340"/>
      </w:pPr>
      <w:r>
        <w:rPr>
          <w:b/>
          <w:color w:val="0055A4"/>
          <w:sz w:val="21"/>
        </w:rPr>
        <w:t xml:space="preserve">› DICODEF (Directorio Corporativo de Defensa): </w:t>
      </w:r>
      <w:r>
        <w:rPr>
          <w:color w:val="222222"/>
          <w:sz w:val="21"/>
        </w:rPr>
        <w:t>el sistema de identidad corporativa del Ministerio de Defensa. Integrarlo permitiría que el alta y la verificación de usuarios se hagan automáticamente contra las credenciales institucionales ya existentes, eliminando la validación manual del administrador.</w:t>
      </w:r>
    </w:p>
    <w:p>
      <w:pPr>
        <w:spacing w:after="100"/>
        <w:ind w:left="340"/>
      </w:pPr>
      <w:r>
        <w:rPr>
          <w:b/>
          <w:color w:val="0055A4"/>
          <w:sz w:val="21"/>
        </w:rPr>
        <w:t xml:space="preserve">› CVCDEF (Campus Virtual Corporativo de Defensa): </w:t>
      </w:r>
      <w:r>
        <w:rPr>
          <w:color w:val="222222"/>
          <w:sz w:val="21"/>
        </w:rPr>
        <w:t>una aplicación de Defensa que ya funciona en Internet con credenciales DICODEF; se toma como referencia técnica y organizativa para la futura salida de FAMA a Internet.</w:t>
      </w:r>
    </w:p>
    <w:p>
      <w:pPr>
        <w:spacing w:after="100"/>
        <w:ind w:left="340"/>
      </w:pPr>
      <w:r>
        <w:rPr>
          <w:b/>
          <w:color w:val="0055A4"/>
          <w:sz w:val="21"/>
        </w:rPr>
        <w:t xml:space="preserve">› DMZ (zona desmilitarizada): </w:t>
      </w:r>
      <w:r>
        <w:rPr>
          <w:color w:val="222222"/>
          <w:sz w:val="21"/>
        </w:rPr>
        <w:t>un segmento de red aislado que permite exponer una aplicación a Internet de forma controlada, separando lógica y físicamente la capa pública de los sistemas internos.</w:t>
      </w:r>
    </w:p>
    <w:p>
      <w:pPr>
        <w:spacing w:after="100"/>
        <w:ind w:left="340"/>
      </w:pPr>
      <w:r>
        <w:rPr>
          <w:b/>
          <w:color w:val="0055A4"/>
          <w:sz w:val="21"/>
        </w:rPr>
        <w:t xml:space="preserve">› MFA (autenticación multifactor): </w:t>
      </w:r>
      <w:r>
        <w:rPr>
          <w:color w:val="222222"/>
          <w:sz w:val="21"/>
        </w:rPr>
        <w:t>exigir más de un factor para iniciar sesión —por ejemplo, contraseña más un código temporal— en lugar de depender solo de la contraseña.</w:t>
      </w:r>
    </w:p>
    <w:p>
      <w:pPr>
        <w:spacing w:after="100"/>
        <w:ind w:left="340"/>
      </w:pPr>
      <w:r>
        <w:rPr>
          <w:b/>
          <w:color w:val="0055A4"/>
          <w:sz w:val="21"/>
        </w:rPr>
        <w:t xml:space="preserve">› ENS (Esquema Nacional de Seguridad): </w:t>
      </w:r>
      <w:r>
        <w:rPr>
          <w:color w:val="222222"/>
          <w:sz w:val="21"/>
        </w:rPr>
        <w:t>la normativa española que fija los requisitos mínimos de seguridad que deben cumplir los sistemas de las administraciones públicas antes de exponerse a Internet; incluye, entre otros, pruebas de intrusión (pentesting) y análisis de vulnerabilidades previos al despliegue.</w:t>
      </w:r>
    </w:p>
    <w:p>
      <w:pPr>
        <w:spacing w:after="100"/>
        <w:ind w:left="340"/>
      </w:pPr>
      <w:r>
        <w:rPr>
          <w:b/>
          <w:color w:val="0055A4"/>
          <w:sz w:val="21"/>
        </w:rPr>
        <w:t xml:space="preserve">› App móvil nativa: </w:t>
      </w:r>
      <w:r>
        <w:rPr>
          <w:color w:val="222222"/>
          <w:sz w:val="21"/>
        </w:rPr>
        <w:t>una vez disponible en Internet, se habilitaría el desarrollo de aplicaciones para Android e iOS, manteniendo el mismo nivel de seguridad y control de acceso que la versión web.</w:t>
      </w:r>
    </w:p>
    <w:p>
      <w:pPr>
        <w:spacing w:after="80"/>
      </w:pPr>
    </w:p>
    <w:tbl>
      <w:tblPr>
        <w:tblW w:type="auto" w:w="0"/>
        <w:jc w:val="center"/>
        <w:tblLook w:firstColumn="1" w:firstRow="1" w:lastColumn="0" w:lastRow="0" w:noHBand="0" w:noVBand="1" w:val="04A0"/>
      </w:tblPr>
      <w:tblGrid>
        <w:gridCol w:w="10200"/>
      </w:tblGrid>
      <w:tr>
        <w:tc>
          <w:tcPr>
            <w:tcW w:type="dxa" w:w="10200"/>
            <w:shd w:val="clear" w:fill="003366"/>
          </w:tcPr>
          <w:p>
            <w:r>
              <w:rPr>
                <w:b/>
                <w:color w:val="FFFFFF"/>
                <w:sz w:val="28"/>
              </w:rPr>
              <w:t>Diapositiva 9 — Cierre</w:t>
            </w:r>
            <w:r>
              <w:rPr>
                <w:i/>
                <w:color w:val="E8C43A"/>
                <w:sz w:val="20"/>
              </w:rPr>
              <w:t xml:space="preserve">   (Gracias / Preguntas)</w:t>
            </w:r>
          </w:p>
        </w:tc>
      </w:tr>
    </w:tbl>
    <w:p>
      <w:pPr>
        <w:spacing w:after="40"/>
      </w:pPr>
    </w:p>
    <w:p>
      <w:pPr>
        <w:pStyle w:val="ListBullet"/>
        <w:spacing w:after="120"/>
      </w:pPr>
      <w:r>
        <w:rPr>
          <w:b/>
          <w:color w:val="003366"/>
        </w:rPr>
        <w:t xml:space="preserve">Agradecer </w:t>
      </w:r>
      <w:r>
        <w:t>el tiempo y la atención de la audiencia y del tribunal.</w:t>
      </w:r>
    </w:p>
    <w:p>
      <w:pPr>
        <w:pStyle w:val="ListBullet"/>
        <w:spacing w:after="120"/>
      </w:pPr>
      <w:r>
        <w:rPr>
          <w:b/>
          <w:color w:val="003366"/>
        </w:rPr>
        <w:t xml:space="preserve">Abrir turno de preguntas </w:t>
      </w:r>
      <w:r>
        <w:t>con seguridad: las respuestas a las preguntas más probables están en la sección siguiente de este documento.</w:t>
      </w:r>
    </w:p>
    <w:p>
      <w:pPr>
        <w:spacing w:after="80"/>
      </w:pPr>
    </w:p>
    <w:p>
      <w:r>
        <w:br w:type="page"/>
      </w:r>
    </w:p>
    <w:p>
      <w:r>
        <w:rPr>
          <w:b/>
          <w:color w:val="003366"/>
          <w:sz w:val="36"/>
        </w:rPr>
        <w:t>GLOSARIO TÉCNICO RÁPIDO</w:t>
      </w:r>
    </w:p>
    <w:p>
      <w:r>
        <w:rPr>
          <w:i/>
          <w:color w:val="555555"/>
          <w:sz w:val="20"/>
        </w:rPr>
        <w:t>Para consulta rápida durante el turno de preguntas, en orden alfabético.</w:t>
      </w:r>
    </w:p>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fill="003366"/>
          </w:tcPr>
          <w:p>
            <w:r>
              <w:rPr>
                <w:b/>
                <w:color w:val="FFFFFF"/>
                <w:sz w:val="22"/>
              </w:rPr>
              <w:t>Término</w:t>
            </w:r>
          </w:p>
        </w:tc>
        <w:tc>
          <w:tcPr>
            <w:tcW w:type="dxa" w:w="7087"/>
            <w:shd w:val="clear" w:fill="003366"/>
          </w:tcPr>
          <w:p>
            <w:r>
              <w:rPr>
                <w:b/>
                <w:color w:val="FFFFFF"/>
                <w:sz w:val="22"/>
              </w:rPr>
              <w:t>Explicación</w:t>
            </w:r>
          </w:p>
        </w:tc>
      </w:tr>
      <w:tr>
        <w:tc>
          <w:tcPr>
            <w:tcW w:type="dxa" w:w="5100"/>
          </w:tcPr>
          <w:p>
            <w:r>
              <w:rPr>
                <w:b/>
                <w:color w:val="003366"/>
                <w:sz w:val="21"/>
              </w:rPr>
              <w:t>BSON</w:t>
            </w:r>
          </w:p>
        </w:tc>
        <w:tc>
          <w:tcPr>
            <w:tcW w:type="dxa" w:w="5100"/>
          </w:tcPr>
          <w:p>
            <w:r>
              <w:rPr>
                <w:color w:val="222222"/>
                <w:sz w:val="21"/>
              </w:rPr>
              <w:t>Formato binario interno en el que MongoDB almacena los documentos JSON; optimizado para tamaño y velocidad.</w:t>
            </w:r>
          </w:p>
        </w:tc>
      </w:tr>
      <w:tr>
        <w:tc>
          <w:tcPr>
            <w:tcW w:type="dxa" w:w="5100"/>
          </w:tcPr>
          <w:p>
            <w:r>
              <w:rPr>
                <w:b/>
                <w:color w:val="003366"/>
                <w:sz w:val="21"/>
              </w:rPr>
              <w:t>CVCDEF</w:t>
            </w:r>
          </w:p>
        </w:tc>
        <w:tc>
          <w:tcPr>
            <w:tcW w:type="dxa" w:w="5100"/>
          </w:tcPr>
          <w:p>
            <w:r>
              <w:rPr>
                <w:color w:val="222222"/>
                <w:sz w:val="21"/>
              </w:rPr>
              <w:t>Campus Virtual Corporativo de Defensa; aplicación de referencia para la futura salida de FAMA a Internet con credenciales DICODEF.</w:t>
            </w:r>
          </w:p>
        </w:tc>
      </w:tr>
      <w:tr>
        <w:tc>
          <w:tcPr>
            <w:tcW w:type="dxa" w:w="5100"/>
          </w:tcPr>
          <w:p>
            <w:r>
              <w:rPr>
                <w:b/>
                <w:color w:val="003366"/>
                <w:sz w:val="21"/>
              </w:rPr>
              <w:t>DICODEF</w:t>
            </w:r>
          </w:p>
        </w:tc>
        <w:tc>
          <w:tcPr>
            <w:tcW w:type="dxa" w:w="5100"/>
          </w:tcPr>
          <w:p>
            <w:r>
              <w:rPr>
                <w:color w:val="222222"/>
                <w:sz w:val="21"/>
              </w:rPr>
              <w:t>Directorio Corporativo de Defensa; sistema de identidad corporativa del Ministerio de Defensa.</w:t>
            </w:r>
          </w:p>
        </w:tc>
      </w:tr>
      <w:tr>
        <w:tc>
          <w:tcPr>
            <w:tcW w:type="dxa" w:w="5100"/>
          </w:tcPr>
          <w:p>
            <w:r>
              <w:rPr>
                <w:b/>
                <w:color w:val="003366"/>
                <w:sz w:val="21"/>
              </w:rPr>
              <w:t>DMZ</w:t>
            </w:r>
          </w:p>
        </w:tc>
        <w:tc>
          <w:tcPr>
            <w:tcW w:type="dxa" w:w="5100"/>
          </w:tcPr>
          <w:p>
            <w:r>
              <w:rPr>
                <w:color w:val="222222"/>
                <w:sz w:val="21"/>
              </w:rPr>
              <w:t>Zona desmilitarizada; segmento de red aislado para exponer servicios a Internet sin dar acceso directo a la red interna.</w:t>
            </w:r>
          </w:p>
        </w:tc>
      </w:tr>
      <w:tr>
        <w:tc>
          <w:tcPr>
            <w:tcW w:type="dxa" w:w="5100"/>
          </w:tcPr>
          <w:p>
            <w:r>
              <w:rPr>
                <w:b/>
                <w:color w:val="003366"/>
                <w:sz w:val="21"/>
              </w:rPr>
              <w:t>ENS</w:t>
            </w:r>
          </w:p>
        </w:tc>
        <w:tc>
          <w:tcPr>
            <w:tcW w:type="dxa" w:w="5100"/>
          </w:tcPr>
          <w:p>
            <w:r>
              <w:rPr>
                <w:color w:val="222222"/>
                <w:sz w:val="21"/>
              </w:rPr>
              <w:t>Esquema Nacional de Seguridad; normativa española de seguridad para sistemas de las administraciones públicas.</w:t>
            </w:r>
          </w:p>
        </w:tc>
      </w:tr>
      <w:tr>
        <w:tc>
          <w:tcPr>
            <w:tcW w:type="dxa" w:w="5100"/>
          </w:tcPr>
          <w:p>
            <w:r>
              <w:rPr>
                <w:b/>
                <w:color w:val="003366"/>
                <w:sz w:val="21"/>
              </w:rPr>
              <w:t>Gunicorn</w:t>
            </w:r>
          </w:p>
        </w:tc>
        <w:tc>
          <w:tcPr>
            <w:tcW w:type="dxa" w:w="5100"/>
          </w:tcPr>
          <w:p>
            <w:r>
              <w:rPr>
                <w:color w:val="222222"/>
                <w:sz w:val="21"/>
              </w:rPr>
              <w:t>Servidor WSGI que ejecuta la aplicación Flask en producción mediante varios procesos worker en paralelo.</w:t>
            </w:r>
          </w:p>
        </w:tc>
      </w:tr>
      <w:tr>
        <w:tc>
          <w:tcPr>
            <w:tcW w:type="dxa" w:w="5100"/>
          </w:tcPr>
          <w:p>
            <w:r>
              <w:rPr>
                <w:b/>
                <w:color w:val="003366"/>
                <w:sz w:val="21"/>
              </w:rPr>
              <w:t>Hash (de contraseña)</w:t>
            </w:r>
          </w:p>
        </w:tc>
        <w:tc>
          <w:tcPr>
            <w:tcW w:type="dxa" w:w="5100"/>
          </w:tcPr>
          <w:p>
            <w:r>
              <w:rPr>
                <w:color w:val="222222"/>
                <w:sz w:val="21"/>
              </w:rPr>
              <w:t>Resultado de una función matemática irreversible que convierte una contraseña en una cadena de caracteres; no se puede deshacer para recuperar la contraseña original.</w:t>
            </w:r>
          </w:p>
        </w:tc>
      </w:tr>
      <w:tr>
        <w:tc>
          <w:tcPr>
            <w:tcW w:type="dxa" w:w="5100"/>
          </w:tcPr>
          <w:p>
            <w:r>
              <w:rPr>
                <w:b/>
                <w:color w:val="003366"/>
                <w:sz w:val="21"/>
              </w:rPr>
              <w:t>Jinja2</w:t>
            </w:r>
          </w:p>
        </w:tc>
        <w:tc>
          <w:tcPr>
            <w:tcW w:type="dxa" w:w="5100"/>
          </w:tcPr>
          <w:p>
            <w:r>
              <w:rPr>
                <w:color w:val="222222"/>
                <w:sz w:val="21"/>
              </w:rPr>
              <w:t>Motor de plantillas de Flask que permite incrustar lógica (bucles, condicionales, variables) dentro del HTML para generar páginas dinámicas en el servidor.</w:t>
            </w:r>
          </w:p>
        </w:tc>
      </w:tr>
      <w:tr>
        <w:tc>
          <w:tcPr>
            <w:tcW w:type="dxa" w:w="5100"/>
          </w:tcPr>
          <w:p>
            <w:r>
              <w:rPr>
                <w:b/>
                <w:color w:val="003366"/>
                <w:sz w:val="21"/>
              </w:rPr>
              <w:t>MFA</w:t>
            </w:r>
          </w:p>
        </w:tc>
        <w:tc>
          <w:tcPr>
            <w:tcW w:type="dxa" w:w="5100"/>
          </w:tcPr>
          <w:p>
            <w:r>
              <w:rPr>
                <w:color w:val="222222"/>
                <w:sz w:val="21"/>
              </w:rPr>
              <w:t>Autenticación multifactor; exigir más de un factor para iniciar sesión.</w:t>
            </w:r>
          </w:p>
        </w:tc>
      </w:tr>
      <w:tr>
        <w:tc>
          <w:tcPr>
            <w:tcW w:type="dxa" w:w="5100"/>
          </w:tcPr>
          <w:p>
            <w:r>
              <w:rPr>
                <w:b/>
                <w:color w:val="003366"/>
                <w:sz w:val="21"/>
              </w:rPr>
              <w:t>MongoDB</w:t>
            </w:r>
          </w:p>
        </w:tc>
        <w:tc>
          <w:tcPr>
            <w:tcW w:type="dxa" w:w="5100"/>
          </w:tcPr>
          <w:p>
            <w:r>
              <w:rPr>
                <w:color w:val="222222"/>
                <w:sz w:val="21"/>
              </w:rPr>
              <w:t>Base de datos NoSQL orientada a documentos; guarda la información en documentos tipo JSON con campos variables, en lugar de tablas fijas.</w:t>
            </w:r>
          </w:p>
        </w:tc>
      </w:tr>
      <w:tr>
        <w:tc>
          <w:tcPr>
            <w:tcW w:type="dxa" w:w="5100"/>
          </w:tcPr>
          <w:p>
            <w:r>
              <w:rPr>
                <w:b/>
                <w:color w:val="003366"/>
                <w:sz w:val="21"/>
              </w:rPr>
              <w:t>MVC</w:t>
            </w:r>
          </w:p>
        </w:tc>
        <w:tc>
          <w:tcPr>
            <w:tcW w:type="dxa" w:w="5100"/>
          </w:tcPr>
          <w:p>
            <w:r>
              <w:rPr>
                <w:color w:val="222222"/>
                <w:sz w:val="21"/>
              </w:rPr>
              <w:t>Patrón Modelo-Vista-Controlador; separa datos, presentación y lógica de negocio en tres capas independientes.</w:t>
            </w:r>
          </w:p>
        </w:tc>
      </w:tr>
      <w:tr>
        <w:tc>
          <w:tcPr>
            <w:tcW w:type="dxa" w:w="5100"/>
          </w:tcPr>
          <w:p>
            <w:r>
              <w:rPr>
                <w:b/>
                <w:color w:val="003366"/>
                <w:sz w:val="21"/>
              </w:rPr>
              <w:t>Nginx</w:t>
            </w:r>
          </w:p>
        </w:tc>
        <w:tc>
          <w:tcPr>
            <w:tcW w:type="dxa" w:w="5100"/>
          </w:tcPr>
          <w:p>
            <w:r>
              <w:rPr>
                <w:color w:val="222222"/>
                <w:sz w:val="21"/>
              </w:rPr>
              <w:t>Servidor que actúa de proxy inverso: recibe el tráfico de Internet y lo reenvía a la aplicación Flask interna.</w:t>
            </w:r>
          </w:p>
        </w:tc>
      </w:tr>
      <w:tr>
        <w:tc>
          <w:tcPr>
            <w:tcW w:type="dxa" w:w="5100"/>
          </w:tcPr>
          <w:p>
            <w:r>
              <w:rPr>
                <w:b/>
                <w:color w:val="003366"/>
                <w:sz w:val="21"/>
              </w:rPr>
              <w:t>PyMongo</w:t>
            </w:r>
          </w:p>
        </w:tc>
        <w:tc>
          <w:tcPr>
            <w:tcW w:type="dxa" w:w="5100"/>
          </w:tcPr>
          <w:p>
            <w:r>
              <w:rPr>
                <w:color w:val="222222"/>
                <w:sz w:val="21"/>
              </w:rPr>
              <w:t>Librería de Python que permite comunicarse con MongoDB (insertar, leer, actualizar y borrar documentos).</w:t>
            </w:r>
          </w:p>
        </w:tc>
      </w:tr>
      <w:tr>
        <w:tc>
          <w:tcPr>
            <w:tcW w:type="dxa" w:w="5100"/>
          </w:tcPr>
          <w:p>
            <w:r>
              <w:rPr>
                <w:b/>
                <w:color w:val="003366"/>
                <w:sz w:val="21"/>
              </w:rPr>
              <w:t>RBAC</w:t>
            </w:r>
          </w:p>
        </w:tc>
        <w:tc>
          <w:tcPr>
            <w:tcW w:type="dxa" w:w="5100"/>
          </w:tcPr>
          <w:p>
            <w:r>
              <w:rPr>
                <w:color w:val="222222"/>
                <w:sz w:val="21"/>
              </w:rPr>
              <w:t>Control de acceso basado en roles (Role-Based Access Control); cada usuario solo puede hacer lo que su rol permite.</w:t>
            </w:r>
          </w:p>
        </w:tc>
      </w:tr>
      <w:tr>
        <w:tc>
          <w:tcPr>
            <w:tcW w:type="dxa" w:w="5100"/>
          </w:tcPr>
          <w:p>
            <w:r>
              <w:rPr>
                <w:b/>
                <w:color w:val="003366"/>
                <w:sz w:val="21"/>
              </w:rPr>
              <w:t>WSGI</w:t>
            </w:r>
          </w:p>
        </w:tc>
        <w:tc>
          <w:tcPr>
            <w:tcW w:type="dxa" w:w="5100"/>
          </w:tcPr>
          <w:p>
            <w:r>
              <w:rPr>
                <w:color w:val="222222"/>
                <w:sz w:val="21"/>
              </w:rPr>
              <w:t>Web Server Gateway Interface; interfaz estándar de Python que define cómo un servidor web se comunica con una aplicación escrita en este lenguaje.</w:t>
            </w:r>
          </w:p>
        </w:tc>
      </w:tr>
    </w:tbl>
    <w:p>
      <w:r>
        <w:br w:type="page"/>
      </w:r>
    </w:p>
    <w:p>
      <w:r>
        <w:rPr>
          <w:b/>
          <w:color w:val="003366"/>
          <w:sz w:val="36"/>
        </w:rPr>
        <w:t>PREGUNTAS PREVISIBLES DEL PÚBLICO</w:t>
      </w:r>
    </w:p>
    <w:p/>
    <w:p>
      <w:pPr>
        <w:spacing w:after="40"/>
      </w:pPr>
      <w:r>
        <w:rPr>
          <w:b/>
          <w:color w:val="003366"/>
        </w:rPr>
        <w:t>P: ¿Por qué MongoDB y no una base de datos relacional (SQL)?</w:t>
      </w:r>
    </w:p>
    <w:p>
      <w:pPr>
        <w:spacing w:after="200"/>
        <w:ind w:left="283"/>
      </w:pPr>
      <w:r>
        <w:rPr>
          <w:color w:val="333333"/>
        </w:rPr>
        <w:t>R: Porque cada módulo (vivienda, ocio, compraventa...) tiene campos distintos y variables. MongoDB permite ese esquema flexible por documento sin forzar tablas rígidas ni columnas vacías, mientras que una base relacional como MySQL o PostgreSQL obligaría a definir de antemano una estructura fija de columnas igual para todos los registros de una tabla.</w:t>
      </w:r>
    </w:p>
    <w:p>
      <w:pPr>
        <w:spacing w:after="40"/>
      </w:pPr>
      <w:r>
        <w:rPr>
          <w:b/>
          <w:color w:val="003366"/>
        </w:rPr>
        <w:t>P: ¿Por qué una arquitectura monolítica y no microservicios?</w:t>
      </w:r>
    </w:p>
    <w:p>
      <w:pPr>
        <w:spacing w:after="200"/>
        <w:ind w:left="283"/>
      </w:pPr>
      <w:r>
        <w:rPr>
          <w:color w:val="333333"/>
        </w:rPr>
        <w:t>R: Es una aplicación de uso interno con un volumen de usuarios acotado. El monolito simplifica el despliegue, el mantenimiento y la depuración; microservicios añadirían complejidad innecesaria (comunicación entre servicios, más infraestructura, más puntos de fallo) para este alcance.</w:t>
      </w:r>
    </w:p>
    <w:p>
      <w:pPr>
        <w:spacing w:after="40"/>
      </w:pPr>
      <w:r>
        <w:rPr>
          <w:b/>
          <w:color w:val="003366"/>
        </w:rPr>
        <w:t>P: ¿Cómo se protegen las contraseñas?</w:t>
      </w:r>
    </w:p>
    <w:p>
      <w:pPr>
        <w:spacing w:after="200"/>
        <w:ind w:left="283"/>
      </w:pPr>
      <w:r>
        <w:rPr>
          <w:color w:val="333333"/>
        </w:rPr>
        <w:t>R: Se almacenan únicamente como hash no reversible mediante Werkzeug (generate_password_hash); nunca en texto plano. Tras un reseteo administrativo, el usuario debe cambiarla obligatoriamente en el siguiente inicio de sesión.</w:t>
      </w:r>
    </w:p>
    <w:p>
      <w:pPr>
        <w:spacing w:after="40"/>
      </w:pPr>
      <w:r>
        <w:rPr>
          <w:b/>
          <w:color w:val="003366"/>
        </w:rPr>
        <w:t>P: ¿Qué pasa si alguien publica contenido inapropiado?</w:t>
      </w:r>
    </w:p>
    <w:p>
      <w:pPr>
        <w:spacing w:after="200"/>
        <w:ind w:left="283"/>
      </w:pPr>
      <w:r>
        <w:rPr>
          <w:color w:val="333333"/>
        </w:rPr>
        <w:t>R: Los gestores moderan el foro y pueden eliminar contenido que incumpla las normas; para anuncios, pueden reportarlos al administrador, que decide la acción final.</w:t>
      </w:r>
    </w:p>
    <w:p>
      <w:pPr>
        <w:spacing w:after="40"/>
      </w:pPr>
      <w:r>
        <w:rPr>
          <w:b/>
          <w:color w:val="003366"/>
        </w:rPr>
        <w:t>P: ¿Cómo evita la aplicación inyecciones o ataques XSS?</w:t>
      </w:r>
    </w:p>
    <w:p>
      <w:pPr>
        <w:spacing w:after="200"/>
        <w:ind w:left="283"/>
      </w:pPr>
      <w:r>
        <w:rPr>
          <w:color w:val="333333"/>
        </w:rPr>
        <w:t>R: Las consultas a MongoDB se hacen de forma parametrizada (sin concatenar datos sin limpiar) y las plantillas Jinja2 escapan automáticamente el contenido dinámico antes de mostrarlo en el navegador.</w:t>
      </w:r>
    </w:p>
    <w:p>
      <w:pPr>
        <w:spacing w:after="40"/>
      </w:pPr>
      <w:r>
        <w:rPr>
          <w:b/>
          <w:color w:val="003366"/>
        </w:rPr>
        <w:t>P: ¿Por qué empezar en la Intranet y no directamente en Internet?</w:t>
      </w:r>
    </w:p>
    <w:p>
      <w:pPr>
        <w:spacing w:after="200"/>
        <w:ind w:left="283"/>
      </w:pPr>
      <w:r>
        <w:rPr>
          <w:color w:val="333333"/>
        </w:rPr>
        <w:t>R: Por seguridad y por encaje institucional: la Intranet (I3D) ya tiene un entorno controlado. Salir a Internet exige cumplir requisitos adicionales del ENS (TLS, DMZ, MFA, pentesting) que se plantean como una fase posterior.</w:t>
      </w:r>
    </w:p>
    <w:p>
      <w:pPr>
        <w:spacing w:after="40"/>
      </w:pPr>
      <w:r>
        <w:rPr>
          <w:b/>
          <w:color w:val="003366"/>
        </w:rPr>
        <w:t>P: ¿Qué ocurre si el primer administrador se pierde o se bloquea la cuenta?</w:t>
      </w:r>
    </w:p>
    <w:p>
      <w:pPr>
        <w:spacing w:after="200"/>
        <w:ind w:left="283"/>
      </w:pPr>
      <w:r>
        <w:rPr>
          <w:color w:val="333333"/>
        </w:rPr>
        <w:t>R: El primer admin se crea con un script de inicialización en el despliegue. Se recomienda crear de inmediato un segundo administrador; el sistema no permite desactivar al único admin existente.</w:t>
      </w:r>
    </w:p>
    <w:p>
      <w:pPr>
        <w:spacing w:after="40"/>
      </w:pPr>
      <w:r>
        <w:rPr>
          <w:b/>
          <w:color w:val="003366"/>
        </w:rPr>
        <w:t>P: ¿Por qué Flask y no otro framework como Django?</w:t>
      </w:r>
    </w:p>
    <w:p>
      <w:pPr>
        <w:spacing w:after="200"/>
        <w:ind w:left="283"/>
      </w:pPr>
      <w:r>
        <w:rPr>
          <w:color w:val="333333"/>
        </w:rPr>
        <w:t>R: Flask es ligero y flexible: aporta solo lo necesario (rutas, plantillas, sesiones) sin imponer una estructura rígida, lo que se ajusta bien a un proyecto de este tamaño y a la arquitectura MVC elegida. Django, en cambio, viene con muchas piezas incluidas (panel de administración, ORM propio) que aquí no eran necesarias.</w:t>
      </w:r>
    </w:p>
    <w:p>
      <w:pPr>
        <w:spacing w:after="40"/>
      </w:pPr>
      <w:r>
        <w:rPr>
          <w:b/>
          <w:color w:val="003366"/>
        </w:rPr>
        <w:t>P: ¿Qué papel juega Docker en todo esto?</w:t>
      </w:r>
    </w:p>
    <w:p>
      <w:pPr>
        <w:spacing w:after="200"/>
        <w:ind w:left="283"/>
      </w:pPr>
      <w:r>
        <w:rPr>
          <w:color w:val="333333"/>
        </w:rPr>
        <w:t>R: Docker empaqueta la aplicación y MongoDB en contenedores aislados y portables. Con una sola orden (docker compose up) se levanta todo el entorno igual en un portátil de desarrollo que en el servidor de producción, evitando el clásico problema de "en mi máquina funciona".</w:t>
      </w:r>
    </w:p>
    <w:p>
      <w:pPr>
        <w:spacing w:after="40"/>
      </w:pPr>
      <w:r>
        <w:rPr>
          <w:b/>
          <w:color w:val="003366"/>
        </w:rPr>
        <w:t>P: ¿Qué pasa si Internet cae o el servidor falla?</w:t>
      </w:r>
    </w:p>
    <w:p>
      <w:pPr>
        <w:spacing w:after="200"/>
        <w:ind w:left="283"/>
      </w:pPr>
      <w:r>
        <w:rPr>
          <w:color w:val="333333"/>
        </w:rPr>
        <w:t>R: Hoy el alcance es Intranet con una arquitectura sencilla; el plan de contingencia documentado contempla backups periódicos de la base de datos y, en la fase de Internet, alta disponibilidad y un plan de recuperación ante desastres conforme al ENS.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