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Complexity Decision Guide</w:t>
      </w:r>
    </w:p>
    <w:p>
      <w:pPr>
        <w:pStyle w:val="Subtitle"/>
      </w:pPr>
      <w:r>
        <w:t>Practical criteria for engineering and business reviewers</w:t>
      </w:r>
    </w:p>
    <w:p>
      <w:r>
        <w:rPr>
          <w:sz w:val="20"/>
        </w:rPr>
        <w:t>Brij Kishore Pandey  |  October 22, 2026  |  Version 2.0</w:t>
      </w:r>
    </w:p>
    <w:p>
      <w:pPr>
        <w:pStyle w:val="Heading1"/>
      </w:pPr>
      <w:r>
        <w:t>The decision this report supports</w:t>
      </w:r>
    </w:p>
    <w:p>
      <w:r>
        <w:t>Use this guide to decide whether an AI agent requires medium or high complexity review, explain the reason, and identify the evidence needed. The examples cover SQL databases, data APIs, Python and shell execution, and software delivery pipelines. These are proposed internal criteria, subject to adoption by the organization.</w:t>
      </w:r>
    </w:p>
    <w:p>
      <w:r>
        <w:t>Medium complexity means the agent chooses within an enforced operating boundary. High complexity means the agent can materially construct or change how work is performed, what is executed, or the scope of its authority. Tool names, tool counts, and the presence of an LLM do not establish the tier.</w:t>
      </w:r>
    </w:p>
    <w:p>
      <w:pPr>
        <w:pStyle w:val="Heading1"/>
      </w:pPr>
      <w:r>
        <w:t>Make three separate judgments</w:t>
      </w:r>
    </w:p>
    <w:tbl>
      <w:tblPr>
        <w:tblW w:type="auto" w:w="0"/>
        <w:jc w:val="center"/>
        <w:tblLayout w:type="fixed"/>
        <w:tblLook w:firstColumn="1" w:firstRow="1" w:lastColumn="0" w:lastRow="0" w:noHBand="0" w:noVBand="1" w:val="04A0"/>
      </w:tblPr>
      <w:tblGrid>
        <w:gridCol w:w="2232"/>
        <w:gridCol w:w="7848"/>
      </w:tblGrid>
      <w:tr>
        <w:trPr>
          <w:tblHeader/>
          <w:cantSplit/>
        </w:trPr>
        <w:tc>
          <w:tcPr>
            <w:tcW w:type="dxa" w:w="223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24465C"/>
          </w:tcPr>
          <w:p>
            <w:pPr>
              <w:spacing w:after="20" w:line="242" w:lineRule="auto"/>
            </w:pPr>
            <w:r>
              <w:rPr>
                <w:b/>
                <w:color w:val="FFFFFF"/>
                <w:sz w:val="22"/>
              </w:rPr>
              <w:t>Judgment</w:t>
            </w:r>
          </w:p>
        </w:tc>
        <w:tc>
          <w:tcPr>
            <w:tcW w:type="dxa" w:w="784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24465C"/>
          </w:tcPr>
          <w:p>
            <w:pPr>
              <w:spacing w:after="20" w:line="242" w:lineRule="auto"/>
            </w:pPr>
            <w:r>
              <w:rPr>
                <w:b/>
                <w:color w:val="FFFFFF"/>
                <w:sz w:val="22"/>
              </w:rPr>
              <w:t>Question to answer</w:t>
            </w:r>
          </w:p>
        </w:tc>
      </w:tr>
      <w:tr>
        <w:trPr>
          <w:cantSplit/>
        </w:trPr>
        <w:tc>
          <w:tcPr>
            <w:tcW w:type="dxa" w:w="223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2"/>
              </w:rPr>
              <w:t>Agent complexity</w:t>
            </w:r>
          </w:p>
        </w:tc>
        <w:tc>
          <w:tcPr>
            <w:tcW w:type="dxa" w:w="784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2"/>
              </w:rPr>
              <w:t>How much freedom does the agent have to construct actions, execution paths, and recovery?</w:t>
            </w:r>
          </w:p>
        </w:tc>
      </w:tr>
      <w:tr>
        <w:trPr>
          <w:cantSplit/>
        </w:trPr>
        <w:tc>
          <w:tcPr>
            <w:tcW w:type="dxa" w:w="223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sz w:val="22"/>
              </w:rPr>
              <w:t>Business impact</w:t>
            </w:r>
          </w:p>
        </w:tc>
        <w:tc>
          <w:tcPr>
            <w:tcW w:type="dxa" w:w="784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sz w:val="22"/>
              </w:rPr>
              <w:t>What could happen to data, money, customers, or service availability if it is wrong?</w:t>
            </w:r>
          </w:p>
        </w:tc>
      </w:tr>
      <w:tr>
        <w:trPr>
          <w:cantSplit/>
        </w:trPr>
        <w:tc>
          <w:tcPr>
            <w:tcW w:type="dxa" w:w="223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2"/>
              </w:rPr>
              <w:t>Control assurance</w:t>
            </w:r>
          </w:p>
        </w:tc>
        <w:tc>
          <w:tcPr>
            <w:tcW w:type="dxa" w:w="784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2"/>
              </w:rPr>
              <w:t>Do permissions, workflow gates, and tests prove the claimed limits actually hold?</w:t>
            </w:r>
          </w:p>
        </w:tc>
      </w:tr>
    </w:tbl>
    <w:p>
      <w:pPr>
        <w:spacing w:after="0"/>
      </w:pPr>
    </w:p>
    <w:p>
      <w:r>
        <w:t>A fixed deployment pipeline can have medium agent complexity and high business impact. An agent executing arbitrary generated Python can have high complexity even in an isolated test environment. Missing logs weaken assurance; they do not, by themselves, prove high complexity. Risk remains a separate assessment of likelihood and consequences. [1]</w:t>
      </w:r>
    </w:p>
    <w:p>
      <w:pPr>
        <w:pStyle w:val="Heading1"/>
      </w:pPr>
      <w:r>
        <w:t>How to reach a classification</w:t>
      </w:r>
    </w:p>
    <w:p>
      <w:pPr>
        <w:pStyle w:val="ListBullet"/>
        <w:spacing w:after="100"/>
      </w:pPr>
      <w:r>
        <w:t>Assess the complete deployed workflow, including automatic CI runs, API side effects, downstream triggers, and delegated agents.</w:t>
      </w:r>
    </w:p>
    <w:p>
      <w:pPr>
        <w:pStyle w:val="ListBullet"/>
        <w:spacing w:after="100"/>
      </w:pPr>
      <w:r>
        <w:t>Assign HIGH when any material high-complexity condition on page 2 is enabled. A single broad execution capability is not offset by several narrow tools.</w:t>
      </w:r>
    </w:p>
    <w:p>
      <w:pPr>
        <w:pStyle w:val="ListBullet"/>
        <w:spacing w:after="100"/>
      </w:pPr>
      <w:r>
        <w:t>Assign MEDIUM only when every applicable medium boundary is supported by evidence and no high condition is enabled. If necessary evidence is missing, record PROVISIONAL rather than assuming medium.</w:t>
      </w:r>
    </w:p>
    <w:p>
      <w:pPr>
        <w:pStyle w:val="ListBullet"/>
        <w:spacing w:after="100"/>
      </w:pPr>
      <w:r>
        <w:t>Record control failures and release approval separately. A high rating is not a deployment approval; a medium rating is not a safety clearance.</w:t>
      </w:r>
    </w:p>
    <w:p>
      <w:r>
        <w:rPr>
          <w:sz w:val="21"/>
        </w:rPr>
        <w:t>Read “bounded” as restricted by software or permissions, not merely by an instruction. “Semantic routing” means choosing a path based on the meaning of a request. “CI/CD” means the automated process that builds, tests, and releases software. A “state change” means a persistent change to a record, file, configuration, or running service.</w:t>
      </w:r>
    </w:p>
    <w:p>
      <w:r>
        <w:br w:type="page"/>
      </w:r>
    </w:p>
    <w:p>
      <w:pPr>
        <w:pStyle w:val="Heading1"/>
      </w:pPr>
      <w:r>
        <w:t>Two column classification criteria</w:t>
      </w:r>
    </w:p>
    <w:p>
      <w:r>
        <w:t>The high conditions are policy proposals for consistent review. Assess enabled behavior, including powers inherited through service accounts and downstream systems.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24465C"/>
          </w:tcPr>
          <w:p>
            <w:pPr>
              <w:spacing w:after="20" w:line="242" w:lineRule="auto"/>
            </w:pPr>
            <w:r>
              <w:rPr>
                <w:b/>
                <w:color w:val="FFFFFF"/>
                <w:sz w:val="21"/>
              </w:rPr>
              <w:t>Medium complexity</w:t>
            </w:r>
          </w:p>
        </w:tc>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24465C"/>
          </w:tcPr>
          <w:p>
            <w:pPr>
              <w:spacing w:after="20" w:line="242" w:lineRule="auto"/>
            </w:pPr>
            <w:r>
              <w:rPr>
                <w:b/>
                <w:color w:val="FFFFFF"/>
                <w:sz w:val="21"/>
              </w:rPr>
              <w:t>High complexity</w:t>
            </w:r>
          </w:p>
        </w:tc>
      </w:tr>
      <w:tr>
        <w:trPr>
          <w:cantSplit/>
        </w:trPr>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b/>
                <w:sz w:val="21"/>
              </w:rPr>
              <w:t>1  Execution freedom</w:t>
              <w:br/>
            </w:r>
            <w:r>
              <w:rPr>
                <w:sz w:val="21"/>
              </w:rPr>
              <w:t>Calls fixed functions or a restricted query language whose allowed operations are independently enforced. It may choose valid parameters.</w:t>
            </w:r>
          </w:p>
        </w:tc>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b/>
                <w:sz w:val="21"/>
              </w:rPr>
              <w:t>1  Execution freedom</w:t>
              <w:br/>
            </w:r>
            <w:r>
              <w:rPr>
                <w:sz w:val="21"/>
              </w:rPr>
              <w:t>Executes general-purpose generated code, arbitrary shell commands, unrestricted SQL, or dynamically constructed executable instructions.</w:t>
            </w:r>
          </w:p>
        </w:tc>
      </w:tr>
      <w:tr>
        <w:trPr>
          <w:cantSplit/>
        </w:trPr>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b/>
                <w:sz w:val="21"/>
              </w:rPr>
              <w:t>2  Workflow discretion</w:t>
              <w:br/>
            </w:r>
            <w:r>
              <w:rPr>
                <w:sz w:val="21"/>
              </w:rPr>
              <w:t>Chooses among approved routes and bounded loops. Required prerequisites and completion rules are enforced outside the model.</w:t>
            </w:r>
          </w:p>
        </w:tc>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b/>
                <w:sz w:val="21"/>
              </w:rPr>
              <w:t>2  Workflow discretion</w:t>
              <w:br/>
            </w:r>
            <w:r>
              <w:rPr>
                <w:sz w:val="21"/>
              </w:rPr>
              <w:t>Builds new action sequences outside approved routes, invents recovery plans, or determines whether mandatory prerequisites can be waived.</w:t>
            </w:r>
          </w:p>
        </w:tc>
      </w:tr>
      <w:tr>
        <w:trPr>
          <w:cantSplit/>
        </w:trPr>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b/>
                <w:sz w:val="21"/>
              </w:rPr>
              <w:t>3  Scope and authority</w:t>
              <w:br/>
            </w:r>
            <w:r>
              <w:rPr>
                <w:sz w:val="21"/>
              </w:rPr>
              <w:t>Uses approved endpoints, resources, identities, and data scopes. It cannot broaden these boundaries.</w:t>
            </w:r>
          </w:p>
        </w:tc>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b/>
                <w:sz w:val="21"/>
              </w:rPr>
              <w:t>3  Scope and authority</w:t>
              <w:br/>
            </w:r>
            <w:r>
              <w:rPr>
                <w:sz w:val="21"/>
              </w:rPr>
              <w:t>Can select arbitrary targets, add tools, assume broader identities, grant access, or alter the controls that restrict its actions.</w:t>
            </w:r>
          </w:p>
        </w:tc>
      </w:tr>
      <w:tr>
        <w:trPr>
          <w:cantSplit/>
        </w:trPr>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b/>
                <w:sz w:val="21"/>
              </w:rPr>
              <w:t>4  Persistent changes</w:t>
              <w:br/>
            </w:r>
            <w:r>
              <w:rPr>
                <w:sz w:val="21"/>
              </w:rPr>
              <w:t>Uses narrow operations with defined targets, allowed transitions, limits, and downstream effects. Required approvals precede the exact action.</w:t>
            </w:r>
          </w:p>
        </w:tc>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b/>
                <w:sz w:val="21"/>
              </w:rPr>
              <w:t>4  Persistent changes</w:t>
              <w:br/>
            </w:r>
            <w:r>
              <w:rPr>
                <w:sz w:val="21"/>
              </w:rPr>
              <w:t>Decides substantive changes to data, code, configuration, or infrastructure through broad update interfaces, rather than selecting among defined permitted operations.</w:t>
            </w:r>
          </w:p>
        </w:tc>
      </w:tr>
      <w:tr>
        <w:trPr>
          <w:cantSplit/>
        </w:trPr>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b/>
                <w:sz w:val="21"/>
              </w:rPr>
              <w:t>5  Coordination</w:t>
              <w:br/>
            </w:r>
            <w:r>
              <w:rPr>
                <w:sz w:val="21"/>
              </w:rPr>
              <w:t>Coordinates a known set of services or agents with defined contracts, task limits, and permitted handoffs.</w:t>
            </w:r>
          </w:p>
        </w:tc>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b/>
                <w:sz w:val="21"/>
              </w:rPr>
              <w:t>5  Coordination</w:t>
              <w:br/>
            </w:r>
            <w:r>
              <w:rPr>
                <w:sz w:val="21"/>
              </w:rPr>
              <w:t>Creates or delegates open-ended subtasks across agents or systems, with runtime decisions about responsibilities, dependencies, or action chains.</w:t>
            </w:r>
          </w:p>
        </w:tc>
      </w:tr>
      <w:tr>
        <w:trPr>
          <w:cantSplit/>
        </w:trPr>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b/>
                <w:sz w:val="21"/>
              </w:rPr>
              <w:t>6  Failure recovery</w:t>
              <w:br/>
            </w:r>
            <w:r>
              <w:rPr>
                <w:sz w:val="21"/>
              </w:rPr>
              <w:t>Retries within limits, checks whether a write succeeded, uses approved fallbacks, then stops or escalates.</w:t>
            </w:r>
          </w:p>
        </w:tc>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b/>
                <w:sz w:val="21"/>
              </w:rPr>
              <w:t>6  Failure recovery</w:t>
              <w:br/>
            </w:r>
            <w:r>
              <w:rPr>
                <w:sz w:val="21"/>
              </w:rPr>
              <w:t>Improvises fixes or compensating actions, changes execution strategy, or expands scope in response to failure.</w:t>
            </w:r>
          </w:p>
        </w:tc>
      </w:tr>
      <w:tr>
        <w:trPr>
          <w:cantSplit/>
        </w:trPr>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b/>
                <w:sz w:val="21"/>
              </w:rPr>
              <w:t>7  Persistent adaptation</w:t>
              <w:br/>
            </w:r>
            <w:r>
              <w:rPr>
                <w:sz w:val="21"/>
              </w:rPr>
              <w:t>Stores task data or retrieved facts with provenance and isolation; stored content cannot change policy or permissions.</w:t>
            </w:r>
          </w:p>
        </w:tc>
        <w:tc>
          <w:tcPr>
            <w:tcW w:type="dxa" w:w="50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b/>
                <w:sz w:val="21"/>
              </w:rPr>
              <w:t>7  Persistent adaptation</w:t>
              <w:br/>
            </w:r>
            <w:r>
              <w:rPr>
                <w:sz w:val="21"/>
              </w:rPr>
              <w:t>Can modify reusable instructions, executable plans, routing rules, or tools that govern future runs without a separately controlled change process.</w:t>
            </w:r>
          </w:p>
        </w:tc>
      </w:tr>
    </w:tbl>
    <w:p>
      <w:pPr>
        <w:spacing w:after="0"/>
      </w:pPr>
    </w:p>
    <w:p>
      <w:pPr>
        <w:pStyle w:val="Heading2"/>
      </w:pPr>
      <w:r>
        <w:t>What does not decide the tier</w:t>
      </w:r>
    </w:p>
    <w:p>
      <w:r>
        <w:t>A read-only label, SQL or Python as a language, one versus ten tools, a production target, or a human approval button is insufficient on its own. A restricted write can remain medium; an open-ended read workflow can be high. The examples that follow show the deciding boundary.</w:t>
      </w:r>
    </w:p>
    <w:p>
      <w:r>
        <w:br w:type="page"/>
      </w:r>
    </w:p>
    <w:p>
      <w:pPr>
        <w:pStyle w:val="Heading1"/>
      </w:pPr>
      <w:r>
        <w:t>SQL and data API examples</w:t>
      </w:r>
    </w:p>
    <w:p>
      <w:pPr>
        <w:pStyle w:val="Heading2"/>
      </w:pPr>
      <w:r>
        <w:t>Example 1 Answer a revenue question using SQL</w:t>
      </w:r>
    </w:p>
    <w:p>
      <w:r>
        <w:t>Business request: “Show last quarter’s revenue by region.” SQL is the language used to ask the database for records or calculations.</w:t>
      </w:r>
    </w:p>
    <w:p>
      <w:r>
        <w:rPr>
          <w:b/>
        </w:rPr>
        <w:t xml:space="preserve">Medium. </w:t>
      </w:r>
      <w:r>
        <w:t>The agent calls a report function with quarter and region parameters. Alternatively, it generates a query only within approved reporting views and a restricted set of joins, filters, and aggregates. The execution service validates the query structure, enforces user and customer-account access, blocks unapproved functions and statements, and limits execution time and results.</w:t>
      </w:r>
    </w:p>
    <w:p>
      <w:r>
        <w:rPr>
          <w:b/>
        </w:rPr>
        <w:t xml:space="preserve">High. </w:t>
      </w:r>
      <w:r>
        <w:t>The agent explores arbitrary schemas, chooses unrestricted joins or functions, generates and executes SQL outside that restricted language, or writes repair statements when results appear inconsistent. A read-only database role may reduce write exposure but does not make open-ended query construction a bounded reporting function.</w:t>
      </w:r>
    </w:p>
    <w:p>
      <w:r>
        <w:rPr>
          <w:b/>
        </w:rPr>
        <w:t xml:space="preserve">Why the rating changes. </w:t>
      </w:r>
      <w:r>
        <w:t>The boundary is the executable query language and reachable data, not whether the model produces SQL text. Parameterizing values in a fixed query does not validate model-generated table names, joins, or SQL structure. Checking that text begins with SELECT is not a sufficient execution boundary.</w:t>
      </w:r>
    </w:p>
    <w:p>
      <w:r>
        <w:rPr>
          <w:b/>
        </w:rPr>
        <w:t xml:space="preserve">Evidence. </w:t>
      </w:r>
      <w:r>
        <w:t>Inspect permitted views and operations, database role grants, function access, tenant restrictions, query-validation tests, and limits on time and output. PostgreSQL read-only transactions restrict specified commands, but are not a substitute for access and resource controls; statement timeouts address a separate concern. [3, 4]</w:t>
      </w:r>
    </w:p>
    <w:p>
      <w:pPr>
        <w:pStyle w:val="Heading2"/>
      </w:pPr>
      <w:r>
        <w:t>Example 2 Read and update an order through APIs</w:t>
      </w:r>
    </w:p>
    <w:p>
      <w:r>
        <w:t>An API is a defined interface for requesting an operation from another system. Its effective permissions and downstream effects matter more than its HTTP method or tool label.</w:t>
      </w:r>
    </w:p>
    <w:p>
      <w:r>
        <w:rPr>
          <w:b/>
        </w:rPr>
        <w:t xml:space="preserve">Medium. </w:t>
      </w:r>
      <w:r>
        <w:t>The agent can retrieve one authorized order or change its delivery preference through a purpose-built operation. The server fixes the eligible fields, validates allowed status transitions, enforces customer access, and rejects requests outside the policy. Consequential changes require the configured action-specific approval.</w:t>
      </w:r>
    </w:p>
    <w:p>
      <w:r>
        <w:rPr>
          <w:b/>
        </w:rPr>
        <w:t xml:space="preserve">High. </w:t>
      </w:r>
      <w:r>
        <w:t>The agent receives a generic HTTP client with broad credentials, chooses endpoints and request bodies, then coordinates customer-record changes, refunds, and entitlement updates to “resolve the issue.” It determines the repair plan and the scope of the changes.</w:t>
      </w:r>
    </w:p>
    <w:p>
      <w:r>
        <w:rPr>
          <w:b/>
        </w:rPr>
        <w:t xml:space="preserve">Why the rating changes. </w:t>
      </w:r>
      <w:r>
        <w:t>A narrow write may be medium even though it changes state. A generic API tool with nominally few endpoints may be high if the request body can express arbitrary operations. A read request may still expose sensitive data or incur substantial cost; record those impacts separately.</w:t>
      </w:r>
    </w:p>
    <w:p>
      <w:r>
        <w:rPr>
          <w:b/>
        </w:rPr>
        <w:t xml:space="preserve">Evidence. </w:t>
      </w:r>
      <w:r>
        <w:t>Inspect endpoint and field allowlists, identity scopes, authorization checks, payload validation, side effects, and duplicate-request handling. Do not accept a UI screenshot or the tool name as proof of backend limits.</w:t>
      </w:r>
    </w:p>
    <w:p>
      <w:r>
        <w:br w:type="page"/>
      </w:r>
    </w:p>
    <w:p>
      <w:pPr>
        <w:pStyle w:val="Heading1"/>
      </w:pPr>
      <w:r>
        <w:t>Code execution and CI CD examples</w:t>
      </w:r>
    </w:p>
    <w:p>
      <w:pPr>
        <w:pStyle w:val="Heading2"/>
      </w:pPr>
      <w:r>
        <w:t>Example 3 Investigate a failed data transformation</w:t>
      </w:r>
    </w:p>
    <w:p>
      <w:r>
        <w:rPr>
          <w:b/>
        </w:rPr>
        <w:t xml:space="preserve">Medium. </w:t>
      </w:r>
      <w:r>
        <w:t>The agent selects a reviewed diagnostic function, supplies an approved dataset ID, and receives row counts or schema differences. The function can be implemented in Python; the model cannot replace its code, install packages, or execute other commands.</w:t>
      </w:r>
    </w:p>
    <w:p>
      <w:r>
        <w:rPr>
          <w:b/>
        </w:rPr>
        <w:t xml:space="preserve">High. </w:t>
      </w:r>
      <w:r>
        <w:t>The agent writes Python or shell commands, runs them, inspects failures, edits the code, and tries again. It may choose libraries, joins, file operations, or network calls. Under this proposal, general-purpose generated code execution triggers high complexity even in a sandbox.</w:t>
      </w:r>
    </w:p>
    <w:p>
      <w:r>
        <w:rPr>
          <w:b/>
        </w:rPr>
        <w:t xml:space="preserve">Deciding boundary. </w:t>
      </w:r>
      <w:r>
        <w:t>Drafting code for human review is different from executing it. If creating the draft or pull request automatically triggers CI that runs the generated code, that execution is part of the workflow. Isolation limits impact; it does not turn arbitrary code into a fixed function.</w:t>
      </w:r>
    </w:p>
    <w:p>
      <w:r>
        <w:rPr>
          <w:b/>
        </w:rPr>
        <w:t xml:space="preserve">Evidence. </w:t>
      </w:r>
      <w:r>
        <w:t>Inspect the actual executor, command interfaces, available libraries, network and file access, credentials, resource limits, and indirect execution paths. A shell wrapper around a fixed command is narrow only if inputs cannot become arbitrary commands.</w:t>
      </w:r>
    </w:p>
    <w:p>
      <w:pPr>
        <w:pStyle w:val="Heading2"/>
      </w:pPr>
      <w:r>
        <w:t>Example 4 Investigate and release a software build</w:t>
      </w:r>
    </w:p>
    <w:p>
      <w:r>
        <w:t>An artifact is the versioned software package produced by a build. An immutable artifact reference identifies the exact package reviewed for release; it cannot silently point to different code.</w:t>
      </w:r>
    </w:p>
    <w:p>
      <w:r>
        <w:rPr>
          <w:b/>
        </w:rPr>
        <w:t xml:space="preserve">Medium diagnostic agent. </w:t>
      </w:r>
      <w:r>
        <w:t>The agent reads build logs, classifies an error, and chooses an approved response such as rerunning one failed test job. It cannot edit the test definition or pipeline. A retry limit and escalation path are enforced.</w:t>
      </w:r>
    </w:p>
    <w:p>
      <w:r>
        <w:rPr>
          <w:b/>
        </w:rPr>
        <w:t xml:space="preserve">Medium release coordinator. </w:t>
      </w:r>
      <w:r>
        <w:t>The agent requests a fixed release pipeline for an identified artifact and environment. Tests, scans, and the required release approval are enforced by the delivery platform. Approval is tied to the reviewed artifact, target, and configuration. The agent cannot edit gates, change the artifact after approval, or use another deployment path.</w:t>
      </w:r>
    </w:p>
    <w:p>
      <w:r>
        <w:rPr>
          <w:b/>
        </w:rPr>
        <w:t xml:space="preserve">High engineering agent. </w:t>
      </w:r>
      <w:r>
        <w:t>The agent edits code or pipeline definitions, executes new tests or scripts, selects deployment strategy, changes infrastructure, and decides how to recover from failure. A final human approval can reduce unauthorized release exposure but does not remove the complexity of the preceding autonomous work.</w:t>
      </w:r>
    </w:p>
    <w:p>
      <w:r>
        <w:rPr>
          <w:b/>
        </w:rPr>
        <w:t xml:space="preserve">Deciding boundary. </w:t>
      </w:r>
      <w:r>
        <w:t>Production deployment increases business impact; it is not an automatic complexity trigger. Conversely, an isolated coding agent can be high complexity while its permitted impact remains limited.</w:t>
      </w:r>
    </w:p>
    <w:p>
      <w:r>
        <w:rPr>
          <w:b/>
        </w:rPr>
        <w:t xml:space="preserve">Evidence. </w:t>
      </w:r>
      <w:r>
        <w:t>Inspect pipeline definitions, immutable artifact references, effective token permissions, runner isolation, protected environments, and bypass paths. GitHub documents required reviewers and options to prevent self-review and administrator bypass; confirm what is available and enabled for the actual repository. [5]</w:t>
      </w:r>
    </w:p>
    <w:p>
      <w:r>
        <w:br w:type="page"/>
      </w:r>
    </w:p>
    <w:p>
      <w:pPr>
        <w:pStyle w:val="Heading1"/>
      </w:pPr>
      <w:r>
        <w:t>Workflow dependencies and recovery examples</w:t>
      </w:r>
    </w:p>
    <w:p>
      <w:pPr>
        <w:pStyle w:val="Heading2"/>
      </w:pPr>
      <w:r>
        <w:t>Example 5 Route an incident and enforce release gates</w:t>
      </w:r>
    </w:p>
    <w:p>
      <w:r>
        <w:rPr>
          <w:b/>
        </w:rPr>
        <w:t xml:space="preserve">Medium semantic routing. </w:t>
      </w:r>
      <w:r>
        <w:t>The agent interprets an incident and selects one of three approved diagnostic paths: database checks, data-API checks, or build-log checks. It may choose among known checks and repeat them within a budget. It cannot create new repair operations.</w:t>
      </w:r>
    </w:p>
    <w:p>
      <w:r>
        <w:rPr>
          <w:b/>
        </w:rPr>
        <w:t xml:space="preserve">High orchestration. </w:t>
      </w:r>
      <w:r>
        <w:t>The agent decides the incident requires a schema change, service reconfiguration, and deployment; constructs their order; and generates new commands to implement the plan. This is runtime planning across action types, not simply choosing a predefined route.</w:t>
      </w:r>
    </w:p>
    <w:p>
      <w:r>
        <w:rPr>
          <w:b/>
        </w:rPr>
        <w:t xml:space="preserve">Sequence versus dependency. </w:t>
      </w:r>
      <w:r>
        <w:t>Independent test and scan jobs may run in parallel. Deployment must wait until the required results and approvals exist for the same artifact. The failure is deploying without prerequisites, not reading the scan result before the test result.</w:t>
      </w:r>
    </w:p>
    <w:p>
      <w:r>
        <w:rPr>
          <w:b/>
        </w:rPr>
        <w:t xml:space="preserve">Decision rule. </w:t>
      </w:r>
      <w:r>
        <w:t>If the model is authorized to waive a failed check, workflow discretion is high. If a fixed workflow accidentally fails to enforce its gate, record a control defect and resolve it; the defect alone does not establish a different complexity tier. If the agent can edit or bypass that gate, assess the actual expanded authority.</w:t>
      </w:r>
    </w:p>
    <w:p>
      <w:pPr>
        <w:pStyle w:val="Heading2"/>
      </w:pPr>
      <w:r>
        <w:t>Example 6 Recover from an uncertain API write</w:t>
      </w:r>
    </w:p>
    <w:p>
      <w:r>
        <w:rPr>
          <w:b/>
        </w:rPr>
        <w:t xml:space="preserve">Medium recovery. </w:t>
      </w:r>
      <w:r>
        <w:t>An order update times out. The agent checks the request ID to determine whether it succeeded, retries only under the approved duplicate-prevention contract, then escalates if the outcome remains unknown. A duplicate-prevention key lets the service recognize repeated submissions as the same operation.</w:t>
      </w:r>
    </w:p>
    <w:p>
      <w:r>
        <w:rPr>
          <w:b/>
        </w:rPr>
        <w:t xml:space="preserve">High recovery. </w:t>
      </w:r>
      <w:r>
        <w:t>The agent assumes failure, repeats the update through another endpoint, then changes related inventory and billing records to “make them consistent.” It has invented a compensating workflow across systems.</w:t>
      </w:r>
    </w:p>
    <w:p>
      <w:r>
        <w:rPr>
          <w:b/>
        </w:rPr>
        <w:t xml:space="preserve">Evidence. </w:t>
      </w:r>
      <w:r>
        <w:t>A successful retry is not sufficient evidence. Test the case where the first write succeeded but its response was lost. Reversing one database value does not necessarily undo downstream notifications or external actions.</w:t>
      </w:r>
    </w:p>
    <w:p>
      <w:pPr>
        <w:pStyle w:val="Heading2"/>
      </w:pPr>
      <w:r>
        <w:t>Example 7 Delegate work and retain memory</w:t>
      </w:r>
    </w:p>
    <w:p>
      <w:r>
        <w:rPr>
          <w:b/>
        </w:rPr>
        <w:t xml:space="preserve">Medium coordination. </w:t>
      </w:r>
      <w:r>
        <w:t>A coordinator asks fixed specialist agents to summarize logs, query approved reports, and draft a ticket. Each has scoped access; handoffs, limits, and final authority are predefined. Memory stores case facts and sources, not executable policy.</w:t>
      </w:r>
    </w:p>
    <w:p>
      <w:r>
        <w:rPr>
          <w:b/>
        </w:rPr>
        <w:t xml:space="preserve">High coordination or adaptation. </w:t>
      </w:r>
      <w:r>
        <w:t>The coordinator creates new subtasks or agents, dynamically assembles action chains, or promotes past model suggestions into future executable instructions. Its plan and future behavior can evolve beyond the reviewed task contracts.</w:t>
      </w:r>
    </w:p>
    <w:p>
      <w:r>
        <w:rPr>
          <w:b/>
        </w:rPr>
        <w:t xml:space="preserve">Evidence. </w:t>
      </w:r>
      <w:r>
        <w:t>Multiple agents and persistent memory do not automatically imply high complexity. Inspect delegation limits, inherited permissions, provenance of stored content, and who can change reusable instructions. OWASP discusses tool authorization, action integrity, memory, and multi-agent controls. [6]</w:t>
      </w:r>
    </w:p>
    <w:p>
      <w:r>
        <w:br w:type="page"/>
      </w:r>
    </w:p>
    <w:p>
      <w:pPr>
        <w:pStyle w:val="Heading1"/>
      </w:pPr>
      <w:r>
        <w:t>Evidence and decision worksheet</w:t>
      </w:r>
    </w:p>
    <w:p>
      <w:r>
        <w:t>For each row, the developer provides a configuration or test reference. The reviewer records Medium, High, or Unknown against page 2. Run failure tests in an approved test environment. Intended behavior alone is not evidence of enforced limits.</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24465C"/>
          </w:tcPr>
          <w:p>
            <w:pPr>
              <w:spacing w:after="20" w:line="242" w:lineRule="auto"/>
            </w:pPr>
            <w:r>
              <w:rPr>
                <w:b/>
                <w:color w:val="FFFFFF"/>
                <w:sz w:val="21"/>
              </w:rPr>
              <w:t>Reviewer question</w:t>
            </w:r>
          </w:p>
        </w:tc>
        <w:tc>
          <w:tcPr>
            <w:tcW w:type="dxa" w:w="720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24465C"/>
          </w:tcPr>
          <w:p>
            <w:pPr>
              <w:spacing w:after="20" w:line="242" w:lineRule="auto"/>
            </w:pPr>
            <w:r>
              <w:rPr>
                <w:b/>
                <w:color w:val="FFFFFF"/>
                <w:sz w:val="21"/>
              </w:rPr>
              <w:t>Developer evidence and acceptance test</w:t>
            </w:r>
          </w:p>
        </w:tc>
      </w:tr>
      <w:tr>
        <w:trPr>
          <w:cantSplit/>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1"/>
              </w:rPr>
              <w:t>What can the agent execute?</w:t>
            </w:r>
          </w:p>
        </w:tc>
        <w:tc>
          <w:tcPr>
            <w:tcW w:type="dxa" w:w="720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1"/>
              </w:rPr>
              <w:t>Tool contracts, query validator, executor configuration. Submit an unapproved SQL operation or shell command; verify rejection before execution.</w:t>
            </w:r>
          </w:p>
        </w:tc>
      </w:tr>
      <w:tr>
        <w:trPr>
          <w:cantSplit/>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sz w:val="21"/>
              </w:rPr>
              <w:t>What can it access or change?</w:t>
            </w:r>
          </w:p>
        </w:tc>
        <w:tc>
          <w:tcPr>
            <w:tcW w:type="dxa" w:w="720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sz w:val="21"/>
              </w:rPr>
              <w:t>Effective identity, endpoint and resource scopes, field permissions. Attempt an unauthorized tenant, record, repository, or environment; verify denial.</w:t>
            </w:r>
          </w:p>
        </w:tc>
      </w:tr>
      <w:tr>
        <w:trPr>
          <w:cantSplit/>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1"/>
              </w:rPr>
              <w:t>What must happen first?</w:t>
            </w:r>
          </w:p>
        </w:tc>
        <w:tc>
          <w:tcPr>
            <w:tcW w:type="dxa" w:w="720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1"/>
              </w:rPr>
              <w:t>Workflow transition rules. Attempt deployment with a failed scan, missing approval, or approval for a different artifact; verify it is blocked.</w:t>
            </w:r>
          </w:p>
        </w:tc>
      </w:tr>
      <w:tr>
        <w:trPr>
          <w:cantSplit/>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sz w:val="21"/>
              </w:rPr>
              <w:t>Can it broaden its own authority?</w:t>
            </w:r>
          </w:p>
        </w:tc>
        <w:tc>
          <w:tcPr>
            <w:tcW w:type="dxa" w:w="720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sz w:val="21"/>
              </w:rPr>
              <w:t>Tool registration and administrative permissions. Attempt to change gates, assume another role, or add a tool; verify the claimed restrictions hold.</w:t>
            </w:r>
          </w:p>
        </w:tc>
      </w:tr>
      <w:tr>
        <w:trPr>
          <w:cantSplit/>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1"/>
              </w:rPr>
              <w:t>What happens when work partly succeeds?</w:t>
            </w:r>
          </w:p>
        </w:tc>
        <w:tc>
          <w:tcPr>
            <w:tcW w:type="dxa" w:w="720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1"/>
              </w:rPr>
              <w:t>Retry and recovery contracts. Lose the response after a successful write; verify no duplicate change and a recorded uncertain outcome when unresolved.</w:t>
            </w:r>
          </w:p>
        </w:tc>
      </w:tr>
      <w:tr>
        <w:trPr>
          <w:cantSplit/>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sz w:val="21"/>
              </w:rPr>
              <w:t>Can delegation or memory change the rules?</w:t>
            </w:r>
          </w:p>
        </w:tc>
        <w:tc>
          <w:tcPr>
            <w:tcW w:type="dxa" w:w="720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sz w:val="21"/>
              </w:rPr>
              <w:t>Agent contracts, inherited permissions, memory update process. Inject an instruction into a tool result or stored fact; verify it cannot authorize a new action.</w:t>
            </w:r>
          </w:p>
        </w:tc>
      </w:tr>
      <w:tr>
        <w:trPr>
          <w:cantSplit/>
        </w:trPr>
        <w:tc>
          <w:tcPr>
            <w:tcW w:type="dxa" w:w="288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1"/>
              </w:rPr>
              <w:t>Can a reviewer reconstruct what happened?</w:t>
            </w:r>
          </w:p>
        </w:tc>
        <w:tc>
          <w:tcPr>
            <w:tcW w:type="dxa" w:w="720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1"/>
              </w:rPr>
              <w:t>An end-to-end trace linking user request, evidence, tool calls, action parameters, approvals, results, and failures; define retention and accountable owner.</w:t>
            </w:r>
          </w:p>
        </w:tc>
      </w:tr>
    </w:tbl>
    <w:p>
      <w:pPr>
        <w:spacing w:after="0"/>
      </w:pPr>
    </w:p>
    <w:p>
      <w:pPr>
        <w:pStyle w:val="Heading2"/>
      </w:pPr>
      <w:r>
        <w:t>Record three outputs</w:t>
      </w:r>
    </w:p>
    <w:p>
      <w:r>
        <w:rPr>
          <w:b/>
        </w:rPr>
        <w:t xml:space="preserve">Complexity decision. </w:t>
      </w:r>
      <w:r>
        <w:t>List the tier, the specific numbered criteria that apply, the assessed version, and the evidence references. If unknowns prevent a medium finding, leave it provisional. If a high condition is already proven, record high and list remaining unknowns separately.</w:t>
      </w:r>
    </w:p>
    <w:p>
      <w:r>
        <w:rPr>
          <w:b/>
        </w:rPr>
        <w:t xml:space="preserve">Impact assessment. </w:t>
      </w:r>
      <w:r>
        <w:t>Record affected data and users, possible service interruption, financial effects, and reversibility under the organization’s existing risk method. Apply any high-impact review requirements regardless of agent tier.</w:t>
      </w:r>
    </w:p>
    <w:p>
      <w:r>
        <w:rPr>
          <w:b/>
        </w:rPr>
        <w:t xml:space="preserve">Control and release decision. </w:t>
      </w:r>
      <w:r>
        <w:t>Record verified controls, failed or missing evidence, owner, and conditions for approval. A technically simple system with a failed release gate may still be blocked. Logging or human review alone does not justify reclassifying an open-ended executor as medium.</w:t>
      </w:r>
    </w:p>
    <w:p>
      <w:pPr>
        <w:pStyle w:val="Heading2"/>
      </w:pPr>
      <w:r>
        <w:t>When the assessment must be repeated</w:t>
      </w:r>
    </w:p>
    <w:p>
      <w:r>
        <w:t>Reassess when tools, permissions, accessible datasets, executable languages, workflow transitions, delegation, memory behavior, or deployment targets change. Also reassess material model or prompt changes that alter tested behavior. Classify the deployed version rather than relying on a previous demo.</w:t>
      </w:r>
    </w:p>
    <w:p>
      <w:r>
        <w:br w:type="page"/>
      </w:r>
    </w:p>
    <w:p>
      <w:pPr>
        <w:pStyle w:val="Heading1"/>
      </w:pPr>
      <w:r>
        <w:t>Worked decisions and reference basis</w:t>
      </w:r>
    </w:p>
    <w:p>
      <w:pPr>
        <w:pStyle w:val="Heading2"/>
      </w:pPr>
      <w:r>
        <w:t>Completed assessment examples</w:t>
      </w:r>
    </w:p>
    <w:tbl>
      <w:tblPr>
        <w:tblW w:type="auto" w:w="0"/>
        <w:jc w:val="center"/>
        <w:tblLayout w:type="fixed"/>
        <w:tblLook w:firstColumn="1" w:firstRow="1" w:lastColumn="0" w:lastRow="0" w:noHBand="0" w:noVBand="1" w:val="04A0"/>
      </w:tblPr>
      <w:tblGrid>
        <w:gridCol w:w="1944"/>
        <w:gridCol w:w="3888"/>
        <w:gridCol w:w="4248"/>
      </w:tblGrid>
      <w:tr>
        <w:trPr>
          <w:tblHeader/>
          <w:cantSplit/>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24465C"/>
          </w:tcPr>
          <w:p>
            <w:pPr>
              <w:spacing w:after="20" w:line="242" w:lineRule="auto"/>
            </w:pPr>
            <w:r>
              <w:rPr>
                <w:b/>
                <w:color w:val="FFFFFF"/>
                <w:sz w:val="21"/>
              </w:rPr>
              <w:t>System</w:t>
            </w:r>
          </w:p>
        </w:tc>
        <w:tc>
          <w:tcPr>
            <w:tcW w:type="dxa" w:w="388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24465C"/>
          </w:tcPr>
          <w:p>
            <w:pPr>
              <w:spacing w:after="20" w:line="242" w:lineRule="auto"/>
            </w:pPr>
            <w:r>
              <w:rPr>
                <w:b/>
                <w:color w:val="FFFFFF"/>
                <w:sz w:val="21"/>
              </w:rPr>
              <w:t>Complexity decision</w:t>
            </w:r>
          </w:p>
        </w:tc>
        <w:tc>
          <w:tcPr>
            <w:tcW w:type="dxa" w:w="424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24465C"/>
          </w:tcPr>
          <w:p>
            <w:pPr>
              <w:spacing w:after="20" w:line="242" w:lineRule="auto"/>
            </w:pPr>
            <w:r>
              <w:rPr>
                <w:b/>
                <w:color w:val="FFFFFF"/>
                <w:sz w:val="21"/>
              </w:rPr>
              <w:t>Separate impact and assurance finding</w:t>
            </w:r>
          </w:p>
        </w:tc>
      </w:tr>
      <w:tr>
        <w:trPr>
          <w:cantSplit/>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1"/>
              </w:rPr>
              <w:t>Sales reporting agent</w:t>
            </w:r>
          </w:p>
        </w:tc>
        <w:tc>
          <w:tcPr>
            <w:tcW w:type="dxa" w:w="388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1"/>
              </w:rPr>
              <w:t>Medium, if all boundaries are evidenced. Criteria 1–3 remain bounded by reporting views and restricted query operations.</w:t>
            </w:r>
          </w:p>
        </w:tc>
        <w:tc>
          <w:tcPr>
            <w:tcW w:type="dxa" w:w="424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1"/>
              </w:rPr>
              <w:t>Sensitive commercial data may require elevated access controls. Reject the medium finding if query restrictions are only prompt instructions.</w:t>
            </w:r>
          </w:p>
        </w:tc>
      </w:tr>
      <w:tr>
        <w:trPr>
          <w:cantSplit/>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sz w:val="21"/>
              </w:rPr>
              <w:t>Production release coordinator</w:t>
            </w:r>
          </w:p>
        </w:tc>
        <w:tc>
          <w:tcPr>
            <w:tcW w:type="dxa" w:w="388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sz w:val="21"/>
              </w:rPr>
              <w:t>Medium, assuming a fixed pipeline, immutable artifact, fixed target, and enforced gates. No high condition is enabled.</w:t>
            </w:r>
          </w:p>
        </w:tc>
        <w:tc>
          <w:tcPr>
            <w:tcW w:type="dxa" w:w="424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sz w:val="21"/>
              </w:rPr>
              <w:t>High potential service impact. A missing or bypassable approval blocks release under the applicable process even if orchestration stays simple.</w:t>
            </w:r>
          </w:p>
        </w:tc>
      </w:tr>
      <w:tr>
        <w:trPr>
          <w:cantSplit/>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1"/>
              </w:rPr>
              <w:t>Sandbox coding agent</w:t>
            </w:r>
          </w:p>
        </w:tc>
        <w:tc>
          <w:tcPr>
            <w:tcW w:type="dxa" w:w="388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1"/>
              </w:rPr>
              <w:t>High under criterion 1: it writes and executes general-purpose code. Final human review does not remove that capability.</w:t>
            </w:r>
          </w:p>
        </w:tc>
        <w:tc>
          <w:tcPr>
            <w:tcW w:type="dxa" w:w="424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0F4F7"/>
          </w:tcPr>
          <w:p>
            <w:pPr>
              <w:spacing w:after="20" w:line="242" w:lineRule="auto"/>
            </w:pPr>
            <w:r>
              <w:rPr>
                <w:sz w:val="21"/>
              </w:rPr>
              <w:t>Impact may be limited by synthetic data, no credentials, isolation, and bounded resources. Those limits require evidence.</w:t>
            </w:r>
          </w:p>
        </w:tc>
      </w:tr>
      <w:tr>
        <w:trPr>
          <w:cantSplit/>
        </w:trPr>
        <w:tc>
          <w:tcPr>
            <w:tcW w:type="dxa" w:w="194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sz w:val="21"/>
              </w:rPr>
              <w:t>Incident repair agent</w:t>
            </w:r>
          </w:p>
        </w:tc>
        <w:tc>
          <w:tcPr>
            <w:tcW w:type="dxa" w:w="388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sz w:val="21"/>
              </w:rPr>
              <w:t>High under criteria 1, 2, 4, and 6 if it generates fixes, changes services, and invents recovery across systems.</w:t>
            </w:r>
          </w:p>
        </w:tc>
        <w:tc>
          <w:tcPr>
            <w:tcW w:type="dxa" w:w="424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42" w:lineRule="auto"/>
            </w:pPr>
            <w:r>
              <w:rPr>
                <w:sz w:val="21"/>
              </w:rPr>
              <w:t>Production access adds substantial impact. Require an explicit operating scope, recovery controls, and accountable approval before release.</w:t>
            </w:r>
          </w:p>
        </w:tc>
      </w:tr>
    </w:tbl>
    <w:p>
      <w:pPr>
        <w:spacing w:after="0"/>
      </w:pPr>
    </w:p>
    <w:p>
      <w:pPr>
        <w:pStyle w:val="Heading2"/>
      </w:pPr>
      <w:r>
        <w:t>Decision wording reviewers can reuse</w:t>
      </w:r>
    </w:p>
    <w:p>
      <w:r>
        <w:t>“For version [X], classify the agent as [Medium / High / Provisional] because [enabled behavior] meets criterion [number]. The boundary is evidenced by [configuration and test references]. Business impact is [assessment]. Control gaps are [items and owners]. The release decision is [decision and conditions]. Reassess if [capabilities or scope] change.”</w:t>
      </w:r>
    </w:p>
    <w:p>
      <w:pPr>
        <w:pStyle w:val="Heading2"/>
      </w:pPr>
      <w:r>
        <w:t>Sources and scope of the proposal</w:t>
      </w:r>
    </w:p>
    <w:p>
      <w:r>
        <w:t>The sources support the risk and control principles below. They do not prescribe this report’s medium and high categories, thresholds, or example ratings. All ratings here are proposed applications of the stated decision rule.</w:t>
      </w:r>
    </w:p>
    <w:p>
      <w:pPr>
        <w:spacing w:after="80"/>
      </w:pPr>
      <w:hyperlink r:id="rId10">
        <w:r>
          <w:rPr>
            <w:color w:val="174A70"/>
            <w:u w:val="single"/>
          </w:rPr>
          <w:t>[1] NIST AI RMF 1.0</w:t>
        </w:r>
      </w:hyperlink>
      <w:r>
        <w:rPr>
          <w:sz w:val="20"/>
        </w:rPr>
        <w:t xml:space="preserve"> Risk, context, and assessment principles.</w:t>
      </w:r>
    </w:p>
    <w:p>
      <w:pPr>
        <w:spacing w:after="80"/>
      </w:pPr>
      <w:hyperlink r:id="rId11">
        <w:r>
          <w:rPr>
            <w:color w:val="174A70"/>
            <w:u w:val="single"/>
          </w:rPr>
          <w:t>[2] OWASP Excessive Agency</w:t>
        </w:r>
      </w:hyperlink>
      <w:r>
        <w:rPr>
          <w:sz w:val="20"/>
        </w:rPr>
        <w:t xml:space="preserve"> Functionality, permission, and autonomy boundaries. Supports the narrow-tool principle used in the matrix.</w:t>
      </w:r>
    </w:p>
    <w:p>
      <w:pPr>
        <w:spacing w:after="80"/>
      </w:pPr>
      <w:hyperlink r:id="rId12">
        <w:r>
          <w:rPr>
            <w:color w:val="174A70"/>
            <w:u w:val="single"/>
          </w:rPr>
          <w:t>[3] PostgreSQL SET TRANSACTION</w:t>
        </w:r>
      </w:hyperlink>
      <w:r>
        <w:rPr>
          <w:sz w:val="20"/>
        </w:rPr>
        <w:t xml:space="preserve"> Read-only transaction semantics and limitations.</w:t>
      </w:r>
    </w:p>
    <w:p>
      <w:pPr>
        <w:spacing w:after="80"/>
      </w:pPr>
      <w:hyperlink r:id="rId13">
        <w:r>
          <w:rPr>
            <w:color w:val="174A70"/>
            <w:u w:val="single"/>
          </w:rPr>
          <w:t>[4] PostgreSQL Client Connection Defaults</w:t>
        </w:r>
      </w:hyperlink>
      <w:r>
        <w:rPr>
          <w:sz w:val="20"/>
        </w:rPr>
        <w:t xml:space="preserve"> Statement behavior and execution timeout settings.</w:t>
      </w:r>
    </w:p>
    <w:p>
      <w:pPr>
        <w:spacing w:after="80"/>
      </w:pPr>
      <w:hyperlink r:id="rId14">
        <w:r>
          <w:rPr>
            <w:color w:val="174A70"/>
            <w:u w:val="single"/>
          </w:rPr>
          <w:t>[5] GitHub Deployments and environments</w:t>
        </w:r>
      </w:hyperlink>
      <w:r>
        <w:rPr>
          <w:sz w:val="20"/>
        </w:rPr>
        <w:t xml:space="preserve"> Required reviewers, environment protection, and bypass configuration.</w:t>
      </w:r>
    </w:p>
    <w:p>
      <w:pPr>
        <w:spacing w:after="80"/>
      </w:pPr>
      <w:hyperlink r:id="rId15">
        <w:r>
          <w:rPr>
            <w:color w:val="174A70"/>
            <w:u w:val="single"/>
          </w:rPr>
          <w:t>[6] OWASP AI Agent Security Cheat Sheet</w:t>
        </w:r>
      </w:hyperlink>
      <w:r>
        <w:rPr>
          <w:sz w:val="20"/>
        </w:rPr>
        <w:t xml:space="preserve"> Tool authorization, action integrity, memory, and delegation controls.</w:t>
      </w:r>
    </w:p>
    <w:sectPr w:rsidR="00FC693F" w:rsidRPr="0006063C" w:rsidSect="00034616">
      <w:footerReference w:type="default" r:id="rId9"/>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Agent complexity criteria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vlpubs.nist.gov/nistpubs/ai/nist.ai.100-1.pdf" TargetMode="External"/><Relationship Id="rId11" Type="http://schemas.openxmlformats.org/officeDocument/2006/relationships/hyperlink" Target="https://genai.owasp.org/llmrisk/llm062025-excessive-agency/" TargetMode="External"/><Relationship Id="rId12" Type="http://schemas.openxmlformats.org/officeDocument/2006/relationships/hyperlink" Target="https://www.postgresql.org/docs/18/sql-set-transaction.html" TargetMode="External"/><Relationship Id="rId13" Type="http://schemas.openxmlformats.org/officeDocument/2006/relationships/hyperlink" Target="https://www.postgresql.org/docs/18/runtime-config-client.html" TargetMode="External"/><Relationship Id="rId14" Type="http://schemas.openxmlformats.org/officeDocument/2006/relationships/hyperlink" Target="https://docs.github.com/en/actions/reference/workflows-and-actions/deployments-and-environments" TargetMode="External"/><Relationship Id="rId15" Type="http://schemas.openxmlformats.org/officeDocument/2006/relationships/hyperlink" Target="https://cheatsheetseries.owasp.org/cheatsheets/AI_Agent_Security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Complexity Decision Guide</dc:title>
  <dc:subject>Medium and high complexity criteria for engineering and business reviewers</dc:subject>
  <dc:creator>Brij Kishore Pandey</dc:creator>
  <cp:keywords>AI agents, SQL, APIs, CI/CD, governance, decision criteria</cp:keywords>
  <dc:description>generated by python-docx</dc:description>
  <cp:lastModifiedBy/>
  <cp:revision>1</cp:revision>
  <dcterms:created xsi:type="dcterms:W3CDTF">2013-12-23T23:15:00Z</dcterms:created>
  <dcterms:modified xsi:type="dcterms:W3CDTF">2013-12-23T23:15:00Z</dcterms:modified>
  <cp:category/>
</cp:coreProperties>
</file>