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80"/>
      </w:pPr>
      <w:r>
        <w:rPr>
          <w:rFonts w:ascii="Microsoft YaHei" w:hAnsi="Microsoft YaHei" w:eastAsia="Microsoft YaHei"/>
          <w:b/>
          <w:color w:val="162033"/>
          <w:sz w:val="50"/>
        </w:rPr>
        <w:t>市场线索到 MQL / SQL</w:t>
      </w:r>
    </w:p>
    <w:p>
      <w:pPr>
        <w:spacing w:after="360"/>
      </w:pPr>
      <w:r>
        <w:rPr>
          <w:rFonts w:ascii="Microsoft YaHei" w:hAnsi="Microsoft YaHei" w:eastAsia="Microsoft YaHei"/>
          <w:b w:val="0"/>
          <w:color w:val="315EFB"/>
          <w:sz w:val="30"/>
        </w:rPr>
        <w:t>业务设计与 MVP 边界说明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62033"/>
          <w:sz w:val="20"/>
        </w:rPr>
        <w:t>目标：用一个可运行、可解释的小闭环，验证线索从市场进入、外呼清洗、加微承接、销售跟进到 MQL/SQL 的流转。MVP 优先保证规则一致、过程留痕和可演示性，不用复杂 UI 掩盖业务缺口。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1. 业务范围与关键假设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线索（Lead）是一次可运营的来源记录；客户（Customer）是完成身份归并后的主体。MVP 暂以手机号唯一近似去重，但不声称它等于真实客户唯一标识。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MQL 是营销侧认可、值得持续培育的有效线索；SQL 是销售确认存在明确需求/场景并愿意推进的商机。SQL 不是“更高等级标签”，必须从 MQL 转化。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负责人代表当前承接责任，不代表数据所有权。Demo 提供轻量角色模拟并在服务端校验销售/主管边界；生产系统仍需接入真实登录、团队数据范围和审批流。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48 小时未跟进按“最近跟进时间；若无则按创建时间”计算，SQL 与无效线索不再进入提醒。这个口径用于行动提醒，不等同于销售 SLA 的最终定义。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全部号码与记录均为模拟数据；不接入真实投放、外呼或企微账号。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2. 主流程与责任边界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1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阶段</w:t>
            </w:r>
          </w:p>
        </w:tc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业务动作</w:t>
            </w:r>
          </w:p>
        </w:tc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进入/退出条件</w:t>
            </w:r>
          </w:p>
        </w:tc>
        <w:tc>
          <w:tcPr>
            <w:tcW w:type="dxa" w:w="27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异常与责任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线索进入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投放/表单/CSV 创建线索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来源、渠道、手机号完整；手机号幂等去重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脏数据逐行报错；不覆盖原归因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外呼清洗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外呼工具回传接通结果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待外呼 → 接通/未接通；接通后判有效性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回调签名、事件幂等、失败重试属集成层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加微承接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有效线索发起加微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有效 → 待加微 → 已加微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加微失败不等于线索无效；应单独记录原因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私域跟进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销售记录沟通与下一步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已分配负责人；跟进记录只追加不覆盖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超时提醒是运营信号，不自动改业务状态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MQL / SQL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按准入条件完成转化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MQL 至少有负责人和跟进，并展示评分解释；SQL 需商机说明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无效需原因；跨级状态被服务端拒绝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3. 领域模型与字段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62033"/>
          <w:sz w:val="20"/>
        </w:rPr>
        <w:t>建模原则：把“当前状态”与“发生过什么”分开。leads 保存当前快照用于列表查询；status_history 和 follow_ups 保存不可覆盖的业务事实，避免一个 updated_at 同时代表外呼、跟进和转化。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对象</w:t>
            </w:r>
          </w:p>
        </w:tc>
        <w:tc>
          <w:tcPr>
            <w:tcW w:type="dxa" w:w="38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核心字段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设计理由 / 边界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Lead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phone、source、channel、status、owner_id、created_at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当前快照；手机号唯一仅是 MVP 假设；评分由状态、跟进、渠道等实时计算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StatusHistory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from_status、to_status、changed_at、note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状态变化独立留痕；用于解释阶段路径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FollowUp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operator_id、content、next_action_at、created_at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记录沟通事实及下一行动；不可覆盖历史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User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name、role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演示负责人；生产由组织与权限中心提供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CallbackEvent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event_id、event_type、payload、received_at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三方事件去重与问题追查；原始载荷需脱敏/限期保存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AuditLog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lead_id、actor_id、action、detail、created_at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关键写操作留痕；不是用前端按钮隐藏来代替权限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4. 状态机与准入规则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62033"/>
          <w:sz w:val="20"/>
        </w:rPr>
        <w:t>主路径：新线索 → 待外呼 → 已接通 → 有效 → 待加微 → 已加微 → MQL → SQL。未接通可以回到待外呼；任一非终态可按规则进入无效。无效重新打开属于纠错操作，Demo 强制备注，生产必须再校验主管权限。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4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规则</w:t>
            </w:r>
          </w:p>
        </w:tc>
        <w:tc>
          <w:tcPr>
            <w:tcW w:type="dxa" w:w="381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服务端校验</w:t>
            </w:r>
          </w:p>
        </w:tc>
        <w:tc>
          <w:tcPr>
            <w:tcW w:type="dxa" w:w="410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为什么不能只由前端控制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无效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invalid_reason 必填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其他入口/API 仍可绕过前端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MQL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已分配负责人 + 至少一条跟进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防止营销标签空转、责任不清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SQL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当前为 MQL + 明确商机说明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防止漏斗跨级、转化率失真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回退/重开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仅开放少量纠错路径并写备注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状态回退影响业绩、SLA 与审计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62033"/>
          <w:sz w:val="20"/>
        </w:rPr>
        <w:t>评分解释：MVP 额外计算 0–100 分的线索评分，拆为联系方式有效性、责任归属、跟进事实、渠道意向、私域承接和跟进时效。评分用于解释“为什么建议/不建议转 MQL”，不替代硬性状态机；这样既能体现业务判断，又避免模型或前端随意改漏斗口径。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5. MVP 页面与操作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线索列表：按状态、来源、负责人筛选；同时呈现当前负责人、最近跟进和超时标记。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线索详情：负责人分配、跟进追加、线索评分、MQL 阻塞项、下一合法状态、无效/商机原因、状态历史和审计记录。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漏斗看板：总线索、有效率、MQL/SQL 转化率、超 48 小时未跟进数。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新增/导入：单条新增和 CSV 导入均可页面演示；单次限 500 条并返回重复数与逐行错误。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权限演示：页面顶部可切换当前操作人；销售只能操作自己负责的线索，主管可转移负责人和复核无效线索。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线索分析 Agent：通过 OpenAI-compatible API 让 LLM 选择“渠道转化率、超时线索、漏斗快照”三个受控工具；页面展示工具、参数、服务端校验和结果回填链路。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6. 三方系统对接设想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51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系统</w:t>
            </w:r>
          </w:p>
        </w:tc>
        <w:tc>
          <w:tcPr>
            <w:tcW w:type="dxa" w:w="237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需要的接口 / 事件</w:t>
            </w:r>
          </w:p>
        </w:tc>
        <w:tc>
          <w:tcPr>
            <w:tcW w:type="dxa" w:w="32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关键字段</w:t>
            </w:r>
          </w:p>
        </w:tc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边界控制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投放平台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线索拉取或 webhook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external_lead_id、source、campaign、phone、occurred_at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渠道原始 ID 幂等；归因变更需版本化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外呼系统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下发呼叫任务；结果回调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event_id、lead_id、call_id、result、duration、occurred_at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签名验真、乱序处理、重试/死信；回调不直接越级到 SQL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SCRM / 企微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客户匹配；加微状态回调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external_contact_id、lead_id、add_status、sales_user_id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加微失败与线索无效分离；员工离职需转接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数据平台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指标明细/维表同步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状态事件、渠道、负责人、阶段时间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离线分析不反写交易状态；个人字段脱敏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62033"/>
          <w:sz w:val="20"/>
        </w:rPr>
        <w:t>回调处理建议：网关验签 → 以 event_id 去重 → 原始事件落库 → 字段映射与业务校验 → 状态机执行 → 失败进入可重试队列。第三方“至少一次投递”是常态，幂等键不能只用手机号；同一手机号可能有多次合法业务事件。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7. 指标定义与口径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指标</w:t>
            </w:r>
          </w:p>
        </w:tc>
        <w:tc>
          <w:tcPr>
            <w:tcW w:type="dxa" w:w="29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Demo 口径</w:t>
            </w:r>
          </w:p>
        </w:tc>
        <w:tc>
          <w:tcPr>
            <w:tcW w:type="dxa" w:w="45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生产口径注意事项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线索有效率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有效及后续阶段数 / 总线索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按线索进入周期做 cohort；剔除测试与重复线索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加微率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已加微及后续 / 有效及后续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需约定加微失败、员工变更与跨账号归并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MQL 转化率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MQL+SQL / 有效及后续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按首次达到时间统计，避免重复进入造成重复计数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SQL 转化率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SQL / MQL+SQL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需冻结 SQL 定义；回退/作废应保留原事件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平均响应时长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MVP 暂未展示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首次有效人工跟进 - 线索进入；区分工作时间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超时未跟进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非 SQL/无效且 48h 未跟进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运营提醒口径与绩效/SLA 口径分离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Microsoft YaHei" w:hAnsi="Microsoft YaHei" w:eastAsia="Microsoft YaHei"/>
          <w:b/>
          <w:color w:val="162033"/>
          <w:sz w:val="20"/>
        </w:rPr>
        <w:t>当前漏斗是存量快照</w:t>
      </w:r>
      <w:r>
        <w:rPr>
          <w:rFonts w:ascii="Microsoft YaHei" w:hAnsi="Microsoft YaHei" w:eastAsia="Microsoft YaHei"/>
          <w:b w:val="0"/>
          <w:color w:val="162033"/>
          <w:sz w:val="20"/>
        </w:rPr>
        <w:t>，只适合 Demo 验证。正式经营分析应基于状态事件和 cohort 计算，否则月末新增线索尚未成熟，会拉低当期转化率；跨月转化又会污染分子。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62033"/>
          <w:sz w:val="20"/>
        </w:rPr>
        <w:t>自然语言查询采用 LLM → Tool Calling → 参数校验 → 预定义参数化查询 → 工具结果回填 → 最终回答的 Agent 循环。模型没有表名、字段名或 SQL 字符串参数，无法执行任意 SQL；API Key 仅从环境变量读取。若无密钥或模型网络失败，系统回退到确定性规则并在页面标注真实执行模式。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8. 权限、隐私与审计边界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销售：Demo 中只能操作自己负责的线索；生产中还应限制列表查询范围、批量导出和跨团队数据。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主管：可查看团队、分配/回收负责人、复核无效重开；关键操作必须记录操作人、前后值和原因。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系统集成账号：只允许指定来源、事件类型和字段；不获得页面登录能力。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手机号在页面与日志中应脱敏，导出需授权并留痕；原始回调 payload 设置保留期限，避免把审计等同于无限期保存个人数据。</w:t>
      </w:r>
    </w:p>
    <w:p>
      <w:pPr>
        <w:pStyle w:val="ListBullet"/>
        <w:spacing w:after="60"/>
        <w:ind w:left="403" w:hanging="259"/>
      </w:pPr>
      <w:r>
        <w:rPr>
          <w:rFonts w:ascii="Microsoft YaHei" w:hAnsi="Microsoft YaHei" w:eastAsia="Microsoft YaHei"/>
          <w:b w:val="0"/>
          <w:color w:val="162033"/>
          <w:sz w:val="19"/>
        </w:rPr>
        <w:t>前端隐藏按钮不是权限控制。真实系统必须在每个查询与写接口中基于当前用户做数据范围校验。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9. 异常场景与处理取舍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场景</w:t>
            </w:r>
          </w:p>
        </w:tc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MVP</w:t>
            </w:r>
          </w:p>
        </w:tc>
        <w:tc>
          <w:tcPr>
            <w:tcW w:type="dxa" w:w="453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生产化方案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重复线索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手机号唯一，返回原记录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手机号+业务线+归因窗口；客户主体与线索记录分层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回调重复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event_id 唯一，重复返回成功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幂等表+业务版本；保证副作用只执行一次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回调乱序/失败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未完整实现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occurred_at 与版本号判新旧；重试队列、死信与人工补偿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并发状态变更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SQLite 单机事务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乐观锁/version；冲突返回最新状态，不静默覆盖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批量导入脏数据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单次 500 条，逐行错误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异步任务、错误文件、配额与撤销/补偿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口径变化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代码内固定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规则配置版本化；历史按当时规则回放或冻结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10. 现场追问准备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追问</w:t>
            </w:r>
          </w:p>
        </w:tc>
        <w:tc>
          <w:tcPr>
            <w:tcW w:type="dxa" w:w="6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回答边界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100 条无效线索如何定位？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先按来源/渠道/落地页版本和无效原因聚合，再叠加投放成本；不能只看线索量。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同手机号多渠道重复进线？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Demo 保留首次归因；生产拆客户主体和线索记录，按归因窗口与业务线确定首触/末触规则。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Agent 为什么不用任意 Text-to-SQL？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指标口径必须稳定；Agent 只选受控工具，服务端执行参数化查询并展示数据边界。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MVP 如何扩展？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先补身份权限和可靠回调，再补 cohort 漏斗、阶段耗时、渠道成本和归因模型。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315EFB"/>
          <w:sz w:val="30"/>
        </w:rPr>
        <w:t>11. MVP 取舍与迭代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62033"/>
          <w:sz w:val="20"/>
        </w:rPr>
        <w:t>本次选择 Python 标准库 + SQLite + 原生页面，避免依赖安装阻塞演示，把有限时间用在状态机、评分解释、权限边界、幂等、历史留痕和指标口径上。未实现真实登录、复杂 RBAC、真实三方连接和异步任务，均已明确为生产化边界，而非默认“前端可信”。</w:t>
      </w:r>
    </w:p>
    <w:p>
      <w:pPr>
        <w:spacing w:after="100" w:line="269" w:lineRule="auto"/>
      </w:pPr>
      <w:r>
        <w:rPr>
          <w:rFonts w:ascii="Microsoft YaHei" w:hAnsi="Microsoft YaHei" w:eastAsia="Microsoft YaHei"/>
          <w:b w:val="0"/>
          <w:color w:val="162033"/>
          <w:sz w:val="20"/>
        </w:rPr>
        <w:t>验证证据：自动化测试覆盖手机号去重、非法跨级、无效原因必填、销售越权拒绝、线索评分解释、外呼回调幂等、LLM 选择受控工具并完成结果回填、无密钥规则回退，以及新线索→待外呼→回调接通→有效→跟进→MQL→SQL 的完整业务链路。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15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优先级</w:t>
            </w:r>
          </w:p>
        </w:tc>
        <w:tc>
          <w:tcPr>
            <w:tcW w:type="dxa" w:w="50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下一步</w:t>
            </w:r>
          </w:p>
        </w:tc>
        <w:tc>
          <w:tcPr>
            <w:tcW w:type="dxa" w:w="31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2033"/>
                <w:sz w:val="18"/>
              </w:rPr>
              <w:t>验收信号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P0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真实登录、团队数据范围、审批流、手机号脱敏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越权测试通过；导出可审批；敏感字段按角色展示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P0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回调验签、重试、死信、乱序与并发控制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重复/乱序/失败注入不造成状态错乱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P1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cohort 漏斗、阶段耗时、渠道成本与归因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62033"/>
                <w:sz w:val="17"/>
              </w:rPr>
              <w:t>指标可按统一口径复算并解释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085"/>
        <w:sz w:val="16"/>
      </w:rPr>
      <w:t>市场线索到 MQL / SQL 的简化系统 · 仅使用模拟数据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667085"/>
        <w:sz w:val="17"/>
      </w:rPr>
      <w:t>CANDIDATE ASSIGNMENT · BUSINESS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15EF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0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市场线索到 MQL/SQL：业务设计与 MVP 边界说明</dc:title>
  <dc:subject>AI Coding / FDE 候选人作业</dc:subject>
  <dc:creator>候选人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