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80"/>
      </w:pPr>
      <w:r>
        <w:rPr>
          <w:rFonts w:ascii="Microsoft YaHei" w:hAnsi="Microsoft YaHei" w:eastAsia="Microsoft YaHei"/>
          <w:b/>
          <w:color w:val="162033"/>
          <w:sz w:val="50"/>
        </w:rPr>
        <w:t>市场线索到 MQL / SQL</w:t>
      </w:r>
    </w:p>
    <w:p>
      <w:pPr>
        <w:spacing w:after="360"/>
      </w:pPr>
      <w:r>
        <w:rPr>
          <w:rFonts w:ascii="Microsoft YaHei" w:hAnsi="Microsoft YaHei" w:eastAsia="Microsoft YaHei"/>
          <w:b w:val="0"/>
          <w:color w:val="315EFB"/>
          <w:sz w:val="30"/>
        </w:rPr>
        <w:t>业务设计与 MVP 边界说明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目标：用一个可运行、可解释的小闭环，验证线索从市场进入、外呼清洗、加微承接、销售跟进到 MQL/SQL 的流转。MVP 优先保证规则一致、过程留痕和可演示性，不用复杂 UI 掩盖业务缺口。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1. 业务范围与关键假设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线索（Lead）是一次可运营的来源记录；客户（Customer）是完成身份归并后的主体。MVP 暂以手机号唯一近似去重，但不声称它等于真实客户唯一标识。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MQL 是营销侧认可、值得持续培育的有效线索；SQL 是销售确认存在明确需求/场景并愿意推进的商机。SQL 不是“更高等级标签”，必须从 MQL 转化。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负责人代表当前承接责任，不代表数据所有权。完整生产系统中，销售只看本人/团队数据，主管可看全量；Demo 不实现登录，但所有限制必须落在服务端。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48 小时未跟进按“最近跟进时间；若无则按创建时间”计算，SQL 与无效线索不再进入提醒。这个口径用于行动提醒，不等同于销售 SLA 的最终定义。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全部号码与记录均为模拟数据；不接入真实投放、外呼或企微账号。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2. 主流程与责任边界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阶段</w:t>
            </w:r>
          </w:p>
        </w:tc>
        <w:tc>
          <w:tcPr>
            <w:tcW w:type="dxa" w:w="223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业务动作</w:t>
            </w:r>
          </w:p>
        </w:tc>
        <w:tc>
          <w:tcPr>
            <w:tcW w:type="dxa" w:w="32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进入/退出条件</w:t>
            </w:r>
          </w:p>
        </w:tc>
        <w:tc>
          <w:tcPr>
            <w:tcW w:type="dxa" w:w="27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异常与责任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线索进入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投放/表单/CSV 创建线索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来源、渠道、手机号完整；手机号幂等去重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脏数据逐行报错；不覆盖原归因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外呼清洗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外呼工具回传接通结果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待外呼 → 接通/未接通；接通后判有效性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回调签名、事件幂等、失败重试属集成层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加微承接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有效线索发起加微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有效 → 待加微 → 已加微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加微失败不等于线索无效；应单独记录原因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私域跟进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销售记录沟通与下一步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已分配负责人；跟进记录只追加不覆盖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超时提醒是运营信号，不自动改业务状态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MQL / SQL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按准入条件完成转化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MQL 至少有负责人和跟进；SQL 需商机说明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无效需原因；跨级状态被服务端拒绝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3. 领域模型与字段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建模原则：把“当前状态”与“发生过什么”分开。leads 保存当前快照用于列表查询；status_history 和 follow_ups 保存不可覆盖的业务事实，避免一个 updated_at 同时代表外呼、跟进和转化。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51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对象</w:t>
            </w:r>
          </w:p>
        </w:tc>
        <w:tc>
          <w:tcPr>
            <w:tcW w:type="dxa" w:w="388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核心字段</w:t>
            </w:r>
          </w:p>
        </w:tc>
        <w:tc>
          <w:tcPr>
            <w:tcW w:type="dxa" w:w="3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设计理由 / 边界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Lead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phone、source、channel、status、owner_id、created_at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当前快照；手机号唯一仅是 MVP 假设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StatusHistory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from_status、to_status、changed_at、note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状态变化独立留痕；生产需增加 operator_id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FollowUp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operator_id、content、next_action_at、created_at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记录沟通事实及下一行动；不可覆盖历史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User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name、role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演示负责人；生产由组织与权限中心提供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CallbackEvent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event_id、event_type、payload、received_at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三方事件去重与问题追查；原始载荷需脱敏/限期保存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4. 状态机与准入规则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主路径：新线索 → 待外呼 → 已接通 → 有效 → 待加微 → 已加微 → MQL → SQL。未接通可以回到待外呼；任一非终态可按规则进入无效。无效重新打开属于纠错操作，Demo 强制备注，生产必须再校验主管权限。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4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规则</w:t>
            </w:r>
          </w:p>
        </w:tc>
        <w:tc>
          <w:tcPr>
            <w:tcW w:type="dxa" w:w="381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服务端校验</w:t>
            </w:r>
          </w:p>
        </w:tc>
        <w:tc>
          <w:tcPr>
            <w:tcW w:type="dxa" w:w="410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为什么不能只由前端控制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无效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invalid_reason 必填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其他入口/API 仍可绕过前端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MQL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已分配负责人 + 至少一条跟进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防止营销标签空转、责任不清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SQL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当前为 MQL + 明确商机说明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防止漏斗跨级、转化率失真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回退/重开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仅开放少量纠错路径并写备注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状态回退影响业绩、SLA 与审计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5. MVP 页面与操作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线索列表：按状态、来源、负责人筛选；同时呈现当前负责人、最近跟进和超时标记。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线索详情：负责人分配、跟进追加、下一合法状态、无效/商机原因和完整状态历史。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漏斗看板：总线索、有效率、MQL/SQL 转化率、超 48 小时未跟进数。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新增/导入：单条新增已实现；批量导入 API 限 500 条并返回重复数与逐行错误。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业务问答：支持“哪个渠道 SQL 转化率最高”“当前多少线索跟进超时”“查看各状态漏斗”等受控规则查询；返回答案时同步展示指标公式和快照口径，不执行任意 SQL。</w:t>
      </w:r>
    </w:p>
    <w:p>
      <w:r>
        <w:br w:type="page"/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6. 三方系统对接设想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151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系统</w:t>
            </w:r>
          </w:p>
        </w:tc>
        <w:tc>
          <w:tcPr>
            <w:tcW w:type="dxa" w:w="237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需要的接口 / 事件</w:t>
            </w:r>
          </w:p>
        </w:tc>
        <w:tc>
          <w:tcPr>
            <w:tcW w:type="dxa" w:w="32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关键字段</w:t>
            </w:r>
          </w:p>
        </w:tc>
        <w:tc>
          <w:tcPr>
            <w:tcW w:type="dxa" w:w="223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边界控制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投放平台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线索拉取或 webhook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external_lead_id、source、campaign、phone、occurred_at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渠道原始 ID 幂等；归因变更需版本化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外呼系统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下发呼叫任务；结果回调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event_id、lead_id、call_id、result、duration、occurred_at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签名验真、乱序处理、重试/死信；回调不直接越级到 SQL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SCRM / 企微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客户匹配；加微状态回调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external_contact_id、lead_id、add_status、sales_user_id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加微失败与线索无效分离；员工离职需转接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数据平台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指标明细/维表同步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状态事件、渠道、负责人、阶段时间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离线分析不反写交易状态；个人字段脱敏</w:t>
            </w:r>
          </w:p>
        </w:tc>
      </w:tr>
    </w:tbl>
    <w:p>
      <w:pPr>
        <w:spacing w:after="0"/>
      </w:pP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回调处理建议：网关验签 → 以 event_id 去重 → 原始事件落库 → 字段映射与业务校验 → 状态机执行 → 失败进入可重试队列。第三方“至少一次投递”是常态，幂等键不能只用手机号；同一手机号可能有多次合法业务事件。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7. 指标定义与口径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指标</w:t>
            </w:r>
          </w:p>
        </w:tc>
        <w:tc>
          <w:tcPr>
            <w:tcW w:type="dxa" w:w="29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Demo 口径</w:t>
            </w:r>
          </w:p>
        </w:tc>
        <w:tc>
          <w:tcPr>
            <w:tcW w:type="dxa" w:w="45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生产口径注意事项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线索有效率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有效及后续阶段数 / 总线索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按线索进入周期做 cohort；剔除测试与重复线索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加微率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已加微及后续 / 有效及后续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需约定加微失败、员工变更与跨账号归并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MQL 转化率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MQL+SQL / 有效及后续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按首次达到时间统计，避免重复进入造成重复计数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SQL 转化率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SQL / MQL+SQL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需冻结 SQL 定义；回退/作废应保留原事件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平均响应时长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MVP 暂未展示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首次有效人工跟进 - 线索进入；区分工作时间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超时未跟进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非 SQL/无效且 48h 未跟进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运营提醒口径与绩效/SLA 口径分离</w:t>
            </w:r>
          </w:p>
        </w:tc>
      </w:tr>
    </w:tbl>
    <w:p>
      <w:pPr>
        <w:spacing w:after="0"/>
      </w:pPr>
    </w:p>
    <w:p>
      <w:pPr>
        <w:spacing w:after="100" w:line="269" w:lineRule="auto"/>
      </w:pPr>
      <w:r>
        <w:rPr>
          <w:rFonts w:ascii="Microsoft YaHei" w:hAnsi="Microsoft YaHei" w:eastAsia="Microsoft YaHei"/>
          <w:b/>
          <w:color w:val="162033"/>
          <w:sz w:val="20"/>
        </w:rPr>
        <w:t>当前漏斗是存量快照</w:t>
      </w:r>
      <w:r>
        <w:rPr>
          <w:rFonts w:ascii="Microsoft YaHei" w:hAnsi="Microsoft YaHei" w:eastAsia="Microsoft YaHei"/>
          <w:b w:val="0"/>
          <w:color w:val="162033"/>
          <w:sz w:val="20"/>
        </w:rPr>
        <w:t>，只适合 Demo 验证。正式经营分析应基于状态事件和 cohort 计算，否则月末新增线索尚未成熟，会拉低当期转化率；跨月转化又会污染分子。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自然语言查询采用意图规则映射到预定义参数化查询。这样能在 MVP 中展示 Agent / 数据查询潜力，同时避免把用户输入直接拼接成 SQL。若生产化，应增加语义层、字段白名单、数据权限、查询成本限制和结果口径解释。</w:t>
      </w:r>
    </w:p>
    <w:p>
      <w:r>
        <w:br w:type="page"/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8. 权限、隐私与审计边界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销售：仅查看本人线索并追加跟进；不能修改他人记录、批量导出全量数据。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主管：查看团队、分配/回收负责人、审批无效重开；关键操作必须记录操作人、前后值和原因。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系统集成账号：只允许指定来源、事件类型和字段；不获得页面登录能力。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手机号在页面与日志中应脱敏，导出需授权并留痕；原始回调 payload 设置保留期限，避免把审计等同于无限期保存个人数据。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前端隐藏按钮不是权限控制。真实系统必须在每个查询与写接口中基于当前用户做数据范围校验。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9. 异常场景与处理取舍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9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场景</w:t>
            </w:r>
          </w:p>
        </w:tc>
        <w:tc>
          <w:tcPr>
            <w:tcW w:type="dxa" w:w="28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MVP</w:t>
            </w:r>
          </w:p>
        </w:tc>
        <w:tc>
          <w:tcPr>
            <w:tcW w:type="dxa" w:w="45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生产化方案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重复线索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手机号唯一，返回原记录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手机号+业务线+归因窗口；客户主体与线索记录分层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回调重复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event_id 唯一，重复返回成功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幂等表+业务版本；保证副作用只执行一次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回调乱序/失败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未完整实现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occurred_at 与版本号判新旧；重试队列、死信与人工补偿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并发状态变更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SQLite 单机事务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乐观锁/version；冲突返回最新状态，不静默覆盖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批量导入脏数据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单次 500 条，逐行错误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异步任务、错误文件、配额与撤销/补偿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口径变化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代码内固定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规则配置版本化；历史按当时规则回放或冻结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10. MVP 取舍与迭代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本次选择 Python 标准库 + SQLite + 原生页面，避免依赖安装阻塞演示，把有限时间用在状态机、幂等、历史留痕和指标口径上。未实现登录、复杂 RBAC、真实三方连接和异步任务，均已明确为生产化边界，而非默认“前端可信”。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验证证据：自动化测试覆盖手机号去重、非法跨级、无效原因必填、外呼回调幂等、自然语言指标口径，以及新线索→待外呼→回调接通→有效→跟进→MQL→SQL 的完整业务链路。页面已实际验证查询答案与指标公式同时返回。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优先级</w:t>
            </w:r>
          </w:p>
        </w:tc>
        <w:tc>
          <w:tcPr>
            <w:tcW w:type="dxa" w:w="50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下一步</w:t>
            </w:r>
          </w:p>
        </w:tc>
        <w:tc>
          <w:tcPr>
            <w:tcW w:type="dxa" w:w="316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验收信号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P0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登录、销售/主管权限、操作人审计、手机号脱敏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越权测试通过；关键动作可追溯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P0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回调验签、重试、死信、乱序与并发控制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重复/乱序/失败注入不造成状态错乱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P1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cohort 漏斗、阶段耗时、渠道成本与归因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指标可按统一口径复算并解释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085"/>
        <w:sz w:val="16"/>
      </w:rPr>
      <w:t>市场线索到 MQL / SQL 的简化系统 · 仅使用模拟数据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/>
        <w:color w:val="667085"/>
        <w:sz w:val="17"/>
      </w:rPr>
      <w:t>CANDIDATE ASSIGNMENT · BUSINESS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15EF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203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市场线索到 MQL/SQL：业务设计与 MVP 边界说明</dc:title>
  <dc:subject>AI Coding / FDE 候选人作业</dc:subject>
  <dc:creator>候选人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