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5.png" ContentType="image/png"/>
  <Override PartName="/word/media/rId22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Benchmarking Retrieval Patterns for Copilot Studio and Foundry IQ</w:t>
      </w:r>
    </w:p>
    <w:bookmarkStart w:id="45" w:name="X83d2b57cdfa7aa4b4b7f7c6383e5218702b2f46"/>
    <w:p>
      <w:pPr>
        <w:pStyle w:val="Heading1"/>
      </w:pPr>
      <w:r>
        <w:t xml:space="preserve">Benchmarking Retrieval Patterns for Copilot Studio and Foundry IQ: An Evidence System, Not a Leaderboard</w:t>
      </w:r>
    </w:p>
    <w:p>
      <w:pPr>
        <w:pStyle w:val="FirstParagraph"/>
      </w:pPr>
      <w:r>
        <w:rPr>
          <w:iCs/>
          <w:i/>
        </w:rPr>
        <w:t xml:space="preserve">Part 2 of a series. Part 1,</w:t>
      </w:r>
      <w:r>
        <w:rPr>
          <w:iCs/>
          <w:i/>
        </w:rPr>
        <w:t xml:space="preserve"> </w:t>
      </w:r>
      <w:hyperlink r:id="rId20">
        <w:r>
          <w:rPr>
            <w:rStyle w:val="Hyperlink"/>
            <w:iCs/>
            <w:i/>
          </w:rPr>
          <w:t xml:space="preserve">Grounding Copilot Studio Agents with Azure AI Search and Foundry IQ</w:t>
        </w:r>
      </w:hyperlink>
      <w:r>
        <w:rPr>
          <w:iCs/>
          <w:i/>
        </w:rPr>
        <w:t xml:space="preserve">, showed five ways to ground an agent. This part is about how to choose between them with evidence you can defend.</w:t>
      </w:r>
    </w:p>
    <w:p>
      <w:pPr>
        <w:pStyle w:val="BlockText"/>
      </w:pPr>
      <w:r>
        <w:rPr>
          <w:bCs/>
          <w:b/>
        </w:rPr>
        <w:t xml:space="preserve">Reference implementation, not a production template.</w:t>
      </w:r>
      <w:r>
        <w:t xml:space="preserve"> </w:t>
      </w:r>
      <w:r>
        <w:t xml:space="preserve">The sample and numbers below are for learning and experimentation. Before you ship, review the</w:t>
      </w:r>
      <w:r>
        <w:t xml:space="preserve"> </w:t>
      </w:r>
      <w:hyperlink r:id="rId21">
        <w:r>
          <w:rPr>
            <w:rStyle w:val="Hyperlink"/>
          </w:rPr>
          <w:t xml:space="preserve">Azure Well-Architected Framework</w:t>
        </w:r>
      </w:hyperlink>
      <w:r>
        <w:t xml:space="preserve"> </w:t>
      </w:r>
      <w:r>
        <w:t xml:space="preserve">for reliability, security, cost, and operations guidance.</w:t>
      </w:r>
    </w:p>
    <w:p>
      <w:r>
        <w:pict>
          <v:rect style="width:0;height:1.5pt" o:hralign="center" o:hrstd="t" o:hr="t"/>
        </w:pict>
      </w:r>
    </w:p>
    <w:bookmarkStart w:id="25" w:name="the-wrong-first-question"/>
    <w:p>
      <w:pPr>
        <w:pStyle w:val="Heading2"/>
      </w:pPr>
      <w:r>
        <w:t xml:space="preserve">The wrong first question</w:t>
      </w:r>
    </w:p>
    <w:p>
      <w:pPr>
        <w:pStyle w:val="FirstParagraph"/>
      </w:pPr>
      <w:r>
        <w:t xml:space="preserve">Part 1 gave you five ways to ground a Microsoft Copilot Studio agent in HR policy content: connect Copilot Studio straight to an Azure AI Search index (Pattern A), reach a Foundry IQ knowledge base through Microsoft IQ for agentic retrieval (Pattern A2), wrap the knowledge base in a Microsoft Foundry Agent Service prompt agent (Pattern B), route locator questions to a deterministic REST endpoint (Pattern C), or run the loop yourself in a Microsoft Agent Framework container (Hosted).</w:t>
      </w:r>
    </w:p>
    <w:p>
      <w:pPr>
        <w:pStyle w:val="BodyText"/>
      </w:pPr>
      <w:r>
        <w:drawing>
          <wp:inline>
            <wp:extent cx="5334000" cy="4563747"/>
            <wp:effectExtent b="0" l="0" r="0" t="0"/>
            <wp:docPr descr="One Copilot Studio front door routes to five grounded-agent patterns: A (Azure AI Search), A2 (Foundry IQ agentic knowledge base), B (Foundry Agent Service), C (deterministic locator), and a self-hosted Agent Framework runtime." title="" id="23" name="Picture"/>
            <a:graphic>
              <a:graphicData uri="http://schemas.openxmlformats.org/drawingml/2006/picture">
                <pic:pic>
                  <pic:nvPicPr>
                    <pic:cNvPr descr="../images/app/overview/architecture-map.gif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3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obvious next question is "which one is fastest?" It is also the wrong first question.</w:t>
      </w:r>
    </w:p>
    <w:p>
      <w:pPr>
        <w:pStyle w:val="BodyText"/>
      </w:pPr>
      <w:r>
        <w:t xml:space="preserve">Here is why. Drop a p95 latency chart of all five patterns on a slide and someone will pick a winner in ten seconds. But that chart almost always compares numbers that were never comparable: some were measured through the Copilot Studio front door (including a Direct Line network hop), others at the deployed agent boundary; one path runs a model on every turn while another returns a document link with no model at all; one is billed in per-message Copilot Studio Credits and another in per-token Azure charges. The chart</w:t>
      </w:r>
      <w:r>
        <w:t xml:space="preserve"> </w:t>
      </w:r>
      <w:r>
        <w:rPr>
          <w:iCs/>
          <w:i/>
        </w:rPr>
        <w:t xml:space="preserve">looks</w:t>
      </w:r>
      <w:r>
        <w:t xml:space="preserve"> </w:t>
      </w:r>
      <w:r>
        <w:t xml:space="preserve">like a decision. It is a category error with axis labels.</w:t>
      </w:r>
    </w:p>
    <w:p>
      <w:pPr>
        <w:pStyle w:val="BodyText"/>
      </w:pPr>
      <w:r>
        <w:t xml:space="preserve">This post is about the alternative: a small, reproducible</w:t>
      </w:r>
      <w:r>
        <w:t xml:space="preserve"> </w:t>
      </w:r>
      <w:r>
        <w:rPr>
          <w:bCs/>
          <w:b/>
        </w:rPr>
        <w:t xml:space="preserve">evidence system</w:t>
      </w:r>
      <w:r>
        <w:t xml:space="preserve"> </w:t>
      </w:r>
      <w:r>
        <w:t xml:space="preserve">that makes an architecture choice you can explain to a skeptical reviewer. Three rules, one normalized contract, a set of release gates, and a worked example you can run yourself. By the end you will know exactly which claims your data supports — and which ones it does not yet.</w:t>
      </w:r>
    </w:p>
    <w:bookmarkEnd w:id="25"/>
    <w:bookmarkStart w:id="26" w:name="Xa75d1150cf1580e11a9399fb8abcf657bee3763"/>
    <w:p>
      <w:pPr>
        <w:pStyle w:val="Heading2"/>
      </w:pPr>
      <w:r>
        <w:t xml:space="preserve">Three classes of evidence that do not mix</w:t>
      </w:r>
    </w:p>
    <w:p>
      <w:pPr>
        <w:pStyle w:val="FirstParagraph"/>
      </w:pPr>
      <w:r>
        <w:t xml:space="preserve">The first discipline is to stop treating three different kinds of measurement as one.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must never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Controlled 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cases run against a recorded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"Which pattern/config is better, all else equal?"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blended with concurrent load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Load / capacity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traffic with a named profile and saturation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"How does it behave under N users?"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merged into sequential latency percentiles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user traffic in Application Insights, Foundry, Azure AI Search, and Azure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"What is actually happening in production?"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reconstructed into controlled percentiles</w:t>
            </w:r>
          </w:p>
        </w:tc>
      </w:tr>
    </w:tbl>
    <w:p>
      <w:pPr>
        <w:pStyle w:val="BodyText"/>
      </w:pPr>
      <w:r>
        <w:t xml:space="preserve">A latency value is only "measured" when a committed result records its manifest, sample count, environment, and measurement boundary. Anything else — including the friendly</w:t>
      </w:r>
      <w:r>
        <w:t xml:space="preserve"> </w:t>
      </w:r>
      <w:r>
        <w:rPr>
          <w:rStyle w:val="VerbatimChar"/>
        </w:rPr>
        <w:t xml:space="preserve">~1–2 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~10–14 s</w:t>
      </w:r>
      <w:r>
        <w:t xml:space="preserve"> </w:t>
      </w:r>
      <w:r>
        <w:t xml:space="preserve">labels from Part 1 — is an illustration, not a finding. Keeping these classes separate is not bureaucratic; it is what stops a load-test spike from masquerading as a typical response time.</w:t>
      </w:r>
    </w:p>
    <w:bookmarkEnd w:id="26"/>
    <w:bookmarkStart w:id="27" w:name="Xabc3dcc16cc0e3a7cd1fbb4efb474c37dd39713"/>
    <w:p>
      <w:pPr>
        <w:pStyle w:val="Heading2"/>
      </w:pPr>
      <w:r>
        <w:t xml:space="preserve">Rule 1: Measure the boundary you actually ship</w:t>
      </w:r>
    </w:p>
    <w:p>
      <w:pPr>
        <w:pStyle w:val="FirstParagraph"/>
      </w:pPr>
      <w:r>
        <w:t xml:space="preserve">Every pattern is timed at an explicit</w:t>
      </w:r>
      <w:r>
        <w:t xml:space="preserve"> </w:t>
      </w:r>
      <w:r>
        <w:rPr>
          <w:bCs/>
          <w:b/>
        </w:rPr>
        <w:t xml:space="preserve">measurement boundary</w:t>
      </w:r>
      <w:r>
        <w:t xml:space="preserve">, and the boundaries are not interchangeable.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A, A2, and C</w:t>
      </w:r>
      <w:r>
        <w:t xml:space="preserve"> </w:t>
      </w:r>
      <w:r>
        <w:t xml:space="preserve">are measured through the</w:t>
      </w:r>
      <w:r>
        <w:t xml:space="preserve"> </w:t>
      </w:r>
      <w:r>
        <w:rPr>
          <w:bCs/>
          <w:b/>
        </w:rPr>
        <w:t xml:space="preserve">Copilot Studio front door</w:t>
      </w:r>
      <w:r>
        <w:t xml:space="preserve"> </w:t>
      </w:r>
      <w:r>
        <w:t xml:space="preserve">over Direct Line. The timer wraps one opaque span: send the question, await the final activity, stop. Everything Copilot Studio does inside — generative answer, knowledge call, REST tool, connected agent — is Microsoft-managed and not individually timed.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 and Hosted</w:t>
      </w:r>
      <w:r>
        <w:t xml:space="preserve"> </w:t>
      </w:r>
      <w:r>
        <w:t xml:space="preserve">are also measured at their</w:t>
      </w:r>
      <w:r>
        <w:t xml:space="preserve"> </w:t>
      </w:r>
      <w:r>
        <w:rPr>
          <w:bCs/>
          <w:b/>
        </w:rPr>
        <w:t xml:space="preserve">deployed-agent boundary</w:t>
      </w:r>
      <w:r>
        <w:t xml:space="preserve">, because native evaluation cannot grade the external-agent hop from the outside.</w:t>
      </w:r>
    </w:p>
    <w:p>
      <w:pPr>
        <w:pStyle w:val="FirstParagraph"/>
      </w:pPr>
      <w:r>
        <w:t xml:space="preserve">That leads to the single most important rule in the whole system:</w:t>
      </w:r>
    </w:p>
    <w:p>
      <w:pPr>
        <w:pStyle w:val="BlockText"/>
      </w:pPr>
      <w:r>
        <w:t xml:space="preserve">Never subtract one boundary from another and call the difference "Copilot Studio overhead." Different boundaries are different experiments.</w:t>
      </w:r>
    </w:p>
    <w:p>
      <w:pPr>
        <w:pStyle w:val="FirstParagraph"/>
      </w:pPr>
      <w:r>
        <w:t xml:space="preserve">In production, B and Hosted still sit behind the front door too, so the user-facing latency is roughly the deployed p50 plus the same front-door overhead the A/C paths pay. We say that in words; we do not fabricate it with subtraction.</w:t>
      </w:r>
    </w:p>
    <w:p>
      <w:pPr>
        <w:pStyle w:val="SourceCode"/>
      </w:pPr>
      <w:r>
        <w:rPr>
          <w:rStyle w:val="VerbatimChar"/>
        </w:rPr>
        <w:t xml:space="preserve">client → Direct Line send → [ Copilot Studio orchestration (opaque) ] → final activity → client</w:t>
      </w:r>
      <w:r>
        <w:br/>
      </w:r>
      <w:r>
        <w:rPr>
          <w:rStyle w:val="VerbatimChar"/>
        </w:rPr>
        <w:t xml:space="preserve">                                   ├─ generative answer (model)</w:t>
      </w:r>
      <w:r>
        <w:br/>
      </w:r>
      <w:r>
        <w:rPr>
          <w:rStyle w:val="VerbatimChar"/>
        </w:rPr>
        <w:t xml:space="preserve">                                   ├─ knowledge call (Azure AI Search / Foundry IQ)</w:t>
      </w:r>
      <w:r>
        <w:br/>
      </w:r>
      <w:r>
        <w:rPr>
          <w:rStyle w:val="VerbatimChar"/>
        </w:rPr>
        <w:t xml:space="preserve">                                   ├─ tool call (REST /api/lookup)</w:t>
      </w:r>
      <w:r>
        <w:br/>
      </w:r>
      <w:r>
        <w:rPr>
          <w:rStyle w:val="VerbatimChar"/>
        </w:rPr>
        <w:t xml:space="preserve">                                   └─ connected-agent call (Foundry external agent)</w:t>
      </w:r>
    </w:p>
    <w:p>
      <w:pPr>
        <w:pStyle w:val="FirstParagraph"/>
      </w:pPr>
      <w:r>
        <w:t xml:space="preserve">The adapter records</w:t>
      </w:r>
      <w:r>
        <w:t xml:space="preserve"> </w:t>
      </w:r>
      <w:r>
        <w:rPr>
          <w:rStyle w:val="VerbatimChar"/>
        </w:rPr>
        <w:t xml:space="preserve">client_wall_time_ms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measured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service_elapsed_time_ms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 </w:t>
      </w:r>
      <w:r>
        <w:t xml:space="preserve">with reason</w:t>
      </w:r>
      <w:r>
        <w:t xml:space="preserve"> </w:t>
      </w:r>
      <w:r>
        <w:rPr>
          <w:rStyle w:val="VerbatimChar"/>
        </w:rPr>
        <w:t xml:space="preserve">NOT_EXPOSED</w:t>
      </w:r>
      <w:r>
        <w:t xml:space="preserve">. Missing is recorded as missing — never as zero.</w:t>
      </w:r>
    </w:p>
    <w:bookmarkEnd w:id="27"/>
    <w:bookmarkStart w:id="28" w:name="rule-2-two-cost-lanes-that-never-add-up"/>
    <w:p>
      <w:pPr>
        <w:pStyle w:val="Heading2"/>
      </w:pPr>
      <w:r>
        <w:t xml:space="preserve">Rule 2: Two cost lanes that never add up</w:t>
      </w:r>
    </w:p>
    <w:p>
      <w:pPr>
        <w:pStyle w:val="FirstParagraph"/>
      </w:pPr>
      <w:r>
        <w:t xml:space="preserve">Cost is where leaderboards quietly lie, because the patterns are not billed in the same unit.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per-token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Hosted (local, token-instrumented)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per invocation from service-reported input/cached/output tokens × a dated retail pricing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final usage × pricing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Copilot Studio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A2, C, and the B/Hosted front doors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Per-message Copilot Studio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Studio → Operate → Cost / Power Platform admin center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per-token cost on a Copilot Studio front-door run is</w:t>
      </w:r>
      <w:r>
        <w:t xml:space="preserve"> </w:t>
      </w:r>
      <w:r>
        <w:rPr>
          <w:bCs/>
          <w:b/>
        </w:rPr>
        <w:t xml:space="preserve">correct, not missing</w:t>
      </w:r>
      <w:r>
        <w:t xml:space="preserve"> </w:t>
      </w:r>
      <w:r>
        <w:t xml:space="preserve">— that lane is not token-metered, so it can never join the per-token axis. We estimate each lane on its own meter and reconcile against the authoritative source (Azure Cost Management for tokens; the Power Platform admin center for Credits), and we never sum a Credit and a token. For Pattern B and the Hosted front door, the connected Foundry model's tokens are billed on the Azure lane</w:t>
      </w:r>
      <w:r>
        <w:t xml:space="preserve"> </w:t>
      </w:r>
      <w:r>
        <w:rPr>
          <w:iCs/>
          <w:i/>
        </w:rPr>
        <w:t xml:space="preserve">in addition</w:t>
      </w:r>
      <w:r>
        <w:t xml:space="preserve"> </w:t>
      </w:r>
      <w:r>
        <w:t xml:space="preserve">to Copilot Studio Credits — two lanes, stated separately.</w:t>
      </w:r>
    </w:p>
    <w:bookmarkEnd w:id="28"/>
    <w:bookmarkStart w:id="29" w:name="X6591136b2466d9f485a7eb4fc08b005b06f44d6"/>
    <w:p>
      <w:pPr>
        <w:pStyle w:val="Heading2"/>
      </w:pPr>
      <w:r>
        <w:t xml:space="preserve">Rule 3: Deterministic gates first, model judges second</w:t>
      </w:r>
    </w:p>
    <w:p>
      <w:pPr>
        <w:pStyle w:val="FirstParagraph"/>
      </w:pPr>
      <w:r>
        <w:t xml:space="preserve">Quality is graded in two tiers, and the order matters.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Deterministic graders</w:t>
      </w:r>
      <w:r>
        <w:t xml:space="preserve"> </w:t>
      </w:r>
      <w:r>
        <w:t xml:space="preserve">are the release gates: does the answer cite the expected policy IDs, refuse when it should, and — for locator queries — return the exact source URL? These are code, not opinions, so they are reproducible and auditable.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Model-based judges</w:t>
      </w:r>
      <w:r>
        <w:t xml:space="preserve"> </w:t>
      </w:r>
      <w:r>
        <w:t xml:space="preserve">(relevance, groundedness, task adherence via the Foundry evaluators) are</w:t>
      </w:r>
      <w:r>
        <w:t xml:space="preserve"> </w:t>
      </w:r>
      <w:r>
        <w:rPr>
          <w:bCs/>
          <w:b/>
        </w:rPr>
        <w:t xml:space="preserve">supplemental</w:t>
      </w:r>
      <w:r>
        <w:t xml:space="preserve">. They are calibrated against a small reviewed gold set and reported next to — never on top of — the deterministic results.</w:t>
      </w:r>
    </w:p>
    <w:p>
      <w:pPr>
        <w:pStyle w:val="SourceCode"/>
      </w:pPr>
      <w:r>
        <w:rPr>
          <w:rStyle w:val="CommentTok"/>
        </w:rPr>
        <w:t xml:space="preserve"># Deterministic citation gate (illustrative)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citation_pass(answer_text: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expected_policy_ids: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(pid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answer_text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expected_policy_ids)</w:t>
      </w:r>
    </w:p>
    <w:p>
      <w:pPr>
        <w:pStyle w:val="FirstParagraph"/>
      </w:pPr>
      <w:r>
        <w:t xml:space="preserve">When a judge disagrees with the gold set, the gold set wins. That single rule keeps a chatty model from grading its own homework.</w:t>
      </w:r>
    </w:p>
    <w:bookmarkEnd w:id="29"/>
    <w:bookmarkStart w:id="33" w:name="one-contract-to-make-runs-comparable"/>
    <w:p>
      <w:pPr>
        <w:pStyle w:val="Heading2"/>
      </w:pPr>
      <w:r>
        <w:t xml:space="preserve">One contract to make runs comparable</w:t>
      </w:r>
    </w:p>
    <w:p>
      <w:pPr>
        <w:pStyle w:val="FirstParagraph"/>
      </w:pPr>
      <w:r>
        <w:t xml:space="preserve">The three rules are enforced by a normalized contract:</w:t>
      </w:r>
      <w:r>
        <w:t xml:space="preserve"> </w:t>
      </w:r>
      <w:r>
        <w:rPr>
          <w:rStyle w:val="VerbatimChar"/>
        </w:rPr>
        <w:t xml:space="preserve">ExperimentManifest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AggregateReport</w:t>
      </w:r>
      <w:r>
        <w:t xml:space="preserve">, all strict, versioned (</w:t>
      </w:r>
      <w:r>
        <w:rPr>
          <w:rStyle w:val="VerbatimChar"/>
        </w:rPr>
        <w:t xml:space="preserve">schema 1.0</w:t>
      </w:r>
      <w:r>
        <w:t xml:space="preserve">) Pydantic models. The manifest carries the provenance that makes a comparison legitimate: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"schema_version": "1.0",</w:t>
      </w:r>
      <w:r>
        <w:br/>
      </w:r>
      <w:r>
        <w:rPr>
          <w:rStyle w:val="VerbatimChar"/>
        </w:rPr>
        <w:t xml:space="preserve">  "dataset_version": "copilot-hr-policy-release-v2",</w:t>
      </w:r>
      <w:r>
        <w:br/>
      </w:r>
      <w:r>
        <w:rPr>
          <w:rStyle w:val="VerbatimChar"/>
        </w:rPr>
        <w:t xml:space="preserve">  "corpus_fingerprint": "&lt;sha&gt;",</w:t>
      </w:r>
      <w:r>
        <w:br/>
      </w:r>
      <w:r>
        <w:rPr>
          <w:rStyle w:val="VerbatimChar"/>
        </w:rPr>
        <w:t xml:space="preserve">  "index_fingerprint": "&lt;sha&gt;",</w:t>
      </w:r>
      <w:r>
        <w:br/>
      </w:r>
      <w:r>
        <w:rPr>
          <w:rStyle w:val="VerbatimChar"/>
        </w:rPr>
        <w:t xml:space="preserve">  "model_deployment": "gpt-5-mini:2025-08-07",</w:t>
      </w:r>
      <w:r>
        <w:br/>
      </w:r>
      <w:r>
        <w:rPr>
          <w:rStyle w:val="VerbatimChar"/>
        </w:rPr>
        <w:t xml:space="preserve">  "pricing_profile": "azure-gpt-5-mini-global-standard-cache-aware:2025-08-01",</w:t>
      </w:r>
      <w:r>
        <w:br/>
      </w:r>
      <w:r>
        <w:rPr>
          <w:rStyle w:val="VerbatimChar"/>
        </w:rPr>
        <w:t xml:space="preserve">  "measurement_boundary_class": "copilot_studio_direct_line",</w:t>
      </w:r>
      <w:r>
        <w:br/>
      </w:r>
      <w:r>
        <w:rPr>
          <w:rStyle w:val="VerbatimChar"/>
        </w:rPr>
        <w:t xml:space="preserve">  "warmups": 3,</w:t>
      </w:r>
      <w:r>
        <w:br/>
      </w:r>
      <w:r>
        <w:rPr>
          <w:rStyle w:val="VerbatimChar"/>
        </w:rPr>
        <w:t xml:space="preserve">  "repetitions": 35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comparison surface</w:t>
      </w:r>
      <w:r>
        <w:t xml:space="preserve"> </w:t>
      </w:r>
      <w:r>
        <w:rPr>
          <w:bCs/>
          <w:b/>
        </w:rPr>
        <w:t xml:space="preserve">fails closed</w:t>
      </w:r>
      <w:r>
        <w:t xml:space="preserve">: if two runs differ in dataset, corpus, index, model, retrieval mode, or measurement boundary, the tool refuses to rank them instead of drawing a tidy, misleading bar chart. Retrieval references keep stable source IDs and omit policy content by default, so nothing sensitive lands in an artifact.</w:t>
      </w:r>
    </w:p>
    <w:p>
      <w:pPr>
        <w:pStyle w:val="BodyText"/>
      </w:pPr>
      <w:r>
        <w:drawing>
          <wp:inline>
            <wp:extent cx="5334000" cy="4577238"/>
            <wp:effectExtent b="0" l="0" r="0" t="0"/>
            <wp:docPr descr="Compare view that refuses to rank two runs when their dataset, corpus, index, model, or measurement boundary differ." title="" id="31" name="Picture"/>
            <a:graphic>
              <a:graphicData uri="http://schemas.openxmlformats.org/drawingml/2006/picture">
                <pic:pic>
                  <pic:nvPicPr>
                    <pic:cNvPr descr="../images/app/04-compar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7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Running it is a two-line CLI. The offline smoke validates the contract with fixtures and no Azure spend: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src.benchmarking.cli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experiments/manifests/synthetic-direct-search.json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--cases</w:t>
      </w:r>
      <w:r>
        <w:rPr>
          <w:rStyle w:val="NormalTok"/>
        </w:rPr>
        <w:t xml:space="preserve"> experiments/datasets/synthetic-migration-smoke.json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--fixture-responses</w:t>
      </w:r>
      <w:r>
        <w:rPr>
          <w:rStyle w:val="NormalTok"/>
        </w:rPr>
        <w:t xml:space="preserve"> experiments/datasets/synthetic-direct-search-responses.json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experiments/reports/synthetic-direct-search</w:t>
      </w:r>
    </w:p>
    <w:p>
      <w:pPr>
        <w:pStyle w:val="FirstParagraph"/>
      </w:pPr>
      <w:r>
        <w:t xml:space="preserve">Fixture wall-times are contract checks, not Azure performance evidence — and the reports label them that way.</w:t>
      </w:r>
    </w:p>
    <w:bookmarkEnd w:id="33"/>
    <w:bookmarkStart w:id="34" w:name="X7d25f1c48a6af2ca02b11eddf9ed34200321a14"/>
    <w:p>
      <w:pPr>
        <w:pStyle w:val="Heading2"/>
      </w:pPr>
      <w:r>
        <w:t xml:space="preserve">A worked example: three ways to retrieve, measured</w:t>
      </w:r>
    </w:p>
    <w:p>
      <w:pPr>
        <w:pStyle w:val="FirstParagraph"/>
      </w:pPr>
      <w:r>
        <w:t xml:space="preserve">Here is the part where most posts would hand you a five-pattern leaderboard. This one gives you one lane where every number is token-metered and every retrieval type shows up — the Hosted runtime's three retrieval modes — and then tells you exactly where the other four patterns' evidence sits and why you cannot stack it into the same bar chart.</w:t>
      </w:r>
    </w:p>
    <w:p>
      <w:pPr>
        <w:pStyle w:val="BodyText"/>
      </w:pPr>
      <w:r>
        <w:t xml:space="preserve">The Hosted runtime supports three retrieval modes. All three ran over the same synthetic HR corpus and the same versioned release set, 35 timed invocations each with declared warmups, on</w:t>
      </w:r>
      <w:r>
        <w:t xml:space="preserve"> </w:t>
      </w:r>
      <w:r>
        <w:rPr>
          <w:rStyle w:val="VerbatimChar"/>
        </w:rPr>
        <w:t xml:space="preserve">gpt-5-mini</w:t>
      </w:r>
      <w:r>
        <w:t xml:space="preserve"> </w:t>
      </w:r>
      <w:r>
        <w:t xml:space="preserve">priced by the</w:t>
      </w:r>
      <w:r>
        <w:t xml:space="preserve"> </w:t>
      </w:r>
      <w:r>
        <w:rPr>
          <w:rStyle w:val="VerbatimChar"/>
        </w:rPr>
        <w:t xml:space="preserve">azure-gpt-5-mini-global-standard-cache-aware:2025-08-01</w:t>
      </w:r>
      <w:r>
        <w:t xml:space="preserve"> </w:t>
      </w:r>
      <w:r>
        <w:t xml:space="preserve">profile. Deterministic quality is graded on the release set's seven quality cases; security passed on both security cases for every mode.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Hosted retrieval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Deterministic quality (7-case set)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p95 latency (35 runs)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Est. model cost /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</w:t>
            </w:r>
            <w:r>
              <w:t xml:space="preserve"> </w:t>
            </w:r>
            <w:r>
              <w:t xml:space="preserve">(custom</w:t>
            </w:r>
            <w:r>
              <w:t xml:space="preserve"> </w:t>
            </w:r>
            <w:r>
              <w:rPr>
                <w:rStyle w:val="VerbatimChar"/>
              </w:rPr>
              <w:t xml:space="preserve">@tool</w:t>
            </w:r>
            <w:r>
              <w:t xml:space="preserve"> </w:t>
            </w:r>
            <w:r>
              <w:t xml:space="preserve">hybrid 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(7/7)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~25.8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~USD 0.0033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context-semantic</w:t>
            </w:r>
            <w:r>
              <w:t xml:space="preserve"> </w:t>
            </w:r>
            <w:r>
              <w:t xml:space="preserve">(built-in context provider)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71.4% (5/7)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~38.2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~USD 0.0031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context-agentic</w:t>
            </w:r>
            <w:r>
              <w:t xml:space="preserve"> </w:t>
            </w:r>
            <w:r>
              <w:t xml:space="preserve">(context provider over the Foundry IQ knowledge 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retrieval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(7/7)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~34.7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~USD 0.0032</w:t>
            </w:r>
          </w:p>
        </w:tc>
      </w:tr>
    </w:tbl>
    <w:p>
      <w:pPr>
        <w:pStyle w:val="BodyText"/>
      </w:pPr>
      <w:r>
        <w:t xml:space="preserve">Two honest caveats travel with that table. First, quality is graded on a seven-case set:</w:t>
      </w:r>
      <w:r>
        <w:t xml:space="preserve"> </w:t>
      </w:r>
      <w:r>
        <w:rPr>
          <w:rStyle w:val="VerbatimChar"/>
        </w:rPr>
        <w:t xml:space="preserve">context-semantic</w:t>
      </w:r>
      <w:r>
        <w:t xml:space="preserve"> </w:t>
      </w:r>
      <w:r>
        <w:t xml:space="preserve">misses two of seven, while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context-agentic</w:t>
      </w:r>
      <w:r>
        <w:t xml:space="preserve"> </w:t>
      </w:r>
      <w:r>
        <w:t xml:space="preserve">pass all seven — a seven-case gate is not a mature quality benchmark, so expand the dataset before reading too much into that gap. Second, with only 35 samples a single slow request moves p99 materially (tool's p95 is about 25.8 s), so every percentile is reported with its sample count and a small-sample warning. Numbers without their error bars are decoration.</w:t>
      </w:r>
    </w:p>
    <w:p>
      <w:pPr>
        <w:pStyle w:val="BlockText"/>
      </w:pPr>
      <w:r>
        <w:rPr>
          <w:bCs/>
          <w:b/>
        </w:rPr>
        <w:t xml:space="preserve">Provenance.</w:t>
      </w:r>
      <w:r>
        <w:t xml:space="preserve"> </w:t>
      </w:r>
      <w:r>
        <w:t xml:space="preserve">These figures come from the committed publication bundle (</w:t>
      </w:r>
      <w:r>
        <w:rPr>
          <w:rStyle w:val="VerbatimChar"/>
        </w:rPr>
        <w:t xml:space="preserve">decision-system-20260811</w:t>
      </w:r>
      <w:r>
        <w:t xml:space="preserve">, clean commit</w:t>
      </w:r>
      <w:r>
        <w:t xml:space="preserve"> </w:t>
      </w:r>
      <w:r>
        <w:rPr>
          <w:rStyle w:val="VerbatimChar"/>
        </w:rPr>
        <w:t xml:space="preserve">9c94215</w:t>
      </w:r>
      <w:r>
        <w:t xml:space="preserve">) — 35 timed invocations per mode with declared warmups, priced against the</w:t>
      </w:r>
      <w:r>
        <w:t xml:space="preserve"> </w:t>
      </w:r>
      <w:r>
        <w:rPr>
          <w:rStyle w:val="VerbatimChar"/>
        </w:rPr>
        <w:t xml:space="preserve">azure-gpt-5-mini-global-standard-cache-aware:2025-08-01</w:t>
      </w:r>
      <w:r>
        <w:t xml:space="preserve"> </w:t>
      </w:r>
      <w:r>
        <w:t xml:space="preserve">profile. The report artifacts live under</w:t>
      </w:r>
      <w:r>
        <w:t xml:space="preserve"> </w:t>
      </w:r>
      <w:r>
        <w:rPr>
          <w:rStyle w:val="VerbatimChar"/>
        </w:rPr>
        <w:t xml:space="preserve">experiments/reports/decision-system-20260811/hosted/</w:t>
      </w:r>
      <w:r>
        <w:t xml:space="preserve">; if you cannot point a number back to a committed manifest and report, it does not belong in the post.</w:t>
      </w:r>
    </w:p>
    <w:p>
      <w:pPr>
        <w:pStyle w:val="FirstParagraph"/>
      </w:pPr>
      <w:r>
        <w:t xml:space="preserve">The same bundle measures the other four patterns too — but at different boundaries, which is exactly why Rule 1 keeps them off the chart above. Patterns A, A2, and C were run through the Copilot Studio front door over Direct Line (native-evaluation quality of 85.7%, 85.7%, and 71.4% on the seven-case set); Pattern B and the deployed Hosted runtime were measured at the deployed-agent boundary (71.4% each). Where a lane is genuinely incomplete — front-door A2 latency, isolated load, billed-cost reconciliation — the workbench shows it as unavailable, not zero.</w:t>
      </w:r>
    </w:p>
    <w:bookmarkEnd w:id="34"/>
    <w:bookmarkStart w:id="38" w:name="release-gates-not-vibes"/>
    <w:p>
      <w:pPr>
        <w:pStyle w:val="Heading2"/>
      </w:pPr>
      <w:r>
        <w:t xml:space="preserve">Release gates, not vibes</w:t>
      </w:r>
    </w:p>
    <w:p>
      <w:pPr>
        <w:pStyle w:val="FirstParagraph"/>
      </w:pPr>
      <w:r>
        <w:t xml:space="preserve">A run becomes a</w:t>
      </w:r>
      <w:r>
        <w:t xml:space="preserve"> </w:t>
      </w:r>
      <w:r>
        <w:rPr>
          <w:iCs/>
          <w:i/>
        </w:rPr>
        <w:t xml:space="preserve">recommendation</w:t>
      </w:r>
      <w:r>
        <w:t xml:space="preserve"> </w:t>
      </w:r>
      <w:r>
        <w:t xml:space="preserve">only when it clears an explicit gate profile. These are project acceptance criteria for this reference assistant — not Microsoft service guarantees — and you should set your own with your product and operations owners: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 (this reference project)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Copilot Studio client 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pass rate (prompt-injection, secret-disclosure)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variable model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USD 0.05 / request</w:t>
            </w:r>
          </w:p>
        </w:tc>
      </w:tr>
    </w:tbl>
    <w:p>
      <w:pPr>
        <w:pStyle w:val="BodyText"/>
      </w:pPr>
      <w:r>
        <w:t xml:space="preserve">The workbench produces</w:t>
      </w:r>
      <w:r>
        <w:t xml:space="preserve"> </w:t>
      </w:r>
      <w:r>
        <w:rPr>
          <w:bCs/>
          <w:b/>
        </w:rPr>
        <w:t xml:space="preserve">no recommendation</w:t>
      </w:r>
      <w:r>
        <w:t xml:space="preserve"> </w:t>
      </w:r>
      <w:r>
        <w:t xml:space="preserve">when front-door evidence, category-level quality, confidence intervals, explicit outcome counts, security results, or variable-cost evidence is missing. A Pareto-optimal point without those gates is labeled exploratory, not a release call. That is the publication gate in software form: the system would rather say "not yet" than ship a confident wrong answer.</w:t>
      </w:r>
    </w:p>
    <w:p>
      <w:pPr>
        <w:pStyle w:val="BodyText"/>
      </w:pPr>
      <w:r>
        <w:drawing>
          <wp:inline>
            <wp:extent cx="5334000" cy="4497228"/>
            <wp:effectExtent b="0" l="0" r="0" t="0"/>
            <wp:docPr descr="Pareto and SLO qualification view listing gate thresholds and which runs pass or are blocked." title="" id="36" name="Picture"/>
            <a:graphic>
              <a:graphicData uri="http://schemas.openxmlformats.org/drawingml/2006/picture">
                <pic:pic>
                  <pic:nvPicPr>
                    <pic:cNvPr descr="../images/app/05-pareto-slo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7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Xbee21aa572a96596380dc16f969c5e90fdc639e"/>
    <w:p>
      <w:pPr>
        <w:pStyle w:val="Heading2"/>
      </w:pPr>
      <w:r>
        <w:t xml:space="preserve">Reuse the native tools; do not rebuild them</w:t>
      </w:r>
    </w:p>
    <w:p>
      <w:pPr>
        <w:pStyle w:val="FirstParagraph"/>
      </w:pPr>
      <w:r>
        <w:t xml:space="preserve">The evidence system is an augmentation layer, not a replacement for Microsoft-native observability. Application Insights and Azure Managed Grafana own production traces, dashboards, and alerts; Microsoft Foundry owns agent monitoring and cloud evaluation; Azure AI Search owns retrieval capacity and throttling (its agentic retrieval REST surface is</w:t>
      </w:r>
      <w:r>
        <w:t xml:space="preserve"> </w:t>
      </w:r>
      <w:r>
        <w:rPr>
          <w:bCs/>
          <w:b/>
        </w:rPr>
        <w:t xml:space="preserve">GA 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2026-04-01</w:t>
      </w:r>
      <w:r>
        <w:t xml:space="preserve">); Azure Load Testing owns concurrent-load evidence; and Azure Cost Management owns billed cost. Agent-level views in Application Insights and Foundry's agent monitoring dashboards are</w:t>
      </w:r>
      <w:r>
        <w:t xml:space="preserve"> </w:t>
      </w:r>
      <w:r>
        <w:rPr>
          <w:bCs/>
          <w:b/>
        </w:rPr>
        <w:t xml:space="preserve">preview</w:t>
      </w:r>
      <w:r>
        <w:t xml:space="preserve"> </w:t>
      </w:r>
      <w:r>
        <w:t xml:space="preserve">as of writing.</w:t>
      </w:r>
    </w:p>
    <w:p>
      <w:pPr>
        <w:pStyle w:val="BodyText"/>
      </w:pPr>
      <w:r>
        <w:t xml:space="preserve">The workbench normalizes just enough to make a cross-product decision, then deep-links out to those systems for root-cause work. It does not copy their detail views or pretend to be a trace explorer.</w:t>
      </w:r>
    </w:p>
    <w:bookmarkEnd w:id="39"/>
    <w:bookmarkStart w:id="40" w:name="what-this-does-not-claim-yet"/>
    <w:p>
      <w:pPr>
        <w:pStyle w:val="Heading2"/>
      </w:pPr>
      <w:r>
        <w:t xml:space="preserve">What this does not claim (yet)</w:t>
      </w:r>
    </w:p>
    <w:p>
      <w:pPr>
        <w:pStyle w:val="FirstParagraph"/>
      </w:pPr>
      <w:r>
        <w:t xml:space="preserve">Being explicit about gaps is what makes the rest credible:</w:t>
      </w:r>
    </w:p>
    <w:p>
      <w:pPr>
        <w:numPr>
          <w:ilvl w:val="0"/>
          <w:numId w:val="1003"/>
        </w:numPr>
        <w:pStyle w:val="Compact"/>
      </w:pPr>
      <w:r>
        <w:t xml:space="preserve">Category-level quality, confidence intervals, and explicit failure counts are not yet in the aggregate contract.</w:t>
      </w:r>
    </w:p>
    <w:p>
      <w:pPr>
        <w:numPr>
          <w:ilvl w:val="0"/>
          <w:numId w:val="1003"/>
        </w:numPr>
        <w:pStyle w:val="Compact"/>
      </w:pPr>
      <w:r>
        <w:t xml:space="preserve">Connected production and isolated load evidence is pending.</w:t>
      </w:r>
    </w:p>
    <w:p>
      <w:pPr>
        <w:numPr>
          <w:ilvl w:val="0"/>
          <w:numId w:val="1003"/>
        </w:numPr>
        <w:pStyle w:val="Compact"/>
      </w:pPr>
      <w:r>
        <w:t xml:space="preserve">Billed-cost reconciliation against Azure Cost Management is pending by design — shared resources are not attributed per request without a declared allocation rule.</w:t>
      </w:r>
    </w:p>
    <w:p>
      <w:pPr>
        <w:pStyle w:val="FirstParagraph"/>
      </w:pPr>
      <w:r>
        <w:t xml:space="preserve">None of these are fudged into the charts. Missing stays missing.</w:t>
      </w:r>
    </w:p>
    <w:bookmarkEnd w:id="40"/>
    <w:bookmarkStart w:id="44" w:name="try-it-yourself"/>
    <w:p>
      <w:pPr>
        <w:pStyle w:val="Heading2"/>
      </w:pPr>
      <w:r>
        <w:t xml:space="preserve">Try it yourself</w:t>
      </w:r>
    </w:p>
    <w:p>
      <w:pPr>
        <w:pStyle w:val="FirstParagraph"/>
      </w:pPr>
      <w:r>
        <w:t xml:space="preserve">You have a few ways to go deeper, depending on where you are: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Start with the architecture.</w:t>
      </w:r>
      <w:r>
        <w:t xml:space="preserve"> </w:t>
      </w:r>
      <w:r>
        <w:t xml:space="preserve">If you have not read Part 1,</w:t>
      </w:r>
      <w:r>
        <w:t xml:space="preserve"> </w:t>
      </w:r>
      <w:hyperlink r:id="rId20">
        <w:r>
          <w:rPr>
            <w:rStyle w:val="Hyperlink"/>
          </w:rPr>
          <w:t xml:space="preserve">Grounding Copilot Studio Agents with Azure AI Search and Foundry IQ</w:t>
        </w:r>
      </w:hyperlink>
      <w:r>
        <w:t xml:space="preserve"> </w:t>
      </w:r>
      <w:r>
        <w:t xml:space="preserve">defines the five patterns this post benchmarks.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Run the offline contract smoke</w:t>
      </w:r>
      <w:r>
        <w:t xml:space="preserve"> </w:t>
      </w:r>
      <w:r>
        <w:t xml:space="preserve">(no Azure spend) to see the normalized manifest, case, and aggregate reports on your own machine.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Benchmark your own agents.</w:t>
      </w:r>
      <w:r>
        <w:t xml:space="preserve"> </w:t>
      </w:r>
      <w:r>
        <w:t xml:space="preserve">Stand up five non-production Copilot Studio agents — one per pattern — and run the Direct Line harness so each measurement exposes exactly one retrieval path.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 deeper on the method</w:t>
      </w:r>
      <w:r>
        <w:t xml:space="preserve"> </w:t>
      </w:r>
      <w:r>
        <w:t xml:space="preserve">in Microsoft Learn:</w:t>
      </w:r>
      <w:r>
        <w:t xml:space="preserve"> </w:t>
      </w:r>
      <w:hyperlink r:id="rId41">
        <w:r>
          <w:rPr>
            <w:rStyle w:val="Hyperlink"/>
          </w:rPr>
          <w:t xml:space="preserve">Azure AI Search agentic retrieval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Foundry IQ</w:t>
        </w:r>
      </w:hyperlink>
      <w:r>
        <w:t xml:space="preserve">, and</w:t>
      </w:r>
      <w:r>
        <w:t xml:space="preserve"> </w:t>
      </w:r>
      <w:hyperlink r:id="rId43">
        <w:r>
          <w:rPr>
            <w:rStyle w:val="Hyperlink"/>
          </w:rPr>
          <w:t xml:space="preserve">Microsoft Agent Framework</w:t>
        </w:r>
      </w:hyperlink>
      <w:r>
        <w:t xml:space="preserve">.</w:t>
      </w:r>
    </w:p>
    <w:p>
      <w:pPr>
        <w:pStyle w:val="FirstParagraph"/>
      </w:pPr>
      <w:r>
        <w:t xml:space="preserve">Then tell me in the comments: when you choose a retrieval architecture, which evidence class do you trust most — a controlled run, a load test, or production telemetry? That answer usually reveals which mistake you are most likely to make next.</w:t>
      </w:r>
    </w:p>
    <w:p>
      <w:pPr>
        <w:pStyle w:val="BodyText"/>
      </w:pPr>
      <w:r>
        <w:rPr>
          <w:iCs/>
          <w:i/>
        </w:rPr>
        <w:t xml:space="preserve">Ask HR is a development and learning sample. Production deployments should add authentication, monitoring, data governance, content safety, and compliance controls appropriate to your organization.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22" Target="media/rId22.gif" /><Relationship Type="http://schemas.openxmlformats.org/officeDocument/2006/relationships/hyperlink" Id="rId43" Target="https://learn.microsoft.com/agent-framework/" TargetMode="External" /><Relationship Type="http://schemas.openxmlformats.org/officeDocument/2006/relationships/hyperlink" Id="rId42" Target="https://learn.microsoft.com/azure/ai-foundry/" TargetMode="External" /><Relationship Type="http://schemas.openxmlformats.org/officeDocument/2006/relationships/hyperlink" Id="rId41" Target="https://learn.microsoft.com/azure/search/search-agentic-retrieval-concept" TargetMode="External" /><Relationship Type="http://schemas.openxmlformats.org/officeDocument/2006/relationships/hyperlink" Id="rId21" Target="https://learn.microsoft.com/azure/well-architected/" TargetMode="External" /><Relationship Type="http://schemas.openxmlformats.org/officeDocument/2006/relationships/hyperlink" Id="rId20" Target="https://techcommunity.microsoft.com/blog/azure-ai-foundry-blog/grounding-copilot-studio-agents-with-azure-ai-search-and-foundry-iq/453933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learn.microsoft.com/agent-framework/" TargetMode="External" /><Relationship Type="http://schemas.openxmlformats.org/officeDocument/2006/relationships/hyperlink" Id="rId42" Target="https://learn.microsoft.com/azure/ai-foundry/" TargetMode="External" /><Relationship Type="http://schemas.openxmlformats.org/officeDocument/2006/relationships/hyperlink" Id="rId41" Target="https://learn.microsoft.com/azure/search/search-agentic-retrieval-concept" TargetMode="External" /><Relationship Type="http://schemas.openxmlformats.org/officeDocument/2006/relationships/hyperlink" Id="rId21" Target="https://learn.microsoft.com/azure/well-architected/" TargetMode="External" /><Relationship Type="http://schemas.openxmlformats.org/officeDocument/2006/relationships/hyperlink" Id="rId20" Target="https://techcommunity.microsoft.com/blog/azure-ai-foundry-blog/grounding-copilot-studio-agents-with-azure-ai-search-and-foundry-iq/453933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Benchmarking Retrieval Patterns for Copilot Studio and Foundry IQ</dc:title>
  <dc:creator/>
  <cp:keywords/>
  <dcterms:created xsi:type="dcterms:W3CDTF">2026-08-18T02:45:55Z</dcterms:created>
  <dcterms:modified xsi:type="dcterms:W3CDTF">2026-08-18T02:45:55Z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