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jc w:val="center"/>
        <w:rPr>
          <w:rFonts w:hint="eastAsia"/>
        </w:rPr>
      </w:pPr>
      <w:r>
        <w:rPr>
          <w:rFonts w:hint="eastAsia"/>
        </w:rPr>
        <w:t>前言</w:t>
      </w:r>
    </w:p>
    <w:p>
      <w:pPr>
        <w:ind w:firstLine="420"/>
      </w:pPr>
      <w:r>
        <w:rPr>
          <w:rFonts w:hint="eastAsia"/>
        </w:rPr>
        <w:t>新型冠状病毒从爆发至今，围绕疫情的各种数据和信息成为大众了解事态的窗口，新闻媒体通过各种新媒体技术和数据新闻方式实时发布并呈现数据，通过数据可视化人们可以感知疫情现状和流行病传染扩散趋势及救治情况，不仅能够推动网民从零散的感性认识转为结构性的系统分析，更能够从宏观上帮助各级社会管理者科学规范地进一步做出研判。</w:t>
      </w:r>
    </w:p>
    <w:p>
      <w:pPr>
        <w:ind w:firstLine="420"/>
      </w:pPr>
      <w:r>
        <w:t>这场突发的全球性灾难，已经对全球经济和金融市场造成了剧烈冲击，并有可能演变成为一场全面的经济和金融危机。与历史上以往的全球经济金融危机相比，此次疫情的起源和性质截然不同，它直接冲击实体经济的基础，即居民和企业。</w:t>
      </w:r>
    </w:p>
    <w:p>
      <w:pPr>
        <w:ind w:firstLine="420"/>
        <w:rPr>
          <w:rFonts w:hint="eastAsia"/>
        </w:rPr>
      </w:pPr>
      <w:r>
        <w:t xml:space="preserve"> 由于疫情的演变取决于外生与内生的相互作用，各国政府的应对措施是否得当，以及全球政策是否能够协调配合，对控制疫情在全球蔓延有着决定性的作用。而疫情的逐步扩散，以及其严重程度的不断增加，也导致了政府的应对模式从常态管理模式急速转变为非常态模式，并且应对措施不断升级加码。</w:t>
      </w:r>
    </w:p>
    <w:p>
      <w:pPr>
        <w:ind w:firstLine="420"/>
      </w:pPr>
      <w:r>
        <w:rPr>
          <w:rFonts w:hint="eastAsia"/>
        </w:rPr>
        <w:t>本作品结合实际分析全球疫情、国内疫情,意在使人们更直观的了解并做好相关科学防控。</w:t>
      </w:r>
    </w:p>
    <w:p/>
    <w:p/>
    <w:p>
      <w:pPr>
        <w:pStyle w:val="2"/>
        <w:numPr>
          <w:ilvl w:val="0"/>
          <w:numId w:val="1"/>
        </w:numPr>
      </w:pPr>
      <w:r>
        <w:rPr>
          <w:rFonts w:hint="eastAsia"/>
        </w:rPr>
        <w:t>全球局势</w:t>
      </w:r>
    </w:p>
    <w:p>
      <w:pPr>
        <w:pStyle w:val="3"/>
        <w:rPr>
          <w:rFonts w:hint="eastAsia"/>
        </w:rPr>
      </w:pPr>
      <w:r>
        <w:rPr>
          <w:rFonts w:hint="eastAsia"/>
        </w:rPr>
        <w:t>1</w:t>
      </w:r>
      <w:r>
        <w:t>.</w:t>
      </w:r>
      <w:r>
        <w:rPr>
          <w:rFonts w:hint="eastAsia"/>
        </w:rPr>
        <w:t xml:space="preserve"> 大流行风险依然严峻，美欧多国新冠病例再度攀升</w:t>
      </w:r>
    </w:p>
    <w:p>
      <w:r>
        <w:drawing>
          <wp:inline distT="0" distB="0" distL="0" distR="0">
            <wp:extent cx="5195570" cy="3899535"/>
            <wp:effectExtent l="0" t="0" r="5080"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00853" cy="3903457"/>
                    </a:xfrm>
                    <a:prstGeom prst="rect">
                      <a:avLst/>
                    </a:prstGeom>
                  </pic:spPr>
                </pic:pic>
              </a:graphicData>
            </a:graphic>
          </wp:inline>
        </w:drawing>
      </w:r>
    </w:p>
    <w:p>
      <w:pPr>
        <w:jc w:val="center"/>
        <w:rPr>
          <w:rFonts w:hint="eastAsia"/>
          <w:sz w:val="18"/>
          <w:szCs w:val="20"/>
        </w:rPr>
      </w:pPr>
      <w:r>
        <w:rPr>
          <w:rFonts w:hint="eastAsia"/>
          <w:sz w:val="18"/>
          <w:szCs w:val="20"/>
        </w:rPr>
        <w:t>图1</w:t>
      </w:r>
      <w:r>
        <w:rPr>
          <w:sz w:val="18"/>
          <w:szCs w:val="20"/>
        </w:rPr>
        <w:t xml:space="preserve"> </w:t>
      </w:r>
      <w:r>
        <w:rPr>
          <w:rFonts w:hint="eastAsia"/>
          <w:sz w:val="18"/>
          <w:szCs w:val="20"/>
        </w:rPr>
        <w:t>各洲每月新增确诊病例</w:t>
      </w:r>
    </w:p>
    <w:p>
      <w:pPr>
        <w:ind w:firstLine="420"/>
      </w:pPr>
      <w:r>
        <w:rPr>
          <w:rFonts w:hint="eastAsia"/>
        </w:rPr>
        <w:t>图1从2</w:t>
      </w:r>
      <w:r>
        <w:t>020</w:t>
      </w:r>
      <w:r>
        <w:rPr>
          <w:rFonts w:hint="eastAsia"/>
        </w:rPr>
        <w:t>年4月到2</w:t>
      </w:r>
      <w:r>
        <w:t>022</w:t>
      </w:r>
      <w:r>
        <w:rPr>
          <w:rFonts w:hint="eastAsia"/>
        </w:rPr>
        <w:t>年2月底，统计非洲、亚洲、欧洲、大洋洲、北美洲和南美洲每个月新确诊的</w:t>
      </w:r>
      <w:r>
        <w:t xml:space="preserve"> COVID-19 病例</w:t>
      </w:r>
      <w:r>
        <w:rPr>
          <w:rFonts w:hint="eastAsia"/>
        </w:rPr>
        <w:t>数。从图中可以看出在2</w:t>
      </w:r>
      <w:r>
        <w:t>021</w:t>
      </w:r>
      <w:r>
        <w:rPr>
          <w:rFonts w:hint="eastAsia"/>
        </w:rPr>
        <w:t>年</w:t>
      </w:r>
      <w:r>
        <w:t>11</w:t>
      </w:r>
      <w:r>
        <w:rPr>
          <w:rFonts w:hint="eastAsia"/>
        </w:rPr>
        <w:t>月以前，各洲的疫情情况都是起伏不定的，1</w:t>
      </w:r>
      <w:r>
        <w:t>1</w:t>
      </w:r>
      <w:r>
        <w:rPr>
          <w:rFonts w:hint="eastAsia"/>
        </w:rPr>
        <w:t>月之后出现逐步上升的趋势，在2</w:t>
      </w:r>
      <w:r>
        <w:t>022</w:t>
      </w:r>
      <w:r>
        <w:rPr>
          <w:rFonts w:hint="eastAsia"/>
        </w:rPr>
        <w:t>年1月底各洲几乎都出现峰值。2</w:t>
      </w:r>
      <w:r>
        <w:t>021</w:t>
      </w:r>
      <w:r>
        <w:rPr>
          <w:rFonts w:hint="eastAsia"/>
        </w:rPr>
        <w:t>年1</w:t>
      </w:r>
      <w:r>
        <w:t>1</w:t>
      </w:r>
      <w:r>
        <w:rPr>
          <w:rFonts w:hint="eastAsia"/>
        </w:rPr>
        <w:t>月9日，在南非首次采集到变异毒株奥密克戎的样本，其早期阶段的传染性比德尔塔变异毒株强</w:t>
      </w:r>
      <w:r>
        <w:t>4.2倍。</w:t>
      </w:r>
      <w:r>
        <w:rPr>
          <w:rFonts w:hint="eastAsia"/>
        </w:rPr>
        <w:t>该变异株在世界各地传播，不到两个月的时间里已经扩散到</w:t>
      </w:r>
      <w:r>
        <w:t>128个国家和地区。</w:t>
      </w:r>
      <w:r>
        <w:rPr>
          <w:rFonts w:hint="eastAsia"/>
        </w:rPr>
        <w:t>当前疫情仍呈快速发展态势，尽管国际社会对疫情趋势比较乐观，但我国专家对于疫情形势的估计一直持谨慎态度，认为新冠病毒变异一直在发生，新的变异毒株可能还会出现。对新冠流行规律的认识还非常有限，从每月新增病例流行曲线分析过去两年多的起伏变化，疫情防控形势仍然严峻复杂。因此要做好长期斗争的准备。</w:t>
      </w:r>
    </w:p>
    <w:p>
      <w:pPr>
        <w:pStyle w:val="3"/>
        <w:rPr>
          <w:rFonts w:hint="eastAsia"/>
        </w:rPr>
      </w:pPr>
      <w:r>
        <w:t>2.</w:t>
      </w:r>
      <w:r>
        <w:rPr>
          <w:rFonts w:hint="eastAsia"/>
        </w:rPr>
        <w:t xml:space="preserve"> 医疗系统和经济实力映射疫情情况</w:t>
      </w:r>
    </w:p>
    <w:p>
      <w:pPr>
        <w:rPr>
          <w:rFonts w:hint="eastAsia"/>
        </w:rPr>
      </w:pPr>
    </w:p>
    <w:p>
      <w:pPr>
        <w:jc w:val="center"/>
      </w:pPr>
      <w:r>
        <w:drawing>
          <wp:inline distT="0" distB="0" distL="0" distR="0">
            <wp:extent cx="3041015" cy="3038475"/>
            <wp:effectExtent l="0" t="0" r="698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3049914" cy="3047343"/>
                    </a:xfrm>
                    <a:prstGeom prst="rect">
                      <a:avLst/>
                    </a:prstGeom>
                  </pic:spPr>
                </pic:pic>
              </a:graphicData>
            </a:graphic>
          </wp:inline>
        </w:drawing>
      </w:r>
    </w:p>
    <w:p>
      <w:pPr>
        <w:jc w:val="center"/>
        <w:rPr>
          <w:sz w:val="18"/>
          <w:szCs w:val="20"/>
        </w:rPr>
      </w:pPr>
      <w:r>
        <w:rPr>
          <w:rFonts w:hint="eastAsia"/>
          <w:sz w:val="18"/>
          <w:szCs w:val="20"/>
        </w:rPr>
        <w:t>图2</w:t>
      </w:r>
      <w:r>
        <w:rPr>
          <w:sz w:val="18"/>
          <w:szCs w:val="20"/>
        </w:rPr>
        <w:t xml:space="preserve"> </w:t>
      </w:r>
      <w:r>
        <w:rPr>
          <w:rFonts w:hint="eastAsia"/>
          <w:sz w:val="18"/>
          <w:szCs w:val="20"/>
        </w:rPr>
        <w:t>部分国家极端贫困人口比例</w:t>
      </w:r>
    </w:p>
    <w:p>
      <w:pPr>
        <w:jc w:val="center"/>
      </w:pPr>
      <w:r>
        <w:drawing>
          <wp:inline distT="0" distB="0" distL="0" distR="0">
            <wp:extent cx="4055110" cy="371792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4072072" cy="3733795"/>
                    </a:xfrm>
                    <a:prstGeom prst="rect">
                      <a:avLst/>
                    </a:prstGeom>
                  </pic:spPr>
                </pic:pic>
              </a:graphicData>
            </a:graphic>
          </wp:inline>
        </w:drawing>
      </w:r>
    </w:p>
    <w:p>
      <w:pPr>
        <w:jc w:val="center"/>
        <w:rPr>
          <w:rFonts w:hint="eastAsia"/>
          <w:sz w:val="18"/>
          <w:szCs w:val="20"/>
        </w:rPr>
      </w:pPr>
      <w:r>
        <w:rPr>
          <w:rFonts w:hint="eastAsia"/>
          <w:sz w:val="18"/>
          <w:szCs w:val="20"/>
        </w:rPr>
        <w:t>图</w:t>
      </w:r>
      <w:r>
        <w:rPr>
          <w:sz w:val="18"/>
          <w:szCs w:val="20"/>
        </w:rPr>
        <w:t xml:space="preserve">3 </w:t>
      </w:r>
      <w:r>
        <w:rPr>
          <w:rFonts w:hint="eastAsia"/>
          <w:sz w:val="18"/>
          <w:szCs w:val="20"/>
        </w:rPr>
        <w:t>部分国家的</w:t>
      </w:r>
      <w:r>
        <w:rPr>
          <w:sz w:val="18"/>
          <w:szCs w:val="20"/>
        </w:rPr>
        <w:t>确诊病例总数</w:t>
      </w:r>
      <w:r>
        <w:rPr>
          <w:rFonts w:hint="eastAsia"/>
          <w:sz w:val="18"/>
          <w:szCs w:val="20"/>
        </w:rPr>
        <w:t>和病床数</w:t>
      </w:r>
    </w:p>
    <w:p>
      <w:pPr>
        <w:ind w:firstLine="420"/>
      </w:pPr>
      <w:r>
        <w:rPr>
          <w:rFonts w:hint="eastAsia"/>
        </w:rPr>
        <w:t>图2分别从发达国家（意大利、西班牙、加拿大、葡萄牙、韩国）、发展中国家（中国、俄罗斯、印度、马来西亚、巴西）和不发达国家（孟加拉、缅甸、埃塞俄比亚、尼日尔、贝宁）各选出五个国家分析极端贫困人口比例。图3是对应国家的确诊病例总数和</w:t>
      </w:r>
      <w:r>
        <w:t>自 2010 年以来</w:t>
      </w:r>
      <w:r>
        <w:rPr>
          <w:rFonts w:hint="eastAsia"/>
        </w:rPr>
        <w:t>每</w:t>
      </w:r>
      <w:r>
        <w:t xml:space="preserve"> 1,000 人的病床数</w:t>
      </w:r>
      <w:r>
        <w:rPr>
          <w:rFonts w:hint="eastAsia"/>
        </w:rPr>
        <w:t>。</w:t>
      </w:r>
    </w:p>
    <w:p>
      <w:pPr>
        <w:ind w:firstLine="420"/>
        <w:rPr>
          <w:rFonts w:hint="eastAsia"/>
        </w:rPr>
      </w:pPr>
      <w:r>
        <w:rPr>
          <w:rFonts w:hint="eastAsia"/>
        </w:rPr>
        <w:t>从图中看出不发达国家的极端贫困人口比例较大，且每一千人中病床数还不足1个，印度属于发展中国家病床数也是十分稀缺。印度人口基数过于庞大、医疗体系差，目前的医疗系统无法应对严重的疫情，导致确诊病例直接突破四千万。</w:t>
      </w:r>
    </w:p>
    <w:p>
      <w:pPr>
        <w:ind w:firstLine="420"/>
        <w:rPr>
          <w:rFonts w:hint="eastAsia"/>
        </w:rPr>
      </w:pPr>
      <w:r>
        <w:rPr>
          <w:rFonts w:hint="eastAsia"/>
        </w:rPr>
        <w:t>但是对于不发达国家，疫情却控制得比较好，越是贫穷落后的国家疫情确诊人数越少。因为这些国家的医疗设施不完备，检测力度不够，治疗需要的人力物力也不够，不能把已经被传染的患者找出来，所以确诊数量少。发达国家和部分发展中国家有足够的医疗措施和财力支持，只要想做，就能够保证把人群中每一个确诊的病人都找出来，所以当疫情爆发后，发达国家的确诊数飞速上涨。但是就算是欧美等发达国家，医疗设施在疫情冲击下也同样极度的不满足。</w:t>
      </w:r>
    </w:p>
    <w:p>
      <w:pPr>
        <w:rPr>
          <w:rFonts w:hint="default" w:eastAsiaTheme="minorEastAsia"/>
          <w:sz w:val="32"/>
          <w:szCs w:val="32"/>
          <w:lang w:val="en-US" w:eastAsia="zh-CN"/>
        </w:rPr>
      </w:pPr>
      <w:r>
        <w:rPr>
          <w:rFonts w:hint="eastAsia"/>
          <w:sz w:val="32"/>
          <w:szCs w:val="32"/>
          <w:lang w:val="en-US" w:eastAsia="zh-CN"/>
        </w:rPr>
        <w:t>3</w:t>
      </w:r>
      <w:r>
        <w:rPr>
          <w:sz w:val="32"/>
          <w:szCs w:val="32"/>
        </w:rPr>
        <w:t>.</w:t>
      </w:r>
      <w:r>
        <w:rPr>
          <w:rFonts w:hint="eastAsia"/>
          <w:sz w:val="32"/>
          <w:szCs w:val="32"/>
        </w:rPr>
        <w:t xml:space="preserve"> </w:t>
      </w:r>
      <w:r>
        <w:rPr>
          <w:rFonts w:hint="eastAsia"/>
          <w:sz w:val="32"/>
          <w:szCs w:val="32"/>
          <w:lang w:val="en-US" w:eastAsia="zh-CN"/>
        </w:rPr>
        <w:t>国家GDP和疫情的关系</w:t>
      </w:r>
    </w:p>
    <w:p>
      <w:pPr>
        <w:ind w:firstLine="420"/>
        <w:rPr>
          <w:rFonts w:hint="default"/>
          <w:lang w:val="en-US" w:eastAsia="zh-CN"/>
        </w:rPr>
      </w:pPr>
      <w:r>
        <w:rPr>
          <w:rFonts w:ascii="宋体" w:hAnsi="宋体" w:eastAsia="宋体" w:cs="宋体"/>
          <w:sz w:val="24"/>
          <w:szCs w:val="24"/>
        </w:rPr>
        <w:drawing>
          <wp:inline distT="0" distB="0" distL="114300" distR="114300">
            <wp:extent cx="4908550" cy="2583180"/>
            <wp:effectExtent l="0" t="0" r="6350" b="7620"/>
            <wp:docPr id="13"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7" descr="IMG_256"/>
                    <pic:cNvPicPr>
                      <a:picLocks noChangeAspect="1"/>
                    </pic:cNvPicPr>
                  </pic:nvPicPr>
                  <pic:blipFill>
                    <a:blip r:embed="rId7"/>
                    <a:stretch>
                      <a:fillRect/>
                    </a:stretch>
                  </pic:blipFill>
                  <pic:spPr>
                    <a:xfrm>
                      <a:off x="0" y="0"/>
                      <a:ext cx="4908550" cy="2583180"/>
                    </a:xfrm>
                    <a:prstGeom prst="rect">
                      <a:avLst/>
                    </a:prstGeom>
                    <a:noFill/>
                    <a:ln w="9525">
                      <a:noFill/>
                    </a:ln>
                  </pic:spPr>
                </pic:pic>
              </a:graphicData>
            </a:graphic>
          </wp:inline>
        </w:drawing>
      </w:r>
    </w:p>
    <w:p>
      <w:pPr>
        <w:jc w:val="center"/>
        <w:rPr>
          <w:rFonts w:hint="default" w:eastAsiaTheme="minorEastAsia"/>
          <w:lang w:val="en-US" w:eastAsia="zh-CN"/>
        </w:rPr>
      </w:pPr>
      <w:r>
        <w:rPr>
          <w:rFonts w:hint="eastAsia"/>
          <w:sz w:val="18"/>
          <w:szCs w:val="20"/>
        </w:rPr>
        <w:t>图</w:t>
      </w:r>
      <w:r>
        <w:rPr>
          <w:rFonts w:hint="eastAsia"/>
          <w:sz w:val="18"/>
          <w:szCs w:val="20"/>
          <w:lang w:val="en-US" w:eastAsia="zh-CN"/>
        </w:rPr>
        <w:t>4</w:t>
      </w:r>
      <w:r>
        <w:rPr>
          <w:sz w:val="18"/>
          <w:szCs w:val="20"/>
        </w:rPr>
        <w:t xml:space="preserve"> </w:t>
      </w:r>
      <w:r>
        <w:rPr>
          <w:rFonts w:hint="eastAsia"/>
          <w:sz w:val="18"/>
          <w:szCs w:val="20"/>
          <w:lang w:val="en-US" w:eastAsia="zh-CN"/>
        </w:rPr>
        <w:t>美国GDP和确诊人数</w:t>
      </w:r>
    </w:p>
    <w:p>
      <w:pPr>
        <w:ind w:firstLine="420"/>
        <w:rPr>
          <w:rFonts w:hint="default"/>
          <w:lang w:val="en-US" w:eastAsia="zh-CN"/>
        </w:rPr>
      </w:pPr>
      <w:r>
        <w:rPr>
          <w:rFonts w:hint="default"/>
          <w:lang w:val="en-US" w:eastAsia="zh-CN"/>
        </w:rPr>
        <w:drawing>
          <wp:inline distT="0" distB="0" distL="114300" distR="114300">
            <wp:extent cx="4530725" cy="2509520"/>
            <wp:effectExtent l="0" t="0" r="3175" b="5080"/>
            <wp:docPr id="12" name="图片 6" descr=")SL4~_M3RAL{)]]HKFJOMV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6" descr=")SL4~_M3RAL{)]]HKFJOMVL"/>
                    <pic:cNvPicPr>
                      <a:picLocks noChangeAspect="1"/>
                    </pic:cNvPicPr>
                  </pic:nvPicPr>
                  <pic:blipFill>
                    <a:blip r:embed="rId8"/>
                    <a:stretch>
                      <a:fillRect/>
                    </a:stretch>
                  </pic:blipFill>
                  <pic:spPr>
                    <a:xfrm>
                      <a:off x="0" y="0"/>
                      <a:ext cx="4530725" cy="2509520"/>
                    </a:xfrm>
                    <a:prstGeom prst="rect">
                      <a:avLst/>
                    </a:prstGeom>
                    <a:noFill/>
                    <a:ln>
                      <a:noFill/>
                    </a:ln>
                  </pic:spPr>
                </pic:pic>
              </a:graphicData>
            </a:graphic>
          </wp:inline>
        </w:drawing>
      </w:r>
    </w:p>
    <w:p>
      <w:pPr>
        <w:jc w:val="center"/>
        <w:rPr>
          <w:rFonts w:hint="default" w:eastAsiaTheme="minorEastAsia"/>
          <w:lang w:val="en-US" w:eastAsia="zh-CN"/>
        </w:rPr>
      </w:pPr>
      <w:r>
        <w:rPr>
          <w:rFonts w:hint="eastAsia"/>
          <w:sz w:val="18"/>
          <w:szCs w:val="20"/>
        </w:rPr>
        <w:t>图</w:t>
      </w:r>
      <w:r>
        <w:rPr>
          <w:rFonts w:hint="eastAsia"/>
          <w:sz w:val="18"/>
          <w:szCs w:val="20"/>
          <w:lang w:val="en-US" w:eastAsia="zh-CN"/>
        </w:rPr>
        <w:t>5</w:t>
      </w:r>
      <w:r>
        <w:rPr>
          <w:sz w:val="18"/>
          <w:szCs w:val="20"/>
        </w:rPr>
        <w:t xml:space="preserve"> </w:t>
      </w:r>
      <w:r>
        <w:rPr>
          <w:rFonts w:hint="eastAsia"/>
          <w:sz w:val="18"/>
          <w:szCs w:val="20"/>
          <w:lang w:val="en-US" w:eastAsia="zh-CN"/>
        </w:rPr>
        <w:t>墨西哥GDP和确诊人数</w:t>
      </w:r>
    </w:p>
    <w:p>
      <w:pPr>
        <w:ind w:firstLine="420"/>
        <w:rPr>
          <w:rFonts w:hint="eastAsia" w:asciiTheme="minorEastAsia" w:hAnsiTheme="minorEastAsia" w:eastAsiaTheme="minorEastAsia" w:cstheme="minorEastAsia"/>
          <w:i w:val="0"/>
          <w:iCs w:val="0"/>
          <w:caps w:val="0"/>
          <w:color w:val="000000"/>
          <w:spacing w:val="0"/>
          <w:sz w:val="21"/>
          <w:szCs w:val="21"/>
        </w:rPr>
      </w:pPr>
      <w:r>
        <w:rPr>
          <w:rFonts w:hint="eastAsia"/>
          <w:lang w:val="en-US" w:eastAsia="zh-CN"/>
        </w:rPr>
        <w:t>图4和图5分别为美国和墨西哥的GDP和确诊人数在疫情期间的变化情况。在2020年4月国外开始出现病例，前期由于政府的不作为，导致疫情逐步扩大，虽然短时间内对经济影响不大，但随着确诊人数的增加，劳动力的丧失，两国的GDP都呈现断崖式的下滑。</w:t>
      </w:r>
      <w:r>
        <w:rPr>
          <w:rFonts w:hint="eastAsia" w:asciiTheme="minorEastAsia" w:hAnsiTheme="minorEastAsia" w:eastAsiaTheme="minorEastAsia" w:cstheme="minorEastAsia"/>
          <w:i w:val="0"/>
          <w:iCs w:val="0"/>
          <w:caps w:val="0"/>
          <w:color w:val="000000"/>
          <w:spacing w:val="0"/>
          <w:sz w:val="21"/>
          <w:szCs w:val="21"/>
        </w:rPr>
        <w:t>由于疫情并未得到控制，新增病例和死亡人数</w:t>
      </w:r>
      <w:r>
        <w:rPr>
          <w:rFonts w:hint="eastAsia" w:asciiTheme="minorEastAsia" w:hAnsiTheme="minorEastAsia" w:cstheme="minorEastAsia"/>
          <w:i w:val="0"/>
          <w:iCs w:val="0"/>
          <w:caps w:val="0"/>
          <w:color w:val="000000"/>
          <w:spacing w:val="0"/>
          <w:sz w:val="21"/>
          <w:szCs w:val="21"/>
          <w:lang w:val="en-US" w:eastAsia="zh-CN"/>
        </w:rPr>
        <w:t>逐步</w:t>
      </w:r>
      <w:r>
        <w:rPr>
          <w:rFonts w:hint="eastAsia" w:asciiTheme="minorEastAsia" w:hAnsiTheme="minorEastAsia" w:eastAsiaTheme="minorEastAsia" w:cstheme="minorEastAsia"/>
          <w:i w:val="0"/>
          <w:iCs w:val="0"/>
          <w:caps w:val="0"/>
          <w:color w:val="000000"/>
          <w:spacing w:val="0"/>
          <w:sz w:val="21"/>
          <w:szCs w:val="21"/>
        </w:rPr>
        <w:t>攀升，使经济复苏面临挑战。只有当人们确信可以重新安全地从事广泛经济活动后，经济才可能全面复苏。</w:t>
      </w:r>
    </w:p>
    <w:p>
      <w:pPr>
        <w:numPr>
          <w:ilvl w:val="0"/>
          <w:numId w:val="2"/>
        </w:numPr>
        <w:rPr>
          <w:rFonts w:hint="eastAsia" w:asciiTheme="minorEastAsia" w:hAnsiTheme="minorEastAsia" w:cstheme="minorEastAsia"/>
          <w:i w:val="0"/>
          <w:iCs w:val="0"/>
          <w:caps w:val="0"/>
          <w:color w:val="000000"/>
          <w:spacing w:val="0"/>
          <w:sz w:val="32"/>
          <w:szCs w:val="32"/>
          <w:lang w:val="en-US" w:eastAsia="zh-CN"/>
        </w:rPr>
      </w:pPr>
      <w:r>
        <w:rPr>
          <w:rFonts w:hint="eastAsia" w:asciiTheme="minorEastAsia" w:hAnsiTheme="minorEastAsia" w:cstheme="minorEastAsia"/>
          <w:i w:val="0"/>
          <w:iCs w:val="0"/>
          <w:caps w:val="0"/>
          <w:color w:val="000000"/>
          <w:spacing w:val="0"/>
          <w:sz w:val="32"/>
          <w:szCs w:val="32"/>
          <w:lang w:val="en-US" w:eastAsia="zh-CN"/>
        </w:rPr>
        <w:t>疫苗接种情况</w:t>
      </w:r>
    </w:p>
    <w:p>
      <w:pPr>
        <w:numPr>
          <w:ilvl w:val="0"/>
          <w:numId w:val="0"/>
        </w:numPr>
        <w:rPr>
          <w:rFonts w:ascii="宋体" w:hAnsi="宋体" w:eastAsia="宋体" w:cs="宋体"/>
          <w:sz w:val="24"/>
          <w:szCs w:val="24"/>
        </w:rPr>
      </w:pPr>
      <w:r>
        <w:rPr>
          <w:rFonts w:ascii="宋体" w:hAnsi="宋体" w:eastAsia="宋体" w:cs="宋体"/>
          <w:sz w:val="24"/>
          <w:szCs w:val="24"/>
        </w:rPr>
        <w:drawing>
          <wp:inline distT="0" distB="0" distL="114300" distR="114300">
            <wp:extent cx="5359400" cy="2656840"/>
            <wp:effectExtent l="0" t="0" r="12700" b="10160"/>
            <wp:docPr id="15"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9" descr="IMG_256"/>
                    <pic:cNvPicPr>
                      <a:picLocks noChangeAspect="1"/>
                    </pic:cNvPicPr>
                  </pic:nvPicPr>
                  <pic:blipFill>
                    <a:blip r:embed="rId9"/>
                    <a:stretch>
                      <a:fillRect/>
                    </a:stretch>
                  </pic:blipFill>
                  <pic:spPr>
                    <a:xfrm>
                      <a:off x="0" y="0"/>
                      <a:ext cx="5359400" cy="2656840"/>
                    </a:xfrm>
                    <a:prstGeom prst="rect">
                      <a:avLst/>
                    </a:prstGeom>
                    <a:noFill/>
                    <a:ln w="9525">
                      <a:noFill/>
                    </a:ln>
                  </pic:spPr>
                </pic:pic>
              </a:graphicData>
            </a:graphic>
          </wp:inline>
        </w:drawing>
      </w:r>
    </w:p>
    <w:p>
      <w:pPr>
        <w:jc w:val="center"/>
        <w:rPr>
          <w:rFonts w:hint="eastAsia"/>
          <w:sz w:val="18"/>
          <w:szCs w:val="20"/>
          <w:lang w:val="en-US" w:eastAsia="zh-CN"/>
        </w:rPr>
      </w:pPr>
      <w:r>
        <w:rPr>
          <w:rFonts w:hint="eastAsia"/>
          <w:sz w:val="18"/>
          <w:szCs w:val="20"/>
        </w:rPr>
        <w:t>图</w:t>
      </w:r>
      <w:r>
        <w:rPr>
          <w:rFonts w:hint="eastAsia"/>
          <w:sz w:val="18"/>
          <w:szCs w:val="20"/>
          <w:lang w:val="en-US" w:eastAsia="zh-CN"/>
        </w:rPr>
        <w:t>6</w:t>
      </w:r>
      <w:r>
        <w:rPr>
          <w:sz w:val="18"/>
          <w:szCs w:val="20"/>
        </w:rPr>
        <w:t xml:space="preserve"> </w:t>
      </w:r>
      <w:r>
        <w:rPr>
          <w:rFonts w:hint="eastAsia"/>
          <w:sz w:val="18"/>
          <w:szCs w:val="20"/>
          <w:lang w:val="en-US" w:eastAsia="zh-CN"/>
        </w:rPr>
        <w:t>全球疫苗接种人数和新增确诊病例人数</w:t>
      </w:r>
    </w:p>
    <w:p>
      <w:pPr>
        <w:jc w:val="center"/>
        <w:rPr>
          <w:rFonts w:ascii="宋体" w:hAnsi="宋体" w:eastAsia="宋体" w:cs="宋体"/>
          <w:sz w:val="24"/>
          <w:szCs w:val="24"/>
        </w:rPr>
      </w:pPr>
      <w:r>
        <w:rPr>
          <w:rFonts w:ascii="宋体" w:hAnsi="宋体" w:eastAsia="宋体" w:cs="宋体"/>
          <w:sz w:val="24"/>
          <w:szCs w:val="24"/>
        </w:rPr>
        <w:drawing>
          <wp:inline distT="0" distB="0" distL="114300" distR="114300">
            <wp:extent cx="5066665" cy="2732405"/>
            <wp:effectExtent l="0" t="0" r="635" b="10795"/>
            <wp:docPr id="16"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 descr="IMG_256"/>
                    <pic:cNvPicPr>
                      <a:picLocks noChangeAspect="1"/>
                    </pic:cNvPicPr>
                  </pic:nvPicPr>
                  <pic:blipFill>
                    <a:blip r:embed="rId10"/>
                    <a:stretch>
                      <a:fillRect/>
                    </a:stretch>
                  </pic:blipFill>
                  <pic:spPr>
                    <a:xfrm>
                      <a:off x="0" y="0"/>
                      <a:ext cx="5066665" cy="2732405"/>
                    </a:xfrm>
                    <a:prstGeom prst="rect">
                      <a:avLst/>
                    </a:prstGeom>
                    <a:noFill/>
                    <a:ln w="9525">
                      <a:noFill/>
                    </a:ln>
                  </pic:spPr>
                </pic:pic>
              </a:graphicData>
            </a:graphic>
          </wp:inline>
        </w:drawing>
      </w:r>
    </w:p>
    <w:p>
      <w:pPr>
        <w:jc w:val="center"/>
        <w:rPr>
          <w:rFonts w:hint="default" w:ascii="宋体" w:hAnsi="宋体" w:eastAsia="宋体" w:cs="宋体"/>
          <w:sz w:val="24"/>
          <w:szCs w:val="24"/>
          <w:lang w:val="en-US" w:eastAsia="zh-CN"/>
        </w:rPr>
      </w:pPr>
      <w:r>
        <w:rPr>
          <w:rFonts w:hint="eastAsia"/>
          <w:sz w:val="18"/>
          <w:szCs w:val="20"/>
        </w:rPr>
        <w:t>图</w:t>
      </w:r>
      <w:r>
        <w:rPr>
          <w:rFonts w:hint="eastAsia"/>
          <w:sz w:val="18"/>
          <w:szCs w:val="20"/>
          <w:lang w:val="en-US" w:eastAsia="zh-CN"/>
        </w:rPr>
        <w:t>7</w:t>
      </w:r>
      <w:r>
        <w:rPr>
          <w:sz w:val="18"/>
          <w:szCs w:val="20"/>
        </w:rPr>
        <w:t xml:space="preserve"> </w:t>
      </w:r>
      <w:r>
        <w:rPr>
          <w:rFonts w:hint="eastAsia"/>
          <w:sz w:val="18"/>
          <w:szCs w:val="20"/>
          <w:lang w:val="en-US" w:eastAsia="zh-CN"/>
        </w:rPr>
        <w:t>疫苗接种百分比</w:t>
      </w:r>
    </w:p>
    <w:p>
      <w:pPr>
        <w:ind w:firstLine="420" w:firstLineChars="200"/>
        <w:jc w:val="both"/>
        <w:rPr>
          <w:rFonts w:hint="eastAsia"/>
          <w:lang w:val="en-US" w:eastAsia="zh-CN"/>
        </w:rPr>
      </w:pPr>
      <w:r>
        <w:rPr>
          <w:rFonts w:hint="eastAsia"/>
          <w:lang w:val="en-US" w:eastAsia="zh-CN"/>
        </w:rPr>
        <w:t>图6为全球疫苗接种人数和新增确诊病例人数。可以看出，在大部分人注射疫苗后，确诊病例的人数增长不在迅速，疫情得到缓解。可见疫苗的注射对预防病毒有很大作用。</w:t>
      </w:r>
    </w:p>
    <w:p>
      <w:pPr>
        <w:ind w:firstLine="420" w:firstLineChars="200"/>
        <w:jc w:val="both"/>
        <w:rPr>
          <w:rFonts w:hint="eastAsia"/>
          <w:lang w:val="en-US" w:eastAsia="zh-CN"/>
        </w:rPr>
      </w:pPr>
      <w:r>
        <w:rPr>
          <w:rFonts w:hint="eastAsia"/>
          <w:lang w:val="en-US" w:eastAsia="zh-CN"/>
        </w:rPr>
        <w:t>图7是墨西哥、阿根廷、泰国、台湾、日本、全球、韩国、低收入国家、高收入国家的疫苗接种百分比。全世界只有63%左右的人接种了疫苗，还有一大部分人没有接种。其中日本、阿根廷等发达国家疫苗接种比例普遍较高，而在低收入国家，只有6%的人至少接受过一剂，在全球抗疫形式严峻之下，疫苗分配不均问题越加突出，由此也引发了病毒变种的后果。</w:t>
      </w:r>
    </w:p>
    <w:p>
      <w:pPr>
        <w:ind w:firstLine="420" w:firstLineChars="200"/>
        <w:jc w:val="both"/>
        <w:rPr>
          <w:rFonts w:hint="eastAsia" w:asciiTheme="minorEastAsia" w:hAnsiTheme="minorEastAsia" w:eastAsiaTheme="minorEastAsia" w:cstheme="minorEastAsia"/>
          <w:i w:val="0"/>
          <w:iCs w:val="0"/>
          <w:caps w:val="0"/>
          <w:color w:val="000000"/>
          <w:spacing w:val="0"/>
          <w:sz w:val="21"/>
          <w:szCs w:val="21"/>
        </w:rPr>
      </w:pPr>
      <w:r>
        <w:rPr>
          <w:rFonts w:hint="eastAsia" w:asciiTheme="minorEastAsia" w:hAnsiTheme="minorEastAsia" w:eastAsiaTheme="minorEastAsia" w:cstheme="minorEastAsia"/>
          <w:i w:val="0"/>
          <w:iCs w:val="0"/>
          <w:caps w:val="0"/>
          <w:color w:val="000000"/>
          <w:spacing w:val="0"/>
          <w:sz w:val="21"/>
          <w:szCs w:val="21"/>
        </w:rPr>
        <w:t>实际上，复盘此前德尔塔毒株大流行时可以发现，这与疫苗分配有密切关系。一些国家疫苗接种率低，德尔塔变异毒株作为传染性更强的毒株在没有疫苗的保护屏障下，迅速在其国内传播，并导致全球传播。新变异株的出现和蔓延与全球疫苗分配不公密不可分。</w:t>
      </w:r>
    </w:p>
    <w:p>
      <w:pPr>
        <w:ind w:firstLine="420" w:firstLineChars="0"/>
        <w:jc w:val="both"/>
        <w:rPr>
          <w:rFonts w:hint="eastAsia" w:asciiTheme="minorEastAsia" w:hAnsiTheme="minorEastAsia" w:eastAsiaTheme="minorEastAsia" w:cstheme="minorEastAsia"/>
          <w:i w:val="0"/>
          <w:iCs w:val="0"/>
          <w:caps w:val="0"/>
          <w:color w:val="000000"/>
          <w:spacing w:val="0"/>
          <w:sz w:val="21"/>
          <w:szCs w:val="21"/>
        </w:rPr>
      </w:pPr>
      <w:r>
        <w:rPr>
          <w:rFonts w:hint="eastAsia" w:asciiTheme="minorEastAsia" w:hAnsiTheme="minorEastAsia" w:eastAsiaTheme="minorEastAsia" w:cstheme="minorEastAsia"/>
          <w:i w:val="0"/>
          <w:iCs w:val="0"/>
          <w:caps w:val="0"/>
          <w:color w:val="000000"/>
          <w:spacing w:val="0"/>
          <w:sz w:val="21"/>
          <w:szCs w:val="21"/>
        </w:rPr>
        <w:t>此外，值得关注的是，新冠肺炎的大流行催生了超级细菌，疫情期间对抗生素的过度或不当使用使其产生了抗药性。而抗生素的失效，伴随而来的是感染致命率的大幅提升。由于新冠肺炎疫情期间对抗生素的过度和不正确使用，使得很多抗生素已不再有效，并产生了抗药性。西班牙国家抗生素耐药性计划负责人克里斯蒂娜·穆尼奥斯表示，随着抗生素的逐渐失效，任何感染都可能致命，这或将导致人类医学水平倒退100年。</w:t>
      </w:r>
    </w:p>
    <w:p>
      <w:pPr>
        <w:keepNext w:val="0"/>
        <w:keepLines w:val="0"/>
        <w:pageBreakBefore w:val="0"/>
        <w:kinsoku/>
        <w:wordWrap/>
        <w:overflowPunct/>
        <w:topLinePunct w:val="0"/>
        <w:autoSpaceDE/>
        <w:autoSpaceDN/>
        <w:bidi w:val="0"/>
        <w:adjustRightInd/>
        <w:snapToGrid/>
        <w:jc w:val="both"/>
        <w:textAlignment w:val="auto"/>
        <w:rPr>
          <w:rStyle w:val="9"/>
          <w:rFonts w:hint="eastAsia" w:asciiTheme="minorEastAsia" w:hAnsiTheme="minorEastAsia" w:eastAsiaTheme="minorEastAsia" w:cstheme="minorEastAsia"/>
          <w:b/>
          <w:bCs/>
          <w:i w:val="0"/>
          <w:iCs w:val="0"/>
          <w:caps w:val="0"/>
          <w:color w:val="000000"/>
          <w:spacing w:val="0"/>
          <w:sz w:val="21"/>
          <w:szCs w:val="21"/>
        </w:rPr>
      </w:pPr>
      <w:r>
        <w:rPr>
          <w:rStyle w:val="9"/>
          <w:rFonts w:hint="eastAsia" w:asciiTheme="minorEastAsia" w:hAnsiTheme="minorEastAsia" w:eastAsiaTheme="minorEastAsia" w:cstheme="minorEastAsia"/>
          <w:b/>
          <w:bCs/>
          <w:i w:val="0"/>
          <w:iCs w:val="0"/>
          <w:caps w:val="0"/>
          <w:color w:val="000000"/>
          <w:spacing w:val="0"/>
          <w:sz w:val="21"/>
          <w:szCs w:val="21"/>
        </w:rPr>
        <w:t>疫苗分配为何不公</w:t>
      </w:r>
    </w:p>
    <w:p>
      <w:pPr>
        <w:keepNext w:val="0"/>
        <w:keepLines w:val="0"/>
        <w:pageBreakBefore w:val="0"/>
        <w:kinsoku/>
        <w:wordWrap/>
        <w:overflowPunct/>
        <w:topLinePunct w:val="0"/>
        <w:autoSpaceDE/>
        <w:autoSpaceDN/>
        <w:bidi w:val="0"/>
        <w:adjustRightInd/>
        <w:snapToGrid/>
        <w:jc w:val="both"/>
        <w:textAlignment w:val="auto"/>
        <w:rPr>
          <w:rStyle w:val="9"/>
          <w:rFonts w:hint="eastAsia" w:asciiTheme="minorEastAsia" w:hAnsiTheme="minorEastAsia" w:eastAsiaTheme="minorEastAsia" w:cstheme="minorEastAsia"/>
          <w:b/>
          <w:bCs/>
          <w:i w:val="0"/>
          <w:iCs w:val="0"/>
          <w:caps w:val="0"/>
          <w:color w:val="000000"/>
          <w:spacing w:val="0"/>
          <w:sz w:val="21"/>
          <w:szCs w:val="21"/>
        </w:rPr>
      </w:pPr>
      <w:r>
        <w:rPr>
          <w:rStyle w:val="9"/>
          <w:rFonts w:hint="eastAsia" w:asciiTheme="minorEastAsia" w:hAnsiTheme="minorEastAsia" w:eastAsiaTheme="minorEastAsia" w:cstheme="minorEastAsia"/>
          <w:b/>
          <w:bCs/>
          <w:i w:val="0"/>
          <w:iCs w:val="0"/>
          <w:caps w:val="0"/>
          <w:color w:val="000000"/>
          <w:spacing w:val="0"/>
          <w:sz w:val="21"/>
          <w:szCs w:val="21"/>
          <w:lang w:eastAsia="zh-CN"/>
        </w:rPr>
        <w:t>（</w:t>
      </w:r>
      <w:r>
        <w:rPr>
          <w:rStyle w:val="9"/>
          <w:rFonts w:hint="eastAsia" w:asciiTheme="minorEastAsia" w:hAnsiTheme="minorEastAsia" w:eastAsiaTheme="minorEastAsia" w:cstheme="minorEastAsia"/>
          <w:b/>
          <w:bCs/>
          <w:i w:val="0"/>
          <w:iCs w:val="0"/>
          <w:caps w:val="0"/>
          <w:color w:val="000000"/>
          <w:spacing w:val="0"/>
          <w:sz w:val="21"/>
          <w:szCs w:val="21"/>
          <w:lang w:val="en-US" w:eastAsia="zh-CN"/>
        </w:rPr>
        <w:t>1</w:t>
      </w:r>
      <w:r>
        <w:rPr>
          <w:rStyle w:val="9"/>
          <w:rFonts w:hint="eastAsia" w:asciiTheme="minorEastAsia" w:hAnsiTheme="minorEastAsia" w:eastAsiaTheme="minorEastAsia" w:cstheme="minorEastAsia"/>
          <w:b/>
          <w:bCs/>
          <w:i w:val="0"/>
          <w:iCs w:val="0"/>
          <w:caps w:val="0"/>
          <w:color w:val="000000"/>
          <w:spacing w:val="0"/>
          <w:sz w:val="21"/>
          <w:szCs w:val="21"/>
          <w:lang w:eastAsia="zh-CN"/>
        </w:rPr>
        <w:t>）</w:t>
      </w:r>
      <w:r>
        <w:rPr>
          <w:rStyle w:val="9"/>
          <w:rFonts w:hint="eastAsia" w:asciiTheme="minorEastAsia" w:hAnsiTheme="minorEastAsia" w:eastAsiaTheme="minorEastAsia" w:cstheme="minorEastAsia"/>
          <w:b/>
          <w:bCs/>
          <w:i w:val="0"/>
          <w:iCs w:val="0"/>
          <w:caps w:val="0"/>
          <w:color w:val="000000"/>
          <w:spacing w:val="0"/>
          <w:sz w:val="21"/>
          <w:szCs w:val="21"/>
        </w:rPr>
        <w:t>经济水平差异显著</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420" w:afterAutospacing="0" w:line="33" w:lineRule="atLeast"/>
        <w:ind w:left="0" w:right="0" w:firstLine="420" w:firstLineChars="200"/>
        <w:textAlignment w:val="auto"/>
        <w:rPr>
          <w:rFonts w:hint="eastAsia" w:asciiTheme="minorEastAsia" w:hAnsiTheme="minorEastAsia" w:eastAsiaTheme="minorEastAsia" w:cstheme="minorEastAsia"/>
          <w:i w:val="0"/>
          <w:iCs w:val="0"/>
          <w:caps w:val="0"/>
          <w:color w:val="000000"/>
          <w:spacing w:val="0"/>
          <w:sz w:val="21"/>
          <w:szCs w:val="21"/>
          <w:bdr w:val="none" w:color="auto" w:sz="0" w:space="0"/>
        </w:rPr>
      </w:pPr>
      <w:r>
        <w:rPr>
          <w:rFonts w:hint="eastAsia" w:asciiTheme="minorEastAsia" w:hAnsiTheme="minorEastAsia" w:eastAsiaTheme="minorEastAsia" w:cstheme="minorEastAsia"/>
          <w:i w:val="0"/>
          <w:iCs w:val="0"/>
          <w:caps w:val="0"/>
          <w:color w:val="000000"/>
          <w:spacing w:val="0"/>
          <w:sz w:val="21"/>
          <w:szCs w:val="21"/>
        </w:rPr>
        <w:t>疫苗研发有着费时费力的特点。</w:t>
      </w:r>
      <w:r>
        <w:rPr>
          <w:rFonts w:hint="eastAsia" w:asciiTheme="minorEastAsia" w:hAnsiTheme="minorEastAsia" w:eastAsiaTheme="minorEastAsia" w:cstheme="minorEastAsia"/>
          <w:i w:val="0"/>
          <w:iCs w:val="0"/>
          <w:caps w:val="0"/>
          <w:color w:val="000000"/>
          <w:spacing w:val="0"/>
          <w:sz w:val="21"/>
          <w:szCs w:val="21"/>
          <w:bdr w:val="none" w:color="auto" w:sz="0" w:space="0"/>
        </w:rPr>
        <w:t>疫苗的开发耗时费力。一个疫苗从基础研发到生产往往需要消耗10年以上、数十亿美元投资。对于一些主要发生在中低收入国家的传染病，例如疟疾，任何一个单一市场的前景都难以撬动企业为此承担巨大的风险。</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420" w:afterAutospacing="0" w:line="33" w:lineRule="atLeast"/>
        <w:ind w:left="0" w:right="0" w:firstLine="420" w:firstLineChars="200"/>
        <w:textAlignment w:val="auto"/>
        <w:rPr>
          <w:rFonts w:hint="eastAsia" w:asciiTheme="minorEastAsia" w:hAnsiTheme="minorEastAsia" w:eastAsiaTheme="minorEastAsia" w:cstheme="minorEastAsia"/>
          <w:i w:val="0"/>
          <w:iCs w:val="0"/>
          <w:caps w:val="0"/>
          <w:color w:val="000000"/>
          <w:spacing w:val="0"/>
          <w:sz w:val="21"/>
          <w:szCs w:val="21"/>
          <w:bdr w:val="none" w:color="auto" w:sz="0" w:space="0"/>
        </w:rPr>
      </w:pPr>
      <w:r>
        <w:rPr>
          <w:rFonts w:hint="eastAsia" w:asciiTheme="minorEastAsia" w:hAnsiTheme="minorEastAsia" w:eastAsiaTheme="minorEastAsia" w:cstheme="minorEastAsia"/>
          <w:i w:val="0"/>
          <w:iCs w:val="0"/>
          <w:caps w:val="0"/>
          <w:color w:val="000000"/>
          <w:spacing w:val="0"/>
          <w:sz w:val="21"/>
          <w:szCs w:val="21"/>
          <w:bdr w:val="none" w:color="auto" w:sz="0" w:space="0"/>
        </w:rPr>
        <w:t>经济发展水平制约着疫苗的研发和制造工作。以美国疫苗制造商莫德纳公司为例。据了解，美国政府对疫苗研发给予了种种支持，包括曾派出科学家与莫德纳共同研发疫苗，以及为莫德纳疫苗的研发出资14亿美元、为其生产出资81亿美元。而一些经济不发达国家和地区受资金、技术、人才等因素限制，疫苗短缺问题凸显。</w:t>
      </w:r>
    </w:p>
    <w:p>
      <w:pPr>
        <w:pStyle w:val="6"/>
        <w:keepNext w:val="0"/>
        <w:keepLines w:val="0"/>
        <w:pageBreakBefore w:val="0"/>
        <w:widowControl/>
        <w:numPr>
          <w:ilvl w:val="0"/>
          <w:numId w:val="3"/>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420" w:afterAutospacing="0" w:line="33" w:lineRule="atLeast"/>
        <w:ind w:left="0" w:right="0" w:firstLine="0"/>
        <w:textAlignment w:val="auto"/>
        <w:rPr>
          <w:rStyle w:val="9"/>
          <w:rFonts w:hint="eastAsia" w:asciiTheme="minorEastAsia" w:hAnsiTheme="minorEastAsia" w:eastAsiaTheme="minorEastAsia" w:cstheme="minorEastAsia"/>
          <w:b/>
          <w:bCs/>
          <w:i w:val="0"/>
          <w:iCs w:val="0"/>
          <w:caps w:val="0"/>
          <w:color w:val="000000"/>
          <w:spacing w:val="0"/>
          <w:sz w:val="21"/>
          <w:szCs w:val="21"/>
        </w:rPr>
      </w:pPr>
      <w:r>
        <w:rPr>
          <w:rStyle w:val="9"/>
          <w:rFonts w:hint="eastAsia" w:asciiTheme="minorEastAsia" w:hAnsiTheme="minorEastAsia" w:eastAsiaTheme="minorEastAsia" w:cstheme="minorEastAsia"/>
          <w:b/>
          <w:bCs/>
          <w:i w:val="0"/>
          <w:iCs w:val="0"/>
          <w:caps w:val="0"/>
          <w:color w:val="000000"/>
          <w:spacing w:val="0"/>
          <w:sz w:val="21"/>
          <w:szCs w:val="21"/>
        </w:rPr>
        <w:t>囤积疫苗拉大不均</w:t>
      </w:r>
    </w:p>
    <w:p>
      <w:pPr>
        <w:pStyle w:val="6"/>
        <w:keepNext w:val="0"/>
        <w:keepLines w:val="0"/>
        <w:pageBreakBefore w:val="0"/>
        <w:widowControl/>
        <w:numPr>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420" w:afterAutospacing="0" w:line="33" w:lineRule="atLeast"/>
        <w:ind w:leftChars="0" w:right="0" w:rightChars="0" w:firstLine="420" w:firstLineChars="200"/>
        <w:textAlignment w:val="auto"/>
        <w:rPr>
          <w:rFonts w:hint="eastAsia" w:asciiTheme="minorEastAsia" w:hAnsiTheme="minorEastAsia" w:eastAsiaTheme="minorEastAsia" w:cstheme="minorEastAsia"/>
          <w:i w:val="0"/>
          <w:iCs w:val="0"/>
          <w:caps w:val="0"/>
          <w:color w:val="000000"/>
          <w:spacing w:val="0"/>
          <w:sz w:val="21"/>
          <w:szCs w:val="21"/>
        </w:rPr>
      </w:pPr>
      <w:r>
        <w:rPr>
          <w:rFonts w:hint="eastAsia" w:asciiTheme="minorEastAsia" w:hAnsiTheme="minorEastAsia" w:eastAsiaTheme="minorEastAsia" w:cstheme="minorEastAsia"/>
          <w:i w:val="0"/>
          <w:iCs w:val="0"/>
          <w:caps w:val="0"/>
          <w:color w:val="000000"/>
          <w:spacing w:val="0"/>
          <w:sz w:val="21"/>
          <w:szCs w:val="21"/>
        </w:rPr>
        <w:t>部分发达国家囤积疫苗的行为使得新冠疫苗未能得到有效利用。</w:t>
      </w:r>
    </w:p>
    <w:p>
      <w:pPr>
        <w:pStyle w:val="6"/>
        <w:keepNext w:val="0"/>
        <w:keepLines w:val="0"/>
        <w:pageBreakBefore w:val="0"/>
        <w:widowControl/>
        <w:numPr>
          <w:ilvl w:val="0"/>
          <w:numId w:val="4"/>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420" w:afterAutospacing="0" w:line="33" w:lineRule="atLeast"/>
        <w:ind w:leftChars="0" w:right="0" w:rightChars="0"/>
        <w:textAlignment w:val="auto"/>
        <w:rPr>
          <w:rStyle w:val="9"/>
          <w:rFonts w:hint="eastAsia" w:asciiTheme="minorEastAsia" w:hAnsiTheme="minorEastAsia" w:eastAsiaTheme="minorEastAsia" w:cstheme="minorEastAsia"/>
          <w:b/>
          <w:bCs/>
          <w:i w:val="0"/>
          <w:iCs w:val="0"/>
          <w:caps w:val="0"/>
          <w:color w:val="000000"/>
          <w:spacing w:val="0"/>
          <w:sz w:val="21"/>
          <w:szCs w:val="21"/>
        </w:rPr>
      </w:pPr>
      <w:r>
        <w:rPr>
          <w:rStyle w:val="9"/>
          <w:rFonts w:hint="eastAsia" w:asciiTheme="minorEastAsia" w:hAnsiTheme="minorEastAsia" w:eastAsiaTheme="minorEastAsia" w:cstheme="minorEastAsia"/>
          <w:b/>
          <w:bCs/>
          <w:i w:val="0"/>
          <w:iCs w:val="0"/>
          <w:caps w:val="0"/>
          <w:color w:val="000000"/>
          <w:spacing w:val="0"/>
          <w:sz w:val="21"/>
          <w:szCs w:val="21"/>
        </w:rPr>
        <w:t>疫苗配送环节受阻</w:t>
      </w:r>
    </w:p>
    <w:p>
      <w:pPr>
        <w:pStyle w:val="6"/>
        <w:keepNext w:val="0"/>
        <w:keepLines w:val="0"/>
        <w:pageBreakBefore w:val="0"/>
        <w:widowControl/>
        <w:numPr>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420" w:afterAutospacing="0" w:line="33" w:lineRule="atLeast"/>
        <w:ind w:right="0" w:rightChars="0" w:firstLine="420" w:firstLineChars="200"/>
        <w:textAlignment w:val="auto"/>
        <w:rPr>
          <w:rStyle w:val="9"/>
          <w:rFonts w:hint="default" w:ascii="微软雅黑" w:hAnsi="微软雅黑" w:eastAsia="微软雅黑" w:cs="微软雅黑"/>
          <w:b/>
          <w:bCs/>
          <w:i w:val="0"/>
          <w:iCs w:val="0"/>
          <w:caps w:val="0"/>
          <w:color w:val="000000"/>
          <w:spacing w:val="0"/>
          <w:sz w:val="27"/>
          <w:szCs w:val="27"/>
          <w:lang w:val="en-US" w:eastAsia="zh-CN"/>
        </w:rPr>
      </w:pPr>
      <w:r>
        <w:rPr>
          <w:rFonts w:hint="eastAsia" w:asciiTheme="minorEastAsia" w:hAnsiTheme="minorEastAsia" w:eastAsiaTheme="minorEastAsia" w:cstheme="minorEastAsia"/>
          <w:i w:val="0"/>
          <w:iCs w:val="0"/>
          <w:caps w:val="0"/>
          <w:color w:val="000000"/>
          <w:spacing w:val="0"/>
          <w:sz w:val="21"/>
          <w:szCs w:val="21"/>
        </w:rPr>
        <w:t>此外，疫苗配送环节也面临着一些难题。为了保障疫苗运达时有效，疫苗需要满足特定的冷链存储和物流运输要求。由于不同疫苗研发时采用的技术路线不同，其对于运输和储存环境的要求也存在显著差异。</w:t>
      </w:r>
    </w:p>
    <w:p>
      <w:pPr>
        <w:jc w:val="both"/>
        <w:rPr>
          <w:rStyle w:val="9"/>
          <w:rFonts w:hint="eastAsia" w:ascii="微软雅黑" w:hAnsi="微软雅黑" w:eastAsia="微软雅黑" w:cs="微软雅黑"/>
          <w:b/>
          <w:bCs/>
          <w:i w:val="0"/>
          <w:iCs w:val="0"/>
          <w:caps w:val="0"/>
          <w:color w:val="000000"/>
          <w:spacing w:val="0"/>
          <w:sz w:val="27"/>
          <w:szCs w:val="27"/>
        </w:rPr>
      </w:pPr>
    </w:p>
    <w:p>
      <w:pPr>
        <w:jc w:val="both"/>
        <w:rPr>
          <w:rFonts w:hint="eastAsia" w:asciiTheme="minorEastAsia" w:hAnsiTheme="minorEastAsia" w:eastAsiaTheme="minorEastAsia" w:cstheme="minorEastAsia"/>
          <w:i w:val="0"/>
          <w:iCs w:val="0"/>
          <w:caps w:val="0"/>
          <w:color w:val="000000"/>
          <w:spacing w:val="0"/>
          <w:sz w:val="21"/>
          <w:szCs w:val="21"/>
          <w:lang w:val="en-US" w:eastAsia="zh-CN"/>
        </w:rPr>
      </w:pPr>
    </w:p>
    <w:p>
      <w:pPr>
        <w:numPr>
          <w:ilvl w:val="0"/>
          <w:numId w:val="0"/>
        </w:numPr>
        <w:rPr>
          <w:rFonts w:hint="default" w:ascii="宋体" w:hAnsi="宋体" w:eastAsia="宋体" w:cs="宋体"/>
          <w:sz w:val="24"/>
          <w:szCs w:val="24"/>
          <w:lang w:val="en-US" w:eastAsia="zh-CN"/>
        </w:rPr>
      </w:pPr>
    </w:p>
    <w:p>
      <w:pPr>
        <w:pStyle w:val="2"/>
        <w:numPr>
          <w:ilvl w:val="0"/>
          <w:numId w:val="1"/>
        </w:numPr>
      </w:pPr>
      <w:r>
        <w:rPr>
          <w:rFonts w:hint="eastAsia"/>
        </w:rPr>
        <w:t>国内情况</w:t>
      </w:r>
    </w:p>
    <w:p>
      <w:pPr>
        <w:pStyle w:val="3"/>
        <w:rPr>
          <w:rFonts w:hint="eastAsia"/>
        </w:rPr>
      </w:pPr>
      <w:r>
        <w:rPr>
          <w:rFonts w:hint="eastAsia"/>
        </w:rPr>
        <w:t>1.PPI</w:t>
      </w:r>
    </w:p>
    <w:p>
      <w:r>
        <w:drawing>
          <wp:inline distT="0" distB="0" distL="0" distR="0">
            <wp:extent cx="5274310" cy="295275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1"/>
                    <a:stretch>
                      <a:fillRect/>
                    </a:stretch>
                  </pic:blipFill>
                  <pic:spPr>
                    <a:xfrm>
                      <a:off x="0" y="0"/>
                      <a:ext cx="5274310" cy="2952750"/>
                    </a:xfrm>
                    <a:prstGeom prst="rect">
                      <a:avLst/>
                    </a:prstGeom>
                  </pic:spPr>
                </pic:pic>
              </a:graphicData>
            </a:graphic>
          </wp:inline>
        </w:drawing>
      </w:r>
    </w:p>
    <w:p>
      <w:pPr>
        <w:jc w:val="center"/>
        <w:rPr>
          <w:sz w:val="18"/>
          <w:szCs w:val="20"/>
        </w:rPr>
      </w:pPr>
      <w:r>
        <w:rPr>
          <w:rFonts w:hint="eastAsia"/>
          <w:sz w:val="18"/>
          <w:szCs w:val="20"/>
        </w:rPr>
        <w:t>图</w:t>
      </w:r>
      <w:r>
        <w:rPr>
          <w:rFonts w:hint="eastAsia"/>
          <w:sz w:val="18"/>
          <w:szCs w:val="20"/>
          <w:lang w:val="en-US" w:eastAsia="zh-CN"/>
        </w:rPr>
        <w:t>8</w:t>
      </w:r>
      <w:r>
        <w:rPr>
          <w:sz w:val="18"/>
          <w:szCs w:val="20"/>
        </w:rPr>
        <w:t xml:space="preserve"> 2019</w:t>
      </w:r>
      <w:r>
        <w:rPr>
          <w:rFonts w:hint="eastAsia"/>
          <w:sz w:val="18"/>
          <w:szCs w:val="20"/>
        </w:rPr>
        <w:t>~</w:t>
      </w:r>
      <w:r>
        <w:rPr>
          <w:sz w:val="18"/>
          <w:szCs w:val="20"/>
        </w:rPr>
        <w:t>2021</w:t>
      </w:r>
      <w:r>
        <w:rPr>
          <w:rFonts w:hint="eastAsia"/>
          <w:sz w:val="18"/>
          <w:szCs w:val="20"/>
        </w:rPr>
        <w:t>年</w:t>
      </w:r>
      <w:r>
        <w:rPr>
          <w:sz w:val="18"/>
          <w:szCs w:val="20"/>
        </w:rPr>
        <w:t>PPI</w:t>
      </w:r>
    </w:p>
    <w:p>
      <w:pPr>
        <w:ind w:firstLine="420"/>
      </w:pPr>
      <w:r>
        <w:rPr>
          <w:rFonts w:hint="eastAsia"/>
        </w:rPr>
        <w:t>PPI即中国工业品出口价格指数数据，反映工业品价格变动趋势和变动程度。</w:t>
      </w:r>
    </w:p>
    <w:p>
      <w:pPr>
        <w:ind w:firstLine="420"/>
      </w:pPr>
      <w:r>
        <w:rPr>
          <w:rFonts w:hint="eastAsia"/>
        </w:rPr>
        <w:t>2</w:t>
      </w:r>
      <w:r>
        <w:t>019</w:t>
      </w:r>
      <w:r>
        <w:rPr>
          <w:rFonts w:hint="eastAsia"/>
        </w:rPr>
        <w:t>年至2</w:t>
      </w:r>
      <w:r>
        <w:t>021</w:t>
      </w:r>
      <w:r>
        <w:rPr>
          <w:rFonts w:hint="eastAsia"/>
        </w:rPr>
        <w:t>年，PPI大多是负数，由于贸易战和大众</w:t>
      </w:r>
      <w:r>
        <w:t>需求</w:t>
      </w:r>
      <w:r>
        <w:rPr>
          <w:rFonts w:hint="eastAsia"/>
        </w:rPr>
        <w:t>的减少，再加上中美关系的不确定性增加使得宏观经济形成了较为一致的悲观预期</w:t>
      </w:r>
      <w:r>
        <w:t>导致商品出厂价格下降，工业企业负债率高</w:t>
      </w:r>
      <w:r>
        <w:rPr>
          <w:rFonts w:hint="eastAsia"/>
        </w:rPr>
        <w:t>，</w:t>
      </w:r>
      <w:r>
        <w:t>生产压力大，消费者对市场大件</w:t>
      </w:r>
      <w:r>
        <w:rPr>
          <w:rFonts w:hint="eastAsia"/>
        </w:rPr>
        <w:t>，如</w:t>
      </w:r>
      <w:r>
        <w:t>汽车</w:t>
      </w:r>
      <w:r>
        <w:rPr>
          <w:rFonts w:hint="eastAsia"/>
        </w:rPr>
        <w:t>、</w:t>
      </w:r>
      <w:r>
        <w:t>房产的购买力下降，工厂在此背景下去产能</w:t>
      </w:r>
      <w:r>
        <w:rPr>
          <w:rFonts w:hint="eastAsia"/>
        </w:rPr>
        <w:t>、</w:t>
      </w:r>
      <w:r>
        <w:t>去库存</w:t>
      </w:r>
      <w:r>
        <w:rPr>
          <w:rFonts w:hint="eastAsia"/>
        </w:rPr>
        <w:t>最后导致</w:t>
      </w:r>
      <w:r>
        <w:t>PPI下行。</w:t>
      </w:r>
    </w:p>
    <w:p>
      <w:pPr>
        <w:ind w:firstLine="420"/>
      </w:pPr>
      <w:r>
        <w:rPr>
          <w:rFonts w:hint="eastAsia"/>
        </w:rPr>
        <w:t>但</w:t>
      </w:r>
      <w:r>
        <w:t>2021年PPI同比增速大幅走高，甚至在10月份创历史新高</w:t>
      </w:r>
      <w:r>
        <w:rPr>
          <w:rFonts w:hint="eastAsia"/>
        </w:rPr>
        <w:t>，</w:t>
      </w:r>
      <w:r>
        <w:t>主要</w:t>
      </w:r>
      <w:r>
        <w:rPr>
          <w:rFonts w:hint="eastAsia"/>
        </w:rPr>
        <w:t>原因在于</w:t>
      </w:r>
      <w:r>
        <w:t>受</w:t>
      </w:r>
      <w:r>
        <w:rPr>
          <w:rFonts w:hint="eastAsia"/>
        </w:rPr>
        <w:t>到</w:t>
      </w:r>
      <w:r>
        <w:t>供需缺口影响。</w:t>
      </w:r>
      <w:r>
        <w:rPr>
          <w:rFonts w:hint="eastAsia"/>
        </w:rPr>
        <w:t>由于疫情的影响，货物消费代替服务消费，以及疫情冲击导致全球主要原材料供给收缩的影响，疫情后全球经济恢复性增长使原材料需求增加。尤其是国内煤炭价格波动的影响。进入冬季后，煤炭需求旺盛、国内供应偏紧，海外进口不如往年等综合因素影响，煤炭供不应求，价格持续上涨。</w:t>
      </w:r>
    </w:p>
    <w:p>
      <w:pPr>
        <w:pStyle w:val="3"/>
        <w:rPr>
          <w:rFonts w:hint="eastAsia"/>
        </w:rPr>
      </w:pPr>
      <w:r>
        <w:t>2.</w:t>
      </w:r>
      <w:r>
        <w:rPr>
          <w:rFonts w:hint="eastAsia"/>
        </w:rPr>
        <w:t>PMI</w:t>
      </w:r>
    </w:p>
    <w:p>
      <w:pPr>
        <w:rPr>
          <w:rFonts w:hint="eastAsia"/>
        </w:rPr>
      </w:pPr>
    </w:p>
    <w:p>
      <w:pPr>
        <w:jc w:val="center"/>
      </w:pPr>
      <w:r>
        <w:drawing>
          <wp:inline distT="0" distB="0" distL="0" distR="0">
            <wp:extent cx="4802505" cy="276288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2"/>
                    <a:stretch>
                      <a:fillRect/>
                    </a:stretch>
                  </pic:blipFill>
                  <pic:spPr>
                    <a:xfrm>
                      <a:off x="0" y="0"/>
                      <a:ext cx="4803292" cy="2763657"/>
                    </a:xfrm>
                    <a:prstGeom prst="rect">
                      <a:avLst/>
                    </a:prstGeom>
                  </pic:spPr>
                </pic:pic>
              </a:graphicData>
            </a:graphic>
          </wp:inline>
        </w:drawing>
      </w:r>
    </w:p>
    <w:p>
      <w:pPr>
        <w:jc w:val="center"/>
        <w:rPr>
          <w:rFonts w:hint="eastAsia"/>
        </w:rPr>
      </w:pPr>
      <w:r>
        <w:rPr>
          <w:rFonts w:hint="eastAsia"/>
        </w:rPr>
        <w:t>图</w:t>
      </w:r>
      <w:r>
        <w:rPr>
          <w:rFonts w:hint="eastAsia"/>
          <w:lang w:val="en-US" w:eastAsia="zh-CN"/>
        </w:rPr>
        <w:t>9</w:t>
      </w:r>
      <w:r>
        <w:t xml:space="preserve"> 2019</w:t>
      </w:r>
      <w:r>
        <w:rPr>
          <w:rFonts w:hint="eastAsia"/>
        </w:rPr>
        <w:t>~</w:t>
      </w:r>
      <w:r>
        <w:t>2021</w:t>
      </w:r>
      <w:r>
        <w:rPr>
          <w:rFonts w:hint="eastAsia"/>
        </w:rPr>
        <w:t>年PMI</w:t>
      </w:r>
    </w:p>
    <w:p>
      <w:pPr>
        <w:ind w:firstLine="420"/>
        <w:rPr>
          <w:rFonts w:hint="eastAsia"/>
        </w:rPr>
      </w:pPr>
      <w:r>
        <w:t>PMI</w:t>
      </w:r>
      <w:r>
        <w:rPr>
          <w:rFonts w:hint="eastAsia"/>
        </w:rPr>
        <w:t>采购经理指数</w:t>
      </w:r>
      <w:r>
        <w:t>，包括制造业和非制造业领域，是监测宏观经济走势的先行性指数</w:t>
      </w:r>
      <w:r>
        <w:rPr>
          <w:rFonts w:hint="eastAsia"/>
        </w:rPr>
        <w:t>。</w:t>
      </w:r>
      <w:r>
        <w:t>通常以50作为经济强弱的分界点，PMI高于50时，反映经济总体扩张；低于50，则反映经济总体收缩。</w:t>
      </w:r>
    </w:p>
    <w:p>
      <w:pPr>
        <w:ind w:firstLine="420"/>
      </w:pPr>
      <w:r>
        <w:t>2020年</w:t>
      </w:r>
      <w:r>
        <w:rPr>
          <w:rFonts w:hint="eastAsia"/>
        </w:rPr>
        <w:t>2月</w:t>
      </w:r>
      <w:r>
        <w:t>新型冠状肺炎疫情爆发，</w:t>
      </w:r>
      <w:r>
        <w:rPr>
          <w:rFonts w:hint="eastAsia"/>
        </w:rPr>
        <w:t>同期PMI出现断崖式下跌，</w:t>
      </w:r>
      <w:r>
        <w:t>我国大批制造企业停工停产</w:t>
      </w:r>
      <w:r>
        <w:rPr>
          <w:rFonts w:hint="eastAsia"/>
        </w:rPr>
        <w:t>，企业大多不复工，商场也不营业。2月份作为住宿、餐饮、旅游、娱乐等服务业旺季，全员居家隔离，服务业受到具大冲击。而且在此之前，非制造业</w:t>
      </w:r>
      <w:r>
        <w:t>PMI</w:t>
      </w:r>
      <w:r>
        <w:rPr>
          <w:rFonts w:hint="eastAsia"/>
        </w:rPr>
        <w:t>几乎</w:t>
      </w:r>
      <w:r>
        <w:t>都是高于制造业PMI，</w:t>
      </w:r>
      <w:r>
        <w:rPr>
          <w:rFonts w:hint="eastAsia"/>
        </w:rPr>
        <w:t>这次</w:t>
      </w:r>
      <w:r>
        <w:t>疫情之下，非制造业受到的影响更大。</w:t>
      </w:r>
      <w:r>
        <w:rPr>
          <w:rFonts w:hint="eastAsia"/>
        </w:rPr>
        <w:t>疫情后我国制造业经济逐步回升，并逐渐趋于平稳。</w:t>
      </w:r>
    </w:p>
    <w:p>
      <w:pPr>
        <w:pStyle w:val="3"/>
        <w:rPr>
          <w:rFonts w:hint="eastAsia"/>
        </w:rPr>
      </w:pPr>
      <w:r>
        <w:t>3.</w:t>
      </w:r>
      <w:r>
        <w:rPr>
          <w:rFonts w:hint="eastAsia"/>
        </w:rPr>
        <w:t>企业家和消费者信心指数</w:t>
      </w:r>
    </w:p>
    <w:p>
      <w:pPr>
        <w:jc w:val="center"/>
      </w:pPr>
      <w:r>
        <w:drawing>
          <wp:inline distT="0" distB="0" distL="0" distR="0">
            <wp:extent cx="5274310" cy="294005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3"/>
                    <a:stretch>
                      <a:fillRect/>
                    </a:stretch>
                  </pic:blipFill>
                  <pic:spPr>
                    <a:xfrm>
                      <a:off x="0" y="0"/>
                      <a:ext cx="5274310" cy="2940050"/>
                    </a:xfrm>
                    <a:prstGeom prst="rect">
                      <a:avLst/>
                    </a:prstGeom>
                  </pic:spPr>
                </pic:pic>
              </a:graphicData>
            </a:graphic>
          </wp:inline>
        </w:drawing>
      </w:r>
    </w:p>
    <w:p>
      <w:pPr>
        <w:jc w:val="center"/>
        <w:rPr>
          <w:rFonts w:hint="eastAsia"/>
          <w:sz w:val="18"/>
          <w:szCs w:val="20"/>
        </w:rPr>
      </w:pPr>
      <w:r>
        <w:rPr>
          <w:rFonts w:hint="eastAsia"/>
          <w:sz w:val="18"/>
          <w:szCs w:val="20"/>
        </w:rPr>
        <w:t>图</w:t>
      </w:r>
      <w:r>
        <w:rPr>
          <w:rFonts w:hint="eastAsia"/>
          <w:sz w:val="18"/>
          <w:szCs w:val="20"/>
          <w:lang w:val="en-US" w:eastAsia="zh-CN"/>
        </w:rPr>
        <w:t>10</w:t>
      </w:r>
      <w:r>
        <w:rPr>
          <w:sz w:val="18"/>
          <w:szCs w:val="20"/>
        </w:rPr>
        <w:t xml:space="preserve"> </w:t>
      </w:r>
      <w:r>
        <w:rPr>
          <w:rFonts w:hint="eastAsia"/>
          <w:sz w:val="18"/>
          <w:szCs w:val="20"/>
        </w:rPr>
        <w:t>企业家和消费者信心指数</w:t>
      </w:r>
    </w:p>
    <w:p>
      <w:pPr>
        <w:ind w:firstLine="420"/>
      </w:pPr>
      <w:r>
        <w:t>2020年</w:t>
      </w:r>
      <w:r>
        <w:rPr>
          <w:rFonts w:hint="eastAsia"/>
        </w:rPr>
        <w:t>第1季度</w:t>
      </w:r>
      <w:r>
        <w:t>前，消费者信心基本平稳，当年</w:t>
      </w:r>
      <w:r>
        <w:rPr>
          <w:rFonts w:hint="eastAsia"/>
        </w:rPr>
        <w:t>第1季度大幅度下降，</w:t>
      </w:r>
      <w:r>
        <w:t>尽管2021年有所恢复，但2021年</w:t>
      </w:r>
      <w:r>
        <w:rPr>
          <w:rFonts w:hint="eastAsia"/>
        </w:rPr>
        <w:t>第2</w:t>
      </w:r>
      <w:r>
        <w:t>季度之后仍处于下降趋势。企业家景气指数自2020年疫情出现降至历史最低点</w:t>
      </w:r>
      <w:r>
        <w:rPr>
          <w:rFonts w:hint="eastAsia"/>
        </w:rPr>
        <w:t>，</w:t>
      </w:r>
      <w:r>
        <w:t>并逐渐修复，2021年第三季度继续呈现下降趋势。表明消费者对未来经济形势、收入水平保持悲观态度，疫情常态化并存，消费者的预期保持理性，非理性的报复性消费出现可能性较小，且该预期延伸至供给端。</w:t>
      </w:r>
    </w:p>
    <w:p/>
    <w:p>
      <w:pPr>
        <w:numPr>
          <w:ilvl w:val="0"/>
          <w:numId w:val="5"/>
        </w:numPr>
        <w:rPr>
          <w:rFonts w:hint="default" w:asciiTheme="majorEastAsia" w:hAnsiTheme="majorEastAsia" w:eastAsiaTheme="majorEastAsia" w:cstheme="majorEastAsia"/>
          <w:b/>
          <w:bCs/>
          <w:sz w:val="32"/>
          <w:szCs w:val="32"/>
          <w:lang w:val="en-US" w:eastAsia="zh-CN"/>
        </w:rPr>
      </w:pPr>
      <w:r>
        <w:rPr>
          <w:rFonts w:hint="eastAsia"/>
          <w:sz w:val="32"/>
          <w:szCs w:val="32"/>
          <w:lang w:val="en-US" w:eastAsia="zh-CN"/>
        </w:rPr>
        <w:t>消费品零售总额增长率</w:t>
      </w:r>
    </w:p>
    <w:p>
      <w:pPr>
        <w:numPr>
          <w:ilvl w:val="0"/>
          <w:numId w:val="0"/>
        </w:numPr>
        <w:rPr>
          <w:rFonts w:ascii="宋体" w:hAnsi="宋体" w:eastAsia="宋体" w:cs="宋体"/>
          <w:sz w:val="24"/>
          <w:szCs w:val="24"/>
        </w:rPr>
      </w:pPr>
      <w:r>
        <w:rPr>
          <w:rFonts w:ascii="宋体" w:hAnsi="宋体" w:eastAsia="宋体" w:cs="宋体"/>
          <w:sz w:val="24"/>
          <w:szCs w:val="24"/>
        </w:rPr>
        <w:drawing>
          <wp:inline distT="0" distB="0" distL="114300" distR="114300">
            <wp:extent cx="5822950" cy="3298825"/>
            <wp:effectExtent l="0" t="0" r="6350" b="15875"/>
            <wp:docPr id="10"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descr="IMG_256"/>
                    <pic:cNvPicPr>
                      <a:picLocks noChangeAspect="1"/>
                    </pic:cNvPicPr>
                  </pic:nvPicPr>
                  <pic:blipFill>
                    <a:blip r:embed="rId14"/>
                    <a:stretch>
                      <a:fillRect/>
                    </a:stretch>
                  </pic:blipFill>
                  <pic:spPr>
                    <a:xfrm>
                      <a:off x="0" y="0"/>
                      <a:ext cx="5822950" cy="3298825"/>
                    </a:xfrm>
                    <a:prstGeom prst="rect">
                      <a:avLst/>
                    </a:prstGeom>
                    <a:noFill/>
                    <a:ln w="9525">
                      <a:noFill/>
                    </a:ln>
                  </pic:spPr>
                </pic:pic>
              </a:graphicData>
            </a:graphic>
          </wp:inline>
        </w:drawing>
      </w:r>
    </w:p>
    <w:p>
      <w:pPr>
        <w:jc w:val="center"/>
        <w:rPr>
          <w:rFonts w:hint="default" w:ascii="宋体" w:hAnsi="宋体" w:eastAsia="宋体" w:cs="宋体"/>
          <w:sz w:val="24"/>
          <w:szCs w:val="24"/>
          <w:lang w:val="en-US" w:eastAsia="zh-CN"/>
        </w:rPr>
      </w:pPr>
      <w:r>
        <w:rPr>
          <w:rFonts w:hint="eastAsia"/>
          <w:sz w:val="18"/>
          <w:szCs w:val="18"/>
        </w:rPr>
        <w:t>图</w:t>
      </w:r>
      <w:r>
        <w:rPr>
          <w:rFonts w:hint="eastAsia"/>
          <w:sz w:val="18"/>
          <w:szCs w:val="18"/>
          <w:lang w:val="en-US" w:eastAsia="zh-CN"/>
        </w:rPr>
        <w:t>11</w:t>
      </w:r>
      <w:r>
        <w:rPr>
          <w:sz w:val="18"/>
          <w:szCs w:val="18"/>
        </w:rPr>
        <w:t xml:space="preserve"> </w:t>
      </w:r>
      <w:r>
        <w:rPr>
          <w:rFonts w:hint="eastAsia"/>
          <w:sz w:val="18"/>
          <w:szCs w:val="18"/>
          <w:lang w:val="en-US" w:eastAsia="zh-CN"/>
        </w:rPr>
        <w:t>消费品零售总额增长率</w:t>
      </w:r>
    </w:p>
    <w:p>
      <w:pPr>
        <w:ind w:firstLine="420" w:firstLineChars="200"/>
        <w:rPr>
          <w:rFonts w:hint="default"/>
          <w:lang w:val="en-US" w:eastAsia="zh-CN"/>
        </w:rPr>
      </w:pPr>
      <w:r>
        <w:rPr>
          <w:rFonts w:hint="eastAsia"/>
          <w:lang w:val="en-US" w:eastAsia="zh-CN"/>
        </w:rPr>
        <w:t>图11 是每年消费品零售总额增长率随月份变化，</w:t>
      </w:r>
      <w:r>
        <w:rPr>
          <w:rFonts w:hint="eastAsia" w:asciiTheme="minorEastAsia" w:hAnsiTheme="minorEastAsia" w:eastAsiaTheme="minorEastAsia" w:cstheme="minorEastAsia"/>
          <w:i w:val="0"/>
          <w:iCs w:val="0"/>
          <w:caps w:val="0"/>
          <w:color w:val="2D2D2D"/>
          <w:spacing w:val="8"/>
          <w:sz w:val="21"/>
          <w:szCs w:val="21"/>
        </w:rPr>
        <w:t>随着我国社会生产力的提高，人们消费水平的提升，我国社会消费品零售总额持续上升。201</w:t>
      </w:r>
      <w:r>
        <w:rPr>
          <w:rFonts w:hint="eastAsia" w:asciiTheme="minorEastAsia" w:hAnsiTheme="minorEastAsia" w:cstheme="minorEastAsia"/>
          <w:i w:val="0"/>
          <w:iCs w:val="0"/>
          <w:caps w:val="0"/>
          <w:color w:val="2D2D2D"/>
          <w:spacing w:val="8"/>
          <w:sz w:val="21"/>
          <w:szCs w:val="21"/>
          <w:lang w:val="en-US" w:eastAsia="zh-CN"/>
        </w:rPr>
        <w:t>5</w:t>
      </w:r>
      <w:r>
        <w:rPr>
          <w:rFonts w:hint="eastAsia" w:asciiTheme="minorEastAsia" w:hAnsiTheme="minorEastAsia" w:eastAsiaTheme="minorEastAsia" w:cstheme="minorEastAsia"/>
          <w:i w:val="0"/>
          <w:iCs w:val="0"/>
          <w:caps w:val="0"/>
          <w:color w:val="2D2D2D"/>
          <w:spacing w:val="8"/>
          <w:sz w:val="21"/>
          <w:szCs w:val="21"/>
        </w:rPr>
        <w:t>-2019年，我国社会消费品零售总额呈持续上涨趋势，增速总体呈波动下降趋势。2019年，中国社会消费品零售总额达到411649亿元，同比增长</w:t>
      </w:r>
      <w:bookmarkStart w:id="0" w:name="_GoBack"/>
      <w:bookmarkEnd w:id="0"/>
      <w:r>
        <w:rPr>
          <w:rFonts w:hint="eastAsia" w:asciiTheme="minorEastAsia" w:hAnsiTheme="minorEastAsia" w:eastAsiaTheme="minorEastAsia" w:cstheme="minorEastAsia"/>
          <w:i w:val="0"/>
          <w:iCs w:val="0"/>
          <w:caps w:val="0"/>
          <w:color w:val="2D2D2D"/>
          <w:spacing w:val="8"/>
          <w:sz w:val="21"/>
          <w:szCs w:val="21"/>
        </w:rPr>
        <w:t>8%，增速下降1个百分点。2020年1-2月份，社会消费品零售总额52130亿元，同比下降20.5%(扣除价格因素实际下降23.7%)，主要是因为新冠肺炎疫情发生以来，按照疫情防控需要，居民主动减少外出购物，纷纷取消聚餐聚会，非生活必需类商品销售和餐饮业受到明显冲击。同时，文化和旅游部发布有关暂停旅游企业经营活动的紧急通知，景区订票大幅取消，旅游企业暂停经营，旅游住宿等相关行业也受到严</w:t>
      </w:r>
      <w:r>
        <w:rPr>
          <w:rFonts w:hint="eastAsia" w:asciiTheme="minorEastAsia" w:hAnsiTheme="minorEastAsia" w:eastAsiaTheme="minorEastAsia" w:cstheme="minorEastAsia"/>
          <w:i w:val="0"/>
          <w:iCs w:val="0"/>
          <w:caps w:val="0"/>
          <w:color w:val="auto"/>
          <w:spacing w:val="8"/>
          <w:sz w:val="21"/>
          <w:szCs w:val="21"/>
        </w:rPr>
        <w:t>重影响。居民消费受到抑制，春节假期及2月份消费市场受冲击明显</w:t>
      </w:r>
      <w:r>
        <w:rPr>
          <w:rFonts w:hint="eastAsia" w:asciiTheme="minorEastAsia" w:hAnsiTheme="minorEastAsia" w:cstheme="minorEastAsia"/>
          <w:i w:val="0"/>
          <w:iCs w:val="0"/>
          <w:caps w:val="0"/>
          <w:color w:val="auto"/>
          <w:spacing w:val="8"/>
          <w:sz w:val="21"/>
          <w:szCs w:val="21"/>
          <w:lang w:eastAsia="zh-CN"/>
        </w:rPr>
        <w:t>，</w:t>
      </w:r>
      <w:r>
        <w:rPr>
          <w:rFonts w:hint="eastAsia" w:asciiTheme="minorEastAsia" w:hAnsiTheme="minorEastAsia" w:cstheme="minorEastAsia"/>
          <w:i w:val="0"/>
          <w:iCs w:val="0"/>
          <w:caps w:val="0"/>
          <w:color w:val="auto"/>
          <w:spacing w:val="8"/>
          <w:sz w:val="21"/>
          <w:szCs w:val="21"/>
          <w:lang w:val="en-US" w:eastAsia="zh-CN"/>
        </w:rPr>
        <w:t>达到历年最低</w:t>
      </w:r>
      <w:r>
        <w:rPr>
          <w:rFonts w:hint="eastAsia" w:asciiTheme="minorEastAsia" w:hAnsiTheme="minorEastAsia" w:eastAsiaTheme="minorEastAsia" w:cstheme="minorEastAsia"/>
          <w:i w:val="0"/>
          <w:iCs w:val="0"/>
          <w:caps w:val="0"/>
          <w:color w:val="auto"/>
          <w:spacing w:val="8"/>
          <w:sz w:val="21"/>
          <w:szCs w:val="21"/>
        </w:rPr>
        <w:t>。</w:t>
      </w:r>
      <w:r>
        <w:rPr>
          <w:rFonts w:hint="eastAsia" w:asciiTheme="minorEastAsia" w:hAnsiTheme="minorEastAsia" w:eastAsiaTheme="minorEastAsia" w:cstheme="minorEastAsia"/>
          <w:i w:val="0"/>
          <w:iCs w:val="0"/>
          <w:caps w:val="0"/>
          <w:color w:val="auto"/>
          <w:spacing w:val="0"/>
          <w:sz w:val="21"/>
          <w:szCs w:val="21"/>
        </w:rPr>
        <w:t>由于新冠状肺炎疫情，中国先是延长春节假期，随后虽然各地纷纷延迟复工，但因各地纷纷对外来务工人员采取7-14天的隔离观察期，各地实际有效复工率并不太高，完全复工的时间实际上被进一步延长了。</w:t>
      </w:r>
      <w:r>
        <w:rPr>
          <w:rFonts w:hint="eastAsia"/>
          <w:color w:val="auto"/>
          <w:lang w:val="en-US" w:eastAsia="zh-CN"/>
        </w:rPr>
        <w:t>之后随着疫情逐渐受控制，消费水平才逐渐回升，直到2021年开始，由于2020年的基</w:t>
      </w:r>
      <w:r>
        <w:rPr>
          <w:rFonts w:hint="eastAsia"/>
          <w:lang w:val="en-US" w:eastAsia="zh-CN"/>
        </w:rPr>
        <w:t>数小，而这一时间中国正在推动经济复苏，所以整个2021年的增长率一直是近几年最高。</w:t>
      </w:r>
    </w:p>
    <w:p/>
    <w:p>
      <w:pPr>
        <w:numPr>
          <w:ilvl w:val="0"/>
          <w:numId w:val="5"/>
        </w:numPr>
        <w:rPr>
          <w:rFonts w:hint="default" w:asciiTheme="majorEastAsia" w:hAnsiTheme="majorEastAsia" w:eastAsiaTheme="majorEastAsia" w:cstheme="majorEastAsia"/>
          <w:b/>
          <w:bCs/>
          <w:sz w:val="32"/>
          <w:szCs w:val="32"/>
          <w:lang w:val="en-US" w:eastAsia="zh-CN"/>
        </w:rPr>
      </w:pPr>
      <w:r>
        <w:rPr>
          <w:rFonts w:hint="eastAsia" w:asciiTheme="majorEastAsia" w:hAnsiTheme="majorEastAsia" w:eastAsiaTheme="majorEastAsia" w:cstheme="majorEastAsia"/>
          <w:b/>
          <w:bCs/>
          <w:sz w:val="32"/>
          <w:szCs w:val="32"/>
          <w:lang w:val="en-US" w:eastAsia="zh-CN"/>
        </w:rPr>
        <w:t>疫情来临，中国是怎么做的</w:t>
      </w:r>
    </w:p>
    <w:p>
      <w:pPr>
        <w:rPr>
          <w:rFonts w:hint="default"/>
          <w:b w:val="0"/>
          <w:bCs w:val="0"/>
          <w:sz w:val="21"/>
          <w:szCs w:val="21"/>
          <w:lang w:val="en-US" w:eastAsia="zh-CN"/>
        </w:rPr>
      </w:pPr>
      <w:r>
        <w:rPr>
          <w:rFonts w:hint="eastAsia"/>
          <w:b w:val="0"/>
          <w:bCs w:val="0"/>
          <w:sz w:val="21"/>
          <w:szCs w:val="21"/>
          <w:lang w:val="en-US" w:eastAsia="zh-CN"/>
        </w:rPr>
        <w:t>根据每月政策关键词的变化，看中国在疫情来临后做出的措施。</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"C:\\Users\\hhm\\Documents\\Tencent Files\\2281150307\\Image\\C2C\\4{S9X15A~`UCZDD$F%B[5KJ.png"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3768725" cy="2132965"/>
            <wp:effectExtent l="0" t="0" r="3175" b="635"/>
            <wp:docPr id="9"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descr="IMG_256"/>
                    <pic:cNvPicPr>
                      <a:picLocks noChangeAspect="1"/>
                    </pic:cNvPicPr>
                  </pic:nvPicPr>
                  <pic:blipFill>
                    <a:blip r:embed="rId15"/>
                    <a:stretch>
                      <a:fillRect/>
                    </a:stretch>
                  </pic:blipFill>
                  <pic:spPr>
                    <a:xfrm>
                      <a:off x="0" y="0"/>
                      <a:ext cx="3768725" cy="2132965"/>
                    </a:xfrm>
                    <a:prstGeom prst="rect">
                      <a:avLst/>
                    </a:prstGeom>
                    <a:noFill/>
                    <a:ln>
                      <a:noFill/>
                    </a:ln>
                  </pic:spPr>
                </pic:pic>
              </a:graphicData>
            </a:graphic>
          </wp:inline>
        </w:drawing>
      </w:r>
      <w:r>
        <w:rPr>
          <w:rFonts w:ascii="宋体" w:hAnsi="宋体" w:eastAsia="宋体" w:cs="宋体"/>
          <w:sz w:val="24"/>
          <w:szCs w:val="24"/>
        </w:rPr>
        <w:fldChar w:fldCharType="end"/>
      </w:r>
    </w:p>
    <w:p>
      <w:pPr>
        <w:ind w:firstLine="1620" w:firstLineChars="900"/>
        <w:jc w:val="both"/>
        <w:rPr>
          <w:rFonts w:hint="default" w:ascii="宋体" w:hAnsi="宋体" w:cs="宋体" w:eastAsiaTheme="minorEastAsia"/>
          <w:sz w:val="24"/>
          <w:szCs w:val="24"/>
          <w:lang w:val="en-US" w:eastAsia="zh-CN"/>
        </w:rPr>
      </w:pPr>
      <w:r>
        <w:rPr>
          <w:rFonts w:hint="eastAsia"/>
          <w:sz w:val="18"/>
          <w:szCs w:val="20"/>
        </w:rPr>
        <w:t>图</w:t>
      </w:r>
      <w:r>
        <w:rPr>
          <w:rFonts w:hint="eastAsia"/>
          <w:sz w:val="18"/>
          <w:szCs w:val="20"/>
          <w:lang w:val="en-US" w:eastAsia="zh-CN"/>
        </w:rPr>
        <w:t xml:space="preserve">12 </w:t>
      </w:r>
      <w:r>
        <w:rPr>
          <w:sz w:val="18"/>
          <w:szCs w:val="20"/>
        </w:rPr>
        <w:t xml:space="preserve"> </w:t>
      </w:r>
      <w:r>
        <w:rPr>
          <w:rFonts w:hint="eastAsia"/>
          <w:sz w:val="18"/>
          <w:szCs w:val="20"/>
          <w:lang w:val="en-US" w:eastAsia="zh-CN"/>
        </w:rPr>
        <w:t>2020年1月政策关键词权重分布图</w:t>
      </w:r>
    </w:p>
    <w:p>
      <w:pPr>
        <w:ind w:firstLine="420" w:firstLineChars="200"/>
        <w:rPr>
          <w:rFonts w:hint="default" w:ascii="宋体" w:hAnsi="宋体" w:eastAsia="宋体" w:cs="宋体"/>
          <w:color w:val="000000" w:themeColor="text1"/>
          <w:sz w:val="21"/>
          <w:szCs w:val="21"/>
          <w:lang w:val="en-US" w:eastAsia="zh-CN"/>
          <w14:textFill>
            <w14:solidFill>
              <w14:schemeClr w14:val="tx1"/>
            </w14:solidFill>
          </w14:textFill>
        </w:rPr>
      </w:pPr>
      <w:r>
        <w:rPr>
          <w:rFonts w:hint="eastAsia" w:ascii="宋体" w:hAnsi="宋体" w:cs="宋体"/>
          <w:sz w:val="21"/>
          <w:szCs w:val="21"/>
          <w:lang w:val="en-US" w:eastAsia="zh-CN"/>
        </w:rPr>
        <w:t>2020年一月政策关键词疫情、防控占比最大</w:t>
      </w:r>
      <w:r>
        <w:rPr>
          <w:rFonts w:hint="eastAsia" w:asciiTheme="minorEastAsia" w:hAnsiTheme="minorEastAsia" w:eastAsiaTheme="minorEastAsia" w:cstheme="minorEastAsia"/>
          <w:sz w:val="21"/>
          <w:szCs w:val="21"/>
          <w:lang w:val="en-US" w:eastAsia="zh-CN"/>
        </w:rPr>
        <w:t>。</w:t>
      </w:r>
      <w:r>
        <w:rPr>
          <w:rFonts w:hint="eastAsia" w:asciiTheme="minorEastAsia" w:hAnsiTheme="minorEastAsia" w:cstheme="minorEastAsia"/>
          <w:sz w:val="21"/>
          <w:szCs w:val="21"/>
          <w:lang w:val="en-US" w:eastAsia="zh-CN"/>
        </w:rPr>
        <w:t>疫情发生后，中国第一时间采取措施，</w:t>
      </w:r>
      <w:r>
        <w:rPr>
          <w:rFonts w:hint="eastAsia" w:asciiTheme="minorEastAsia" w:hAnsiTheme="minorEastAsia" w:eastAsiaTheme="minorEastAsia" w:cstheme="minorEastAsia"/>
          <w:i w:val="0"/>
          <w:iCs w:val="0"/>
          <w:caps w:val="0"/>
          <w:color w:val="000000" w:themeColor="text1"/>
          <w:spacing w:val="0"/>
          <w:sz w:val="21"/>
          <w:szCs w:val="21"/>
          <w:shd w:val="clear" w:fill="FFFFFF"/>
          <w14:textFill>
            <w14:solidFill>
              <w14:schemeClr w14:val="tx1"/>
            </w14:solidFill>
          </w14:textFill>
        </w:rPr>
        <w:t>阻断疫情蔓延。及时主动向世界卫生组织以及美国等国家通报疫情信息，向世界公布新型冠状病毒基因组序列。中国全面展开疫情防控。</w:t>
      </w:r>
      <w:r>
        <w:rPr>
          <w:rFonts w:hint="eastAsia" w:ascii="宋体" w:hAnsi="宋体" w:cs="宋体"/>
          <w:color w:val="000000" w:themeColor="text1"/>
          <w:sz w:val="21"/>
          <w:szCs w:val="21"/>
          <w:lang w:val="en-US" w:eastAsia="zh-CN"/>
          <w14:textFill>
            <w14:solidFill>
              <w14:schemeClr w14:val="tx1"/>
            </w14:solidFill>
          </w14:textFill>
        </w:rPr>
        <w:t>中国高度重视，多次对疫情防控方面做出重要指示，初步遏制疫情蔓延势头。</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"C:\\Users\\hhm\\Documents\\Tencent Files\\2281150307\\Image\\C2C\\0VRW[Q_SOYZQSLH@QNPAO8F.png"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3785235" cy="2229485"/>
            <wp:effectExtent l="0" t="0" r="5715" b="18415"/>
            <wp:docPr id="8"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descr="IMG_256"/>
                    <pic:cNvPicPr>
                      <a:picLocks noChangeAspect="1"/>
                    </pic:cNvPicPr>
                  </pic:nvPicPr>
                  <pic:blipFill>
                    <a:blip r:embed="rId16"/>
                    <a:stretch>
                      <a:fillRect/>
                    </a:stretch>
                  </pic:blipFill>
                  <pic:spPr>
                    <a:xfrm>
                      <a:off x="0" y="0"/>
                      <a:ext cx="3785235" cy="2229485"/>
                    </a:xfrm>
                    <a:prstGeom prst="rect">
                      <a:avLst/>
                    </a:prstGeom>
                    <a:noFill/>
                    <a:ln>
                      <a:noFill/>
                    </a:ln>
                  </pic:spPr>
                </pic:pic>
              </a:graphicData>
            </a:graphic>
          </wp:inline>
        </w:drawing>
      </w:r>
      <w:r>
        <w:rPr>
          <w:rFonts w:ascii="宋体" w:hAnsi="宋体" w:eastAsia="宋体" w:cs="宋体"/>
          <w:sz w:val="24"/>
          <w:szCs w:val="24"/>
        </w:rPr>
        <w:fldChar w:fldCharType="end"/>
      </w:r>
    </w:p>
    <w:p>
      <w:pPr>
        <w:ind w:firstLine="1620" w:firstLineChars="900"/>
        <w:jc w:val="both"/>
        <w:rPr>
          <w:rFonts w:ascii="宋体" w:hAnsi="宋体" w:eastAsia="宋体" w:cs="宋体"/>
          <w:sz w:val="24"/>
          <w:szCs w:val="24"/>
        </w:rPr>
      </w:pPr>
      <w:r>
        <w:rPr>
          <w:rFonts w:hint="eastAsia"/>
          <w:sz w:val="18"/>
          <w:szCs w:val="20"/>
        </w:rPr>
        <w:t>图</w:t>
      </w:r>
      <w:r>
        <w:rPr>
          <w:rFonts w:hint="eastAsia"/>
          <w:sz w:val="18"/>
          <w:szCs w:val="20"/>
          <w:lang w:val="en-US" w:eastAsia="zh-CN"/>
        </w:rPr>
        <w:t xml:space="preserve">13 </w:t>
      </w:r>
      <w:r>
        <w:rPr>
          <w:sz w:val="18"/>
          <w:szCs w:val="20"/>
        </w:rPr>
        <w:t xml:space="preserve"> </w:t>
      </w:r>
      <w:r>
        <w:rPr>
          <w:rFonts w:hint="eastAsia"/>
          <w:sz w:val="18"/>
          <w:szCs w:val="20"/>
          <w:lang w:val="en-US" w:eastAsia="zh-CN"/>
        </w:rPr>
        <w:t>2020年12月政策关键词权重分布图</w:t>
      </w:r>
    </w:p>
    <w:p>
      <w:pPr>
        <w:ind w:firstLine="420" w:firstLineChars="200"/>
        <w:rPr>
          <w:rFonts w:hint="default" w:ascii="宋体" w:hAnsi="宋体" w:cs="宋体"/>
          <w:sz w:val="21"/>
          <w:szCs w:val="21"/>
          <w:lang w:val="en-US" w:eastAsia="zh-CN"/>
        </w:rPr>
      </w:pPr>
      <w:r>
        <w:rPr>
          <w:rFonts w:hint="eastAsia" w:ascii="宋体" w:hAnsi="宋体" w:cs="宋体"/>
          <w:sz w:val="21"/>
          <w:szCs w:val="21"/>
          <w:lang w:val="en-US" w:eastAsia="zh-CN"/>
        </w:rPr>
        <w:t>2020年12月份的政策关键词权重分布图，其中占比最大的是市场。在经济受到疫情冲击的情况下，中央出台了一系列经济政策，政府在这一时期开始推动经济的复苏，能很好的稳定经济。经济运行在政策的带动下，正在好转。</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"C:\\Users\\hhm\\Documents\\Tencent Files\\2281150307\\Image\\C2C\\PB_[$HLI24UDZ[~5L)J43J9.png"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179570" cy="2423160"/>
            <wp:effectExtent l="0" t="0" r="11430" b="15240"/>
            <wp:docPr id="7"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descr="IMG_256"/>
                    <pic:cNvPicPr>
                      <a:picLocks noChangeAspect="1"/>
                    </pic:cNvPicPr>
                  </pic:nvPicPr>
                  <pic:blipFill>
                    <a:blip r:embed="rId17"/>
                    <a:stretch>
                      <a:fillRect/>
                    </a:stretch>
                  </pic:blipFill>
                  <pic:spPr>
                    <a:xfrm>
                      <a:off x="0" y="0"/>
                      <a:ext cx="4179570" cy="2423160"/>
                    </a:xfrm>
                    <a:prstGeom prst="rect">
                      <a:avLst/>
                    </a:prstGeom>
                    <a:noFill/>
                    <a:ln>
                      <a:noFill/>
                    </a:ln>
                  </pic:spPr>
                </pic:pic>
              </a:graphicData>
            </a:graphic>
          </wp:inline>
        </w:drawing>
      </w:r>
      <w:r>
        <w:rPr>
          <w:rFonts w:ascii="宋体" w:hAnsi="宋体" w:eastAsia="宋体" w:cs="宋体"/>
          <w:sz w:val="24"/>
          <w:szCs w:val="24"/>
        </w:rPr>
        <w:fldChar w:fldCharType="end"/>
      </w:r>
    </w:p>
    <w:p>
      <w:pPr>
        <w:ind w:firstLine="1620" w:firstLineChars="900"/>
        <w:jc w:val="both"/>
        <w:rPr>
          <w:rFonts w:ascii="宋体" w:hAnsi="宋体" w:eastAsia="宋体" w:cs="宋体"/>
          <w:sz w:val="24"/>
          <w:szCs w:val="24"/>
        </w:rPr>
      </w:pPr>
      <w:r>
        <w:rPr>
          <w:rFonts w:hint="eastAsia"/>
          <w:sz w:val="18"/>
          <w:szCs w:val="20"/>
        </w:rPr>
        <w:t>图</w:t>
      </w:r>
      <w:r>
        <w:rPr>
          <w:rFonts w:hint="eastAsia"/>
          <w:sz w:val="18"/>
          <w:szCs w:val="20"/>
          <w:lang w:val="en-US" w:eastAsia="zh-CN"/>
        </w:rPr>
        <w:t xml:space="preserve">14 </w:t>
      </w:r>
      <w:r>
        <w:rPr>
          <w:sz w:val="18"/>
          <w:szCs w:val="20"/>
        </w:rPr>
        <w:t xml:space="preserve"> </w:t>
      </w:r>
      <w:r>
        <w:rPr>
          <w:rFonts w:hint="eastAsia"/>
          <w:sz w:val="18"/>
          <w:szCs w:val="20"/>
          <w:lang w:val="en-US" w:eastAsia="zh-CN"/>
        </w:rPr>
        <w:t>2021年6月政策关键词权重分布图</w:t>
      </w:r>
    </w:p>
    <w:p>
      <w:pPr>
        <w:ind w:firstLine="420" w:firstLineChars="200"/>
        <w:rPr>
          <w:rFonts w:hint="eastAsia" w:ascii="宋体" w:hAnsi="宋体" w:cs="宋体"/>
          <w:sz w:val="21"/>
          <w:szCs w:val="21"/>
          <w:lang w:val="en-US" w:eastAsia="zh-CN"/>
        </w:rPr>
      </w:pPr>
      <w:r>
        <w:rPr>
          <w:rFonts w:hint="eastAsia" w:ascii="宋体" w:hAnsi="宋体" w:cs="宋体"/>
          <w:sz w:val="21"/>
          <w:szCs w:val="21"/>
          <w:lang w:val="en-US" w:eastAsia="zh-CN"/>
        </w:rPr>
        <w:t>2021年6月，这段时间政策的关键词是接种、疫苗，接种新冠疫苗是当前疫情防控工作的一项重要措施。我国积极组织实施疫苗接种，稳步提高疫苗接种人群覆盖率。这次疫苗的接种工作为之后的经济复苏，疫情防控提供了坚强保障。</w:t>
      </w:r>
    </w:p>
    <w:p>
      <w:pPr>
        <w:numPr>
          <w:ilvl w:val="0"/>
          <w:numId w:val="0"/>
        </w:numPr>
        <w:rPr>
          <w:rFonts w:hint="default" w:asciiTheme="majorEastAsia" w:hAnsiTheme="majorEastAsia" w:eastAsiaTheme="majorEastAsia" w:cstheme="majorEastAsia"/>
          <w:b/>
          <w:bCs/>
          <w:sz w:val="32"/>
          <w:szCs w:val="32"/>
          <w:lang w:val="en-US" w:eastAsia="zh-CN"/>
        </w:rPr>
      </w:pPr>
    </w:p>
    <w:p>
      <w:pPr>
        <w:rPr>
          <w:rFonts w:hint="eastAsia"/>
          <w:b/>
          <w:bCs/>
          <w:sz w:val="44"/>
          <w:szCs w:val="44"/>
          <w:lang w:val="en-US" w:eastAsia="zh-CN"/>
        </w:rPr>
      </w:pPr>
      <w:r>
        <w:rPr>
          <w:rFonts w:hint="eastAsia"/>
          <w:b/>
          <w:bCs/>
          <w:sz w:val="44"/>
          <w:szCs w:val="44"/>
          <w:lang w:val="en-US" w:eastAsia="zh-CN"/>
        </w:rPr>
        <w:t>三、总结</w:t>
      </w:r>
    </w:p>
    <w:p>
      <w:pPr>
        <w:keepNext w:val="0"/>
        <w:keepLines w:val="0"/>
        <w:widowControl/>
        <w:suppressLineNumbers w:val="0"/>
        <w:ind w:firstLine="420" w:firstLineChars="200"/>
        <w:jc w:val="left"/>
        <w:rPr>
          <w:rFonts w:hint="eastAsia" w:asciiTheme="minorEastAsia" w:hAnsiTheme="minorEastAsia" w:eastAsiaTheme="minorEastAsia" w:cstheme="minorEastAsia"/>
          <w:kern w:val="0"/>
          <w:sz w:val="21"/>
          <w:szCs w:val="21"/>
          <w:lang w:val="en-US" w:eastAsia="zh-CN" w:bidi="ar"/>
        </w:rPr>
      </w:pPr>
      <w:r>
        <w:rPr>
          <w:rFonts w:hint="eastAsia" w:asciiTheme="minorEastAsia" w:hAnsiTheme="minorEastAsia" w:eastAsiaTheme="minorEastAsia" w:cstheme="minorEastAsia"/>
          <w:kern w:val="0"/>
          <w:sz w:val="21"/>
          <w:szCs w:val="21"/>
          <w:lang w:val="en-US" w:eastAsia="zh-CN" w:bidi="ar"/>
        </w:rPr>
        <w:t>疫情改变了国家体制经济模式、改变了产业链条。命运共同体受到冲击，多数国家自顾不暇，贸易全球化受到影响，</w:t>
      </w:r>
      <w:r>
        <w:rPr>
          <w:rFonts w:hint="eastAsia" w:asciiTheme="minorEastAsia" w:hAnsiTheme="minorEastAsia" w:eastAsiaTheme="minorEastAsia" w:cstheme="minorEastAsia"/>
          <w:b w:val="0"/>
          <w:bCs w:val="0"/>
          <w:color w:val="auto"/>
          <w:kern w:val="0"/>
          <w:sz w:val="21"/>
          <w:szCs w:val="21"/>
          <w:u w:val="none"/>
          <w:lang w:val="en-US" w:eastAsia="zh-CN" w:bidi="ar"/>
        </w:rPr>
        <w:fldChar w:fldCharType="begin"/>
      </w:r>
      <w:r>
        <w:rPr>
          <w:rFonts w:hint="eastAsia" w:asciiTheme="minorEastAsia" w:hAnsiTheme="minorEastAsia" w:eastAsiaTheme="minorEastAsia" w:cstheme="minorEastAsia"/>
          <w:b w:val="0"/>
          <w:bCs w:val="0"/>
          <w:color w:val="auto"/>
          <w:kern w:val="0"/>
          <w:sz w:val="21"/>
          <w:szCs w:val="21"/>
          <w:u w:val="none"/>
          <w:lang w:val="en-US" w:eastAsia="zh-CN" w:bidi="ar"/>
        </w:rPr>
        <w:instrText xml:space="preserve"> HYPERLINK "https://www.zhihu.com/search?q=%E5%8D%95%E8%BE%B9%E4%B8%BB%E4%B9%89&amp;search_source=Entity&amp;hybrid_search_source=Entity&amp;hybrid_search_extra={"sourceType":"answer","sourceId":2237451391}" \t "_blank" </w:instrText>
      </w:r>
      <w:r>
        <w:rPr>
          <w:rFonts w:hint="eastAsia" w:asciiTheme="minorEastAsia" w:hAnsiTheme="minorEastAsia" w:eastAsiaTheme="minorEastAsia" w:cstheme="minorEastAsia"/>
          <w:b w:val="0"/>
          <w:bCs w:val="0"/>
          <w:color w:val="auto"/>
          <w:kern w:val="0"/>
          <w:sz w:val="21"/>
          <w:szCs w:val="21"/>
          <w:u w:val="none"/>
          <w:lang w:val="en-US" w:eastAsia="zh-CN" w:bidi="ar"/>
        </w:rPr>
        <w:fldChar w:fldCharType="separate"/>
      </w:r>
      <w:r>
        <w:rPr>
          <w:rStyle w:val="10"/>
          <w:rFonts w:hint="eastAsia" w:asciiTheme="minorEastAsia" w:hAnsiTheme="minorEastAsia" w:eastAsiaTheme="minorEastAsia" w:cstheme="minorEastAsia"/>
          <w:b w:val="0"/>
          <w:bCs w:val="0"/>
          <w:color w:val="auto"/>
          <w:sz w:val="21"/>
          <w:szCs w:val="21"/>
          <w:u w:val="none"/>
        </w:rPr>
        <w:t>单边主义</w:t>
      </w:r>
      <w:r>
        <w:rPr>
          <w:rFonts w:hint="eastAsia" w:asciiTheme="minorEastAsia" w:hAnsiTheme="minorEastAsia" w:eastAsiaTheme="minorEastAsia" w:cstheme="minorEastAsia"/>
          <w:b w:val="0"/>
          <w:bCs w:val="0"/>
          <w:color w:val="auto"/>
          <w:kern w:val="0"/>
          <w:sz w:val="21"/>
          <w:szCs w:val="21"/>
          <w:u w:val="none"/>
          <w:lang w:val="en-US" w:eastAsia="zh-CN" w:bidi="ar"/>
        </w:rPr>
        <w:fldChar w:fldCharType="end"/>
      </w:r>
      <w:r>
        <w:rPr>
          <w:rFonts w:hint="eastAsia" w:asciiTheme="minorEastAsia" w:hAnsiTheme="minorEastAsia" w:eastAsiaTheme="minorEastAsia" w:cstheme="minorEastAsia"/>
          <w:b w:val="0"/>
          <w:bCs w:val="0"/>
          <w:color w:val="auto"/>
          <w:kern w:val="0"/>
          <w:sz w:val="21"/>
          <w:szCs w:val="21"/>
          <w:u w:val="none"/>
          <w:lang w:val="en-US" w:eastAsia="zh-CN" w:bidi="ar"/>
        </w:rPr>
        <w:t>四处</w:t>
      </w:r>
      <w:r>
        <w:rPr>
          <w:rFonts w:hint="eastAsia" w:asciiTheme="minorEastAsia" w:hAnsiTheme="minorEastAsia" w:eastAsiaTheme="minorEastAsia" w:cstheme="minorEastAsia"/>
          <w:kern w:val="0"/>
          <w:sz w:val="21"/>
          <w:szCs w:val="21"/>
          <w:lang w:val="en-US" w:eastAsia="zh-CN" w:bidi="ar"/>
        </w:rPr>
        <w:t>讨伐。美国的公信力开始动摇，欧盟各国出现分歧。相较于美国，中国不仅在抗疫方面交了满意答卷，还给世界各国予以支援。在疫情检验下，中国已经初步形成了相对完善和成熟的全产业链，这是后疫情时代中国崛起的重要体现。</w:t>
      </w:r>
    </w:p>
    <w:p>
      <w:pPr>
        <w:pStyle w:val="6"/>
        <w:keepNext w:val="0"/>
        <w:keepLines w:val="0"/>
        <w:widowControl/>
        <w:suppressLineNumbers w:val="0"/>
        <w:ind w:firstLine="420" w:firstLineChars="20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中国增速依旧位居世界第一，虽然取得了成绩，但我们仍要看到，与前几年的增速相比，还是有很大的下滑，疫情对全球经济其实是无差别打击。世界经济已经变成了一个整体，覆巢之下安有完卵，这是疫情之下的整体格局。</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450" w:afterAutospacing="0"/>
        <w:ind w:left="0" w:right="0" w:firstLine="480" w:firstLineChars="200"/>
        <w:textAlignment w:val="auto"/>
        <w:rPr>
          <w:rFonts w:hint="eastAsia" w:asciiTheme="minorEastAsia" w:hAnsiTheme="minorEastAsia" w:eastAsiaTheme="minorEastAsia" w:cstheme="minorEastAsia"/>
          <w:i w:val="0"/>
          <w:iCs w:val="0"/>
          <w:caps w:val="0"/>
          <w:color w:val="000000"/>
          <w:spacing w:val="15"/>
          <w:sz w:val="21"/>
          <w:szCs w:val="21"/>
        </w:rPr>
      </w:pPr>
      <w:r>
        <w:rPr>
          <w:rFonts w:hint="eastAsia" w:asciiTheme="minorEastAsia" w:hAnsiTheme="minorEastAsia" w:eastAsiaTheme="minorEastAsia" w:cstheme="minorEastAsia"/>
          <w:i w:val="0"/>
          <w:iCs w:val="0"/>
          <w:caps w:val="0"/>
          <w:color w:val="000000"/>
          <w:spacing w:val="15"/>
          <w:sz w:val="21"/>
          <w:szCs w:val="21"/>
        </w:rPr>
        <w:t>新冠肺炎疫情通过对社会及其正常运行体系的冲击使得实体经济停摆，产生极为直接、全面和巨大的影响，包括需求大幅下降；供给受到极大冲击；金融市场高度紧张和动荡；各宏观经济指标全面恶化、不确定性不断增大。</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450" w:afterAutospacing="0"/>
        <w:ind w:left="0" w:right="0" w:firstLine="0"/>
        <w:textAlignment w:val="auto"/>
        <w:rPr>
          <w:rFonts w:hint="eastAsia" w:asciiTheme="minorEastAsia" w:hAnsiTheme="minorEastAsia" w:eastAsiaTheme="minorEastAsia" w:cstheme="minorEastAsia"/>
          <w:i w:val="0"/>
          <w:iCs w:val="0"/>
          <w:caps w:val="0"/>
          <w:color w:val="000000"/>
          <w:spacing w:val="15"/>
          <w:sz w:val="21"/>
          <w:szCs w:val="21"/>
        </w:rPr>
      </w:pPr>
      <w:r>
        <w:rPr>
          <w:rFonts w:hint="eastAsia" w:asciiTheme="minorEastAsia" w:hAnsiTheme="minorEastAsia" w:eastAsiaTheme="minorEastAsia" w:cstheme="minorEastAsia"/>
          <w:i w:val="0"/>
          <w:iCs w:val="0"/>
          <w:caps w:val="0"/>
          <w:color w:val="000000"/>
          <w:spacing w:val="15"/>
          <w:sz w:val="21"/>
          <w:szCs w:val="21"/>
        </w:rPr>
        <w:t>  </w:t>
      </w:r>
      <w:r>
        <w:rPr>
          <w:rFonts w:hint="eastAsia" w:asciiTheme="minorEastAsia" w:hAnsiTheme="minorEastAsia" w:eastAsiaTheme="minorEastAsia" w:cstheme="minorEastAsia"/>
          <w:i w:val="0"/>
          <w:iCs w:val="0"/>
          <w:caps w:val="0"/>
          <w:color w:val="000000"/>
          <w:spacing w:val="15"/>
          <w:sz w:val="21"/>
          <w:szCs w:val="21"/>
          <w:lang w:val="en-US" w:eastAsia="zh-CN"/>
        </w:rPr>
        <w:t xml:space="preserve"> </w:t>
      </w:r>
      <w:r>
        <w:rPr>
          <w:rFonts w:hint="eastAsia" w:asciiTheme="minorEastAsia" w:hAnsiTheme="minorEastAsia" w:cstheme="minorEastAsia"/>
          <w:i w:val="0"/>
          <w:iCs w:val="0"/>
          <w:caps w:val="0"/>
          <w:color w:val="000000"/>
          <w:spacing w:val="15"/>
          <w:sz w:val="21"/>
          <w:szCs w:val="21"/>
          <w:lang w:val="en-US" w:eastAsia="zh-CN"/>
        </w:rPr>
        <w:t xml:space="preserve">  </w:t>
      </w:r>
      <w:r>
        <w:rPr>
          <w:rFonts w:hint="eastAsia" w:asciiTheme="minorEastAsia" w:hAnsiTheme="minorEastAsia" w:eastAsiaTheme="minorEastAsia" w:cstheme="minorEastAsia"/>
          <w:i w:val="0"/>
          <w:iCs w:val="0"/>
          <w:caps w:val="0"/>
          <w:color w:val="000000"/>
          <w:spacing w:val="15"/>
          <w:sz w:val="21"/>
          <w:szCs w:val="21"/>
        </w:rPr>
        <w:t>各主要经济体的经济金融政策目前起到了一定的稳定预期的政策效果。可以预见，随着疫情得到控制，各国的经济政策会步入第三阶段，即稳定经济、推动复苏。相应的政策目标会转向常态目标，即就业和经济增长，其模式也会逐渐趋于常态管理。需要强调的是，经济的稳定和复苏只能是在疫情完全控制以后才有可能实现，并成为政策的主要目标。</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450" w:afterAutospacing="0"/>
        <w:ind w:left="0" w:right="0" w:firstLine="0"/>
        <w:textAlignment w:val="auto"/>
        <w:rPr>
          <w:rFonts w:hint="eastAsia"/>
          <w:lang w:val="en-US" w:eastAsia="zh-CN"/>
        </w:rPr>
      </w:pPr>
      <w:r>
        <w:rPr>
          <w:rFonts w:hint="eastAsia" w:asciiTheme="minorEastAsia" w:hAnsiTheme="minorEastAsia" w:eastAsiaTheme="minorEastAsia" w:cstheme="minorEastAsia"/>
          <w:i w:val="0"/>
          <w:iCs w:val="0"/>
          <w:caps w:val="0"/>
          <w:color w:val="000000"/>
          <w:spacing w:val="15"/>
          <w:sz w:val="21"/>
          <w:szCs w:val="21"/>
        </w:rPr>
        <w:t>  </w:t>
      </w:r>
      <w:r>
        <w:rPr>
          <w:rFonts w:hint="eastAsia" w:asciiTheme="minorEastAsia" w:hAnsiTheme="minorEastAsia" w:cstheme="minorEastAsia"/>
          <w:i w:val="0"/>
          <w:iCs w:val="0"/>
          <w:caps w:val="0"/>
          <w:color w:val="000000"/>
          <w:spacing w:val="15"/>
          <w:sz w:val="21"/>
          <w:szCs w:val="21"/>
          <w:lang w:val="en-US" w:eastAsia="zh-CN"/>
        </w:rPr>
        <w:t xml:space="preserve">  </w:t>
      </w:r>
      <w:r>
        <w:rPr>
          <w:rFonts w:hint="eastAsia" w:asciiTheme="minorEastAsia" w:hAnsiTheme="minorEastAsia" w:eastAsiaTheme="minorEastAsia" w:cstheme="minorEastAsia"/>
          <w:i w:val="0"/>
          <w:iCs w:val="0"/>
          <w:caps w:val="0"/>
          <w:color w:val="000000"/>
          <w:spacing w:val="15"/>
          <w:sz w:val="21"/>
          <w:szCs w:val="21"/>
        </w:rPr>
        <w:t>下一步各国政策走向取决于四个因素：一是各国疫情发展及疫情防控成效，二是现行政策的效果，三是经济形势的发展，四是全球疫情蔓延的情况。面对新冠肺炎疫情这一全人类的共同危机，各国必须进行防疫协作，积极支持国际组织发挥作用。在此基础上，要加强国际宏观政策协调，共同维护全球产业链供应链稳定，以此稳固世界经济的发展。</w:t>
      </w:r>
    </w:p>
    <w:p>
      <w:pPr>
        <w:ind w:firstLine="420"/>
      </w:pPr>
    </w:p>
    <w:p>
      <w:pPr>
        <w:rPr>
          <w:rFonts w:hint="default" w:eastAsiaTheme="minorEastAsia"/>
          <w:lang w:val="en-US" w:eastAsia="zh-CN"/>
        </w:rPr>
      </w:pPr>
      <w:r>
        <w:rPr>
          <w:rFonts w:hint="eastAsia"/>
          <w:b/>
          <w:bCs/>
          <w:sz w:val="44"/>
          <w:szCs w:val="44"/>
          <w:lang w:val="en-US" w:eastAsia="zh-CN"/>
        </w:rPr>
        <w:t>四、参考文献</w:t>
      </w:r>
    </w:p>
    <w:p>
      <w:r>
        <w:rPr>
          <w:rFonts w:hint="eastAsia"/>
        </w:rPr>
        <w:t>[</w:t>
      </w:r>
      <w:r>
        <w:t>1] 朱险峰</w:t>
      </w:r>
      <w:r>
        <w:rPr>
          <w:rFonts w:hint="eastAsia"/>
        </w:rPr>
        <w:t>,</w:t>
      </w:r>
      <w:r>
        <w:t>张小柳</w:t>
      </w:r>
      <w:r>
        <w:rPr>
          <w:rFonts w:hint="eastAsia"/>
        </w:rPr>
        <w:t>,</w:t>
      </w:r>
      <w:r>
        <w:t>刘婕</w:t>
      </w:r>
      <w:r>
        <w:rPr>
          <w:rFonts w:hint="eastAsia"/>
        </w:rPr>
        <w:t>.</w:t>
      </w:r>
      <w:r>
        <w:t>后疫情时代大宗商品价格发展趋势研究――-—2021年初国际大宗商品价格上涨的原因及对策分析[J].价格理论与实践.2021(3).</w:t>
      </w:r>
    </w:p>
    <w:p>
      <w:r>
        <w:rPr>
          <w:rFonts w:hint="eastAsia"/>
        </w:rPr>
        <w:t>[</w:t>
      </w:r>
      <w:r>
        <w:t xml:space="preserve">2] </w:t>
      </w:r>
      <w:r>
        <w:rPr>
          <w:rFonts w:hint="eastAsia"/>
        </w:rPr>
        <w:t>乔宝华,张文会,王珊.后疫情时代</w:t>
      </w:r>
      <w:r>
        <w:t>PPI持续上涨对我国工业经济的影响[J]</w:t>
      </w:r>
      <w:r>
        <w:rPr>
          <w:rFonts w:hint="eastAsia"/>
        </w:rPr>
        <w:t>.价格理论与实践.</w:t>
      </w:r>
      <w:r>
        <w:t>2021,(07):101-105+165.</w:t>
      </w:r>
    </w:p>
    <w:p>
      <w:r>
        <w:t>[3]</w:t>
      </w:r>
      <w:r>
        <w:rPr>
          <w:rFonts w:hint="eastAsia"/>
        </w:rPr>
        <w:t xml:space="preserve"> 许光建,马祎明.</w:t>
      </w:r>
      <w:r>
        <w:t>CPI、PPI两种价格指数走势背离研究[J]</w:t>
      </w:r>
      <w:r>
        <w:rPr>
          <w:rFonts w:hint="eastAsia"/>
        </w:rPr>
        <w:t>.价格理论与实践.</w:t>
      </w:r>
      <w:r>
        <w:t>2021,(11):9-15.</w:t>
      </w:r>
    </w:p>
    <w:p>
      <w:pPr>
        <w:rPr>
          <w:rFonts w:hint="eastAsia"/>
        </w:rPr>
      </w:pPr>
      <w:r>
        <w:rPr>
          <w:rFonts w:hint="eastAsia"/>
        </w:rPr>
        <w:t>[</w:t>
      </w:r>
      <w:r>
        <w:t>4] 夏杰长,丰晓旭．新冠肺炎疫情对旅游业的冲击与对策[J]﹒中国流通经济,2020,34(3):3~10.</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Helvetica">
    <w:altName w:val="Arial"/>
    <w:panose1 w:val="00000000000000000000"/>
    <w:charset w:val="00"/>
    <w:family w:val="auto"/>
    <w:pitch w:val="default"/>
    <w:sig w:usb0="00000000" w:usb1="00000000" w:usb2="00000000" w:usb3="00000000" w:csb0="00000000" w:csb1="00000000"/>
  </w:font>
  <w:font w:name="Arial">
    <w:panose1 w:val="020B0604020202020204"/>
    <w:charset w:val="00"/>
    <w:family w:val="auto"/>
    <w:pitch w:val="default"/>
    <w:sig w:usb0="E0002EFF" w:usb1="C000785B" w:usb2="00000009" w:usb3="00000000" w:csb0="400001FF" w:csb1="FFFF0000"/>
  </w:font>
  <w:font w:name="微软雅黑">
    <w:panose1 w:val="020B0503020204020204"/>
    <w:charset w:val="86"/>
    <w:family w:val="auto"/>
    <w:pitch w:val="default"/>
    <w:sig w:usb0="80000287" w:usb1="2ACF3C50" w:usb2="00000016" w:usb3="00000000" w:csb0="0004001F" w:csb1="00000000"/>
  </w:font>
  <w:font w:name="仿宋">
    <w:panose1 w:val="02010609060101010101"/>
    <w:charset w:val="86"/>
    <w:family w:val="auto"/>
    <w:pitch w:val="default"/>
    <w:sig w:usb0="800002BF" w:usb1="38CF7CFA" w:usb2="0000001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9E3D8E8"/>
    <w:multiLevelType w:val="singleLevel"/>
    <w:tmpl w:val="D9E3D8E8"/>
    <w:lvl w:ilvl="0" w:tentative="0">
      <w:start w:val="2"/>
      <w:numFmt w:val="decimal"/>
      <w:suff w:val="nothing"/>
      <w:lvlText w:val="（%1）"/>
      <w:lvlJc w:val="left"/>
    </w:lvl>
  </w:abstractNum>
  <w:abstractNum w:abstractNumId="1">
    <w:nsid w:val="DF20C28F"/>
    <w:multiLevelType w:val="singleLevel"/>
    <w:tmpl w:val="DF20C28F"/>
    <w:lvl w:ilvl="0" w:tentative="0">
      <w:start w:val="4"/>
      <w:numFmt w:val="decimal"/>
      <w:lvlText w:val="%1."/>
      <w:lvlJc w:val="left"/>
      <w:pPr>
        <w:tabs>
          <w:tab w:val="left" w:pos="312"/>
        </w:tabs>
      </w:pPr>
    </w:lvl>
  </w:abstractNum>
  <w:abstractNum w:abstractNumId="2">
    <w:nsid w:val="484372F6"/>
    <w:multiLevelType w:val="multilevel"/>
    <w:tmpl w:val="484372F6"/>
    <w:lvl w:ilvl="0" w:tentative="0">
      <w:start w:val="1"/>
      <w:numFmt w:val="japaneseCounting"/>
      <w:lvlText w:val="%1、"/>
      <w:lvlJc w:val="left"/>
      <w:pPr>
        <w:ind w:left="885" w:hanging="885"/>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
    <w:nsid w:val="4C81C73B"/>
    <w:multiLevelType w:val="singleLevel"/>
    <w:tmpl w:val="4C81C73B"/>
    <w:lvl w:ilvl="0" w:tentative="0">
      <w:start w:val="4"/>
      <w:numFmt w:val="decimal"/>
      <w:lvlText w:val="%1."/>
      <w:lvlJc w:val="left"/>
      <w:pPr>
        <w:tabs>
          <w:tab w:val="left" w:pos="312"/>
        </w:tabs>
      </w:pPr>
    </w:lvl>
  </w:abstractNum>
  <w:abstractNum w:abstractNumId="4">
    <w:nsid w:val="7DE4685F"/>
    <w:multiLevelType w:val="singleLevel"/>
    <w:tmpl w:val="7DE4685F"/>
    <w:lvl w:ilvl="0" w:tentative="0">
      <w:start w:val="3"/>
      <w:numFmt w:val="decimal"/>
      <w:lvlText w:val="(%1)"/>
      <w:lvlJc w:val="left"/>
      <w:pPr>
        <w:tabs>
          <w:tab w:val="left" w:pos="312"/>
        </w:tabs>
      </w:pPr>
    </w:lvl>
  </w:abstractNum>
  <w:num w:numId="1">
    <w:abstractNumId w:val="2"/>
  </w:num>
  <w:num w:numId="2">
    <w:abstractNumId w:val="1"/>
  </w:num>
  <w:num w:numId="3">
    <w:abstractNumId w:val="0"/>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YWI0NWJkNDdiMWYxZDAxMDU4ZmUyMDU1NWU4NjVjYTYifQ=="/>
  </w:docVars>
  <w:rsids>
    <w:rsidRoot w:val="00BD1A81"/>
    <w:rsid w:val="00027887"/>
    <w:rsid w:val="000E2AD4"/>
    <w:rsid w:val="00173F0C"/>
    <w:rsid w:val="001F1141"/>
    <w:rsid w:val="004D1A50"/>
    <w:rsid w:val="004D5408"/>
    <w:rsid w:val="005A47DB"/>
    <w:rsid w:val="005D393E"/>
    <w:rsid w:val="00632F15"/>
    <w:rsid w:val="006937E1"/>
    <w:rsid w:val="00AE63ED"/>
    <w:rsid w:val="00B34E51"/>
    <w:rsid w:val="00BD1A81"/>
    <w:rsid w:val="00C6489F"/>
    <w:rsid w:val="00CA0092"/>
    <w:rsid w:val="00E31B3D"/>
    <w:rsid w:val="00E50471"/>
    <w:rsid w:val="00EA554F"/>
    <w:rsid w:val="00EE45A5"/>
    <w:rsid w:val="00F23447"/>
    <w:rsid w:val="00F33AFB"/>
    <w:rsid w:val="02036692"/>
    <w:rsid w:val="06C45463"/>
    <w:rsid w:val="08FE68C1"/>
    <w:rsid w:val="0EB80F4E"/>
    <w:rsid w:val="12D26A15"/>
    <w:rsid w:val="17551DCE"/>
    <w:rsid w:val="19AD1CFF"/>
    <w:rsid w:val="1C1B5646"/>
    <w:rsid w:val="20F14BC7"/>
    <w:rsid w:val="21C76C89"/>
    <w:rsid w:val="234611FA"/>
    <w:rsid w:val="280C1BC3"/>
    <w:rsid w:val="2C4B5758"/>
    <w:rsid w:val="305B2165"/>
    <w:rsid w:val="306F78B6"/>
    <w:rsid w:val="30DA2C7B"/>
    <w:rsid w:val="32036508"/>
    <w:rsid w:val="332F60D7"/>
    <w:rsid w:val="40CB78E6"/>
    <w:rsid w:val="43EC7D72"/>
    <w:rsid w:val="44EA6461"/>
    <w:rsid w:val="4856518C"/>
    <w:rsid w:val="49227764"/>
    <w:rsid w:val="4E451F2B"/>
    <w:rsid w:val="554C1710"/>
    <w:rsid w:val="5E254C92"/>
    <w:rsid w:val="5F262930"/>
    <w:rsid w:val="60FB26E3"/>
    <w:rsid w:val="61861405"/>
    <w:rsid w:val="645A75F9"/>
    <w:rsid w:val="645C7B76"/>
    <w:rsid w:val="65826D65"/>
    <w:rsid w:val="71A46659"/>
    <w:rsid w:val="750D4E07"/>
    <w:rsid w:val="764B2F09"/>
    <w:rsid w:val="79DE04DD"/>
    <w:rsid w:val="7C3654F3"/>
    <w:rsid w:val="7C7D1C1B"/>
    <w:rsid w:val="7CFA4F9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13"/>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15"/>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character" w:default="1" w:styleId="8">
    <w:name w:val="Default Paragraph Font"/>
    <w:semiHidden/>
    <w:unhideWhenUsed/>
    <w:uiPriority w:val="1"/>
  </w:style>
  <w:style w:type="table" w:default="1" w:styleId="7">
    <w:name w:val="Normal Table"/>
    <w:semiHidden/>
    <w:unhideWhenUsed/>
    <w:uiPriority w:val="99"/>
    <w:tblPr>
      <w:tblCellMar>
        <w:top w:w="0" w:type="dxa"/>
        <w:left w:w="108" w:type="dxa"/>
        <w:bottom w:w="0" w:type="dxa"/>
        <w:right w:w="108" w:type="dxa"/>
      </w:tblCellMar>
    </w:tblPr>
  </w:style>
  <w:style w:type="paragraph" w:styleId="4">
    <w:name w:val="footer"/>
    <w:basedOn w:val="1"/>
    <w:link w:val="12"/>
    <w:unhideWhenUsed/>
    <w:qFormat/>
    <w:uiPriority w:val="99"/>
    <w:pPr>
      <w:tabs>
        <w:tab w:val="center" w:pos="4153"/>
        <w:tab w:val="right" w:pos="8306"/>
      </w:tabs>
      <w:snapToGrid w:val="0"/>
      <w:jc w:val="left"/>
    </w:pPr>
    <w:rPr>
      <w:sz w:val="18"/>
      <w:szCs w:val="18"/>
    </w:rPr>
  </w:style>
  <w:style w:type="paragraph" w:styleId="5">
    <w:name w:val="header"/>
    <w:basedOn w:val="1"/>
    <w:link w:val="11"/>
    <w:unhideWhenUsed/>
    <w:qFormat/>
    <w:uiPriority w:val="99"/>
    <w:pPr>
      <w:pBdr>
        <w:bottom w:val="single" w:color="auto" w:sz="6" w:space="1"/>
      </w:pBdr>
      <w:tabs>
        <w:tab w:val="center" w:pos="4153"/>
        <w:tab w:val="right" w:pos="8306"/>
      </w:tabs>
      <w:snapToGrid w:val="0"/>
      <w:jc w:val="center"/>
    </w:pPr>
    <w:rPr>
      <w:sz w:val="18"/>
      <w:szCs w:val="18"/>
    </w:rPr>
  </w:style>
  <w:style w:type="paragraph" w:styleId="6">
    <w:name w:val="Normal (Web)"/>
    <w:basedOn w:val="1"/>
    <w:semiHidden/>
    <w:unhideWhenUsed/>
    <w:qFormat/>
    <w:uiPriority w:val="99"/>
    <w:pPr>
      <w:spacing w:before="0" w:beforeAutospacing="1" w:after="0" w:afterAutospacing="1"/>
      <w:ind w:left="0" w:right="0"/>
      <w:jc w:val="left"/>
    </w:pPr>
    <w:rPr>
      <w:kern w:val="0"/>
      <w:sz w:val="24"/>
      <w:lang w:val="en-US" w:eastAsia="zh-CN" w:bidi="ar"/>
    </w:rPr>
  </w:style>
  <w:style w:type="character" w:styleId="9">
    <w:name w:val="Strong"/>
    <w:basedOn w:val="8"/>
    <w:qFormat/>
    <w:uiPriority w:val="22"/>
    <w:rPr>
      <w:b/>
    </w:rPr>
  </w:style>
  <w:style w:type="character" w:styleId="10">
    <w:name w:val="Hyperlink"/>
    <w:basedOn w:val="8"/>
    <w:semiHidden/>
    <w:unhideWhenUsed/>
    <w:qFormat/>
    <w:uiPriority w:val="99"/>
    <w:rPr>
      <w:color w:val="0000FF"/>
      <w:u w:val="single"/>
    </w:rPr>
  </w:style>
  <w:style w:type="character" w:customStyle="1" w:styleId="11">
    <w:name w:val="页眉 字符"/>
    <w:basedOn w:val="8"/>
    <w:link w:val="5"/>
    <w:qFormat/>
    <w:uiPriority w:val="99"/>
    <w:rPr>
      <w:sz w:val="18"/>
      <w:szCs w:val="18"/>
    </w:rPr>
  </w:style>
  <w:style w:type="character" w:customStyle="1" w:styleId="12">
    <w:name w:val="页脚 字符"/>
    <w:basedOn w:val="8"/>
    <w:link w:val="4"/>
    <w:qFormat/>
    <w:uiPriority w:val="99"/>
    <w:rPr>
      <w:sz w:val="18"/>
      <w:szCs w:val="18"/>
    </w:rPr>
  </w:style>
  <w:style w:type="character" w:customStyle="1" w:styleId="13">
    <w:name w:val="标题 1 字符"/>
    <w:basedOn w:val="8"/>
    <w:link w:val="2"/>
    <w:qFormat/>
    <w:uiPriority w:val="9"/>
    <w:rPr>
      <w:b/>
      <w:bCs/>
      <w:kern w:val="44"/>
      <w:sz w:val="44"/>
      <w:szCs w:val="44"/>
    </w:rPr>
  </w:style>
  <w:style w:type="paragraph" w:styleId="14">
    <w:name w:val="List Paragraph"/>
    <w:basedOn w:val="1"/>
    <w:qFormat/>
    <w:uiPriority w:val="34"/>
    <w:pPr>
      <w:ind w:firstLine="420" w:firstLineChars="200"/>
    </w:pPr>
  </w:style>
  <w:style w:type="character" w:customStyle="1" w:styleId="15">
    <w:name w:val="标题 2 字符"/>
    <w:basedOn w:val="8"/>
    <w:link w:val="3"/>
    <w:qFormat/>
    <w:uiPriority w:val="9"/>
    <w:rPr>
      <w:rFonts w:asciiTheme="majorHAnsi" w:hAnsiTheme="majorHAnsi" w:eastAsiaTheme="majorEastAsia" w:cstheme="majorBidi"/>
      <w:b/>
      <w:bCs/>
      <w:sz w:val="32"/>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numbering" Target="numbering.xml"/><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11</Pages>
  <Words>4943</Words>
  <Characters>5242</Characters>
  <Lines>17</Lines>
  <Paragraphs>5</Paragraphs>
  <TotalTime>13</TotalTime>
  <ScaleCrop>false</ScaleCrop>
  <LinksUpToDate>false</LinksUpToDate>
  <CharactersWithSpaces>5283</CharactersWithSpaces>
  <Application>WPS Office_11.1.0.11830_F1E327BC-269C-435d-A152-05C5408002CA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2022-06-24T13:59:00Z</dcterms:created>
  <dc:creator>汪 雨欣</dc:creator>
  <cp:lastModifiedBy>梅了o</cp:lastModifiedBy>
  <dcterms:modified xsi:type="dcterms:W3CDTF">2022-06-26T07:52:44Z</dcterms:modified>
  <cp:revision>17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2052-11.1.0.11830</vt:lpwstr>
  </property>
  <property fmtid="{D5CDD505-2E9C-101B-9397-08002B2CF9AE}" pid="3" name="ICV">
    <vt:lpwstr>5E0D72F0DE054EE68479F63CE56A1EE5</vt:lpwstr>
  </property>
</Properties>
</file>